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AAF28">
      <w:pPr>
        <w:pStyle w:val="3"/>
        <w:keepNext w:val="0"/>
        <w:keepLines w:val="0"/>
        <w:pageBreakBefore w:val="0"/>
        <w:kinsoku/>
        <w:wordWrap/>
        <w:overflowPunct/>
        <w:topLinePunct w:val="0"/>
        <w:autoSpaceDE/>
        <w:autoSpaceDN/>
        <w:bidi w:val="0"/>
        <w:spacing w:line="440" w:lineRule="exact"/>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2026年托克逊县车用尿素产品质量监督抽查实施细则</w:t>
      </w:r>
    </w:p>
    <w:p w14:paraId="580A1456">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000000"/>
          <w:sz w:val="21"/>
          <w:szCs w:val="21"/>
        </w:rPr>
      </w:pPr>
    </w:p>
    <w:p w14:paraId="39B9126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 抽样方法</w:t>
      </w:r>
    </w:p>
    <w:p w14:paraId="7F86CCC3">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以随机抽样的方式在被抽样生产者、销售者的待销产品中抽取。</w:t>
      </w:r>
    </w:p>
    <w:p w14:paraId="35BDCA8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随机数一般可使用随机数表等方法产生。</w:t>
      </w:r>
    </w:p>
    <w:p w14:paraId="6285E9CB">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随机抽取同一生产者同一标准生产的同一商标、同一规格型号</w:t>
      </w:r>
      <w:r>
        <w:rPr>
          <w:rFonts w:hint="eastAsia" w:ascii="宋体" w:hAnsi="宋体" w:eastAsia="宋体" w:cs="宋体"/>
          <w:color w:val="000000"/>
          <w:sz w:val="21"/>
          <w:szCs w:val="21"/>
          <w:lang w:eastAsia="zh-CN"/>
        </w:rPr>
        <w:t>产品不少于2L的独立包装样品2份，如产品独立包装大于50L，使用符合GB 29518-2013 《柴油发动机氮氧化物还原剂 尿素水溶液（AUS32）》附录I要求的采样瓶进行分装取样。其中1份为检验用样品，另1份为备用样品。</w:t>
      </w:r>
    </w:p>
    <w:p w14:paraId="4891C704">
      <w:pPr>
        <w:pStyle w:val="10"/>
        <w:rPr>
          <w:rFonts w:hint="eastAsia"/>
        </w:rPr>
      </w:pPr>
    </w:p>
    <w:p w14:paraId="4CC47CCB">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 检验依据</w:t>
      </w:r>
    </w:p>
    <w:p w14:paraId="45BD1FF6">
      <w:pPr>
        <w:pStyle w:val="3"/>
        <w:keepNext w:val="0"/>
        <w:keepLines w:val="0"/>
        <w:pageBreakBefore w:val="0"/>
        <w:kinsoku/>
        <w:wordWrap/>
        <w:overflowPunct/>
        <w:topLinePunct w:val="0"/>
        <w:autoSpaceDE/>
        <w:autoSpaceDN/>
        <w:bidi w:val="0"/>
        <w:spacing w:line="440" w:lineRule="exact"/>
        <w:ind w:left="0" w:leftChars="0"/>
        <w:jc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表1 </w:t>
      </w:r>
      <w:r>
        <w:rPr>
          <w:rFonts w:hint="eastAsia" w:ascii="宋体" w:hAnsi="宋体" w:eastAsia="宋体" w:cs="宋体"/>
          <w:sz w:val="21"/>
          <w:szCs w:val="21"/>
          <w:lang w:eastAsia="zh-CN"/>
        </w:rPr>
        <w:t>车用尿素</w:t>
      </w:r>
      <w:r>
        <w:rPr>
          <w:rFonts w:hint="eastAsia" w:ascii="宋体" w:hAnsi="宋体" w:eastAsia="宋体" w:cs="宋体"/>
          <w:b w:val="0"/>
          <w:bCs w:val="0"/>
          <w:color w:val="000000"/>
          <w:sz w:val="21"/>
          <w:szCs w:val="21"/>
          <w:lang w:val="en-US" w:eastAsia="zh-CN"/>
        </w:rPr>
        <w:t>检验项目</w:t>
      </w:r>
    </w:p>
    <w:tbl>
      <w:tblPr>
        <w:tblStyle w:val="7"/>
        <w:tblW w:w="88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6"/>
        <w:gridCol w:w="4365"/>
        <w:gridCol w:w="3748"/>
      </w:tblGrid>
      <w:tr w14:paraId="023C6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5AED8">
            <w:pPr>
              <w:keepNext w:val="0"/>
              <w:keepLines w:val="0"/>
              <w:pageBreakBefore w:val="0"/>
              <w:kinsoku/>
              <w:wordWrap/>
              <w:overflowPunct/>
              <w:topLinePunct w:val="0"/>
              <w:autoSpaceDE/>
              <w:autoSpaceDN/>
              <w:bidi w:val="0"/>
              <w:snapToGrid w:val="0"/>
              <w:spacing w:line="240" w:lineRule="auto"/>
              <w:ind w:left="0" w:lef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序号</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12B5">
            <w:pPr>
              <w:keepNext w:val="0"/>
              <w:keepLines w:val="0"/>
              <w:pageBreakBefore w:val="0"/>
              <w:kinsoku/>
              <w:wordWrap/>
              <w:overflowPunct/>
              <w:topLinePunct w:val="0"/>
              <w:autoSpaceDE/>
              <w:autoSpaceDN/>
              <w:bidi w:val="0"/>
              <w:snapToGrid w:val="0"/>
              <w:spacing w:line="240" w:lineRule="auto"/>
              <w:ind w:left="0" w:lef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检验项目</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30B30">
            <w:pPr>
              <w:keepNext w:val="0"/>
              <w:keepLines w:val="0"/>
              <w:pageBreakBefore w:val="0"/>
              <w:kinsoku/>
              <w:wordWrap/>
              <w:overflowPunct/>
              <w:topLinePunct w:val="0"/>
              <w:autoSpaceDE/>
              <w:autoSpaceDN/>
              <w:bidi w:val="0"/>
              <w:snapToGrid w:val="0"/>
              <w:spacing w:line="240" w:lineRule="auto"/>
              <w:ind w:left="0" w:lef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检验方法</w:t>
            </w:r>
          </w:p>
        </w:tc>
      </w:tr>
      <w:tr w14:paraId="1BB74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DDB0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B63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尿素含量</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B98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top"/>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2"/>
                <w:sz w:val="21"/>
                <w:szCs w:val="21"/>
                <w:u w:val="none"/>
                <w:lang w:val="en-US" w:eastAsia="zh-CN" w:bidi="ar-SA"/>
              </w:rPr>
              <w:t>GB 29518-2013</w:t>
            </w:r>
          </w:p>
        </w:tc>
      </w:tr>
      <w:tr w14:paraId="63BB1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205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16C6A">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密度</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4EDB">
            <w:pPr>
              <w:keepNext w:val="0"/>
              <w:keepLines w:val="0"/>
              <w:pageBreakBefore w:val="0"/>
              <w:kinsoku/>
              <w:wordWrap/>
              <w:overflowPunct/>
              <w:topLinePunct w:val="0"/>
              <w:autoSpaceDE/>
              <w:autoSpaceDN/>
              <w:bidi w:val="0"/>
              <w:spacing w:line="240" w:lineRule="auto"/>
              <w:ind w:left="0" w:left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SH/T 0604-2000</w:t>
            </w:r>
          </w:p>
          <w:p w14:paraId="5085D640">
            <w:pPr>
              <w:keepNext w:val="0"/>
              <w:keepLines w:val="0"/>
              <w:pageBreakBefore w:val="0"/>
              <w:kinsoku/>
              <w:wordWrap/>
              <w:overflowPunct/>
              <w:topLinePunct w:val="0"/>
              <w:autoSpaceDE/>
              <w:autoSpaceDN/>
              <w:bidi w:val="0"/>
              <w:spacing w:line="240" w:lineRule="auto"/>
              <w:ind w:left="0" w:left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1884-2000</w:t>
            </w:r>
          </w:p>
          <w:p w14:paraId="065BE5BC">
            <w:pPr>
              <w:keepNext w:val="0"/>
              <w:keepLines w:val="0"/>
              <w:pageBreakBefore w:val="0"/>
              <w:kinsoku/>
              <w:wordWrap/>
              <w:overflowPunct/>
              <w:topLinePunct w:val="0"/>
              <w:autoSpaceDE/>
              <w:autoSpaceDN/>
              <w:bidi w:val="0"/>
              <w:spacing w:line="240" w:lineRule="auto"/>
              <w:ind w:left="0" w:left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GB/T 1885-1998</w:t>
            </w:r>
          </w:p>
        </w:tc>
      </w:tr>
      <w:tr w14:paraId="3A6B3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A2AC">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8251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碱度</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3C05">
            <w:pPr>
              <w:keepNext w:val="0"/>
              <w:keepLines w:val="0"/>
              <w:widowControl/>
              <w:suppressLineNumbers w:val="0"/>
              <w:jc w:val="center"/>
              <w:textAlignment w:val="bottom"/>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GB 29518-2013</w:t>
            </w:r>
          </w:p>
        </w:tc>
      </w:tr>
      <w:tr w14:paraId="32E1C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497A">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CEC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缩二脲</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C138">
            <w:pPr>
              <w:keepNext w:val="0"/>
              <w:keepLines w:val="0"/>
              <w:widowControl/>
              <w:suppressLineNumbers w:val="0"/>
              <w:jc w:val="center"/>
              <w:textAlignment w:val="bottom"/>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GB 29518-2013</w:t>
            </w:r>
          </w:p>
        </w:tc>
      </w:tr>
      <w:tr w14:paraId="7546F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6E9B7">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180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醛类</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09BE">
            <w:pPr>
              <w:keepNext w:val="0"/>
              <w:keepLines w:val="0"/>
              <w:widowControl/>
              <w:suppressLineNumbers w:val="0"/>
              <w:jc w:val="center"/>
              <w:textAlignment w:val="bottom"/>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GB 29518-2013</w:t>
            </w:r>
          </w:p>
        </w:tc>
      </w:tr>
      <w:tr w14:paraId="28391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20D6">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4FFA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不溶物</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1AD4">
            <w:pPr>
              <w:keepNext w:val="0"/>
              <w:keepLines w:val="0"/>
              <w:widowControl/>
              <w:suppressLineNumbers w:val="0"/>
              <w:jc w:val="center"/>
              <w:textAlignment w:val="bottom"/>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GB 29518-2013</w:t>
            </w:r>
          </w:p>
        </w:tc>
      </w:tr>
      <w:tr w14:paraId="79046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3C7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EA2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磷酸盐</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92B7">
            <w:pPr>
              <w:keepNext w:val="0"/>
              <w:keepLines w:val="0"/>
              <w:widowControl/>
              <w:suppressLineNumbers w:val="0"/>
              <w:jc w:val="center"/>
              <w:textAlignment w:val="bottom"/>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GB 29518-2013</w:t>
            </w:r>
          </w:p>
        </w:tc>
      </w:tr>
      <w:tr w14:paraId="46B2F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0FEF6">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4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31A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一致性确认</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22AF">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top"/>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color w:val="000000"/>
                <w:sz w:val="21"/>
                <w:szCs w:val="21"/>
                <w:lang w:val="en-US" w:eastAsia="zh-CN"/>
              </w:rPr>
              <w:t>GB 29518-2013</w:t>
            </w:r>
          </w:p>
        </w:tc>
      </w:tr>
    </w:tbl>
    <w:p w14:paraId="0D6A168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000000"/>
          <w:sz w:val="21"/>
          <w:szCs w:val="21"/>
        </w:rPr>
      </w:pPr>
      <w:bookmarkStart w:id="2" w:name="_GoBack"/>
      <w:bookmarkEnd w:id="2"/>
      <w:r>
        <w:rPr>
          <w:rFonts w:hint="eastAsia" w:ascii="宋体" w:hAnsi="宋体" w:eastAsia="宋体" w:cs="宋体"/>
          <w:color w:val="000000"/>
          <w:sz w:val="21"/>
          <w:szCs w:val="21"/>
        </w:rPr>
        <w:t>执行企业标准、团体标准、地方标准的产品，检验项目参照上述内容执行。</w:t>
      </w:r>
    </w:p>
    <w:p w14:paraId="309A8A9F">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14:paraId="4C0D5BE7">
      <w:pPr>
        <w:pStyle w:val="10"/>
        <w:rPr>
          <w:rFonts w:hint="eastAsia"/>
        </w:rPr>
      </w:pPr>
    </w:p>
    <w:p w14:paraId="735ACCB9">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 判定规则</w:t>
      </w:r>
    </w:p>
    <w:p w14:paraId="62CE4688">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3.1依据标准</w:t>
      </w:r>
    </w:p>
    <w:p w14:paraId="1842341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000000"/>
          <w:sz w:val="21"/>
          <w:szCs w:val="21"/>
        </w:rPr>
      </w:pPr>
      <w:bookmarkStart w:id="0" w:name="_Hlk32567754"/>
      <w:r>
        <w:rPr>
          <w:rFonts w:hint="eastAsia" w:ascii="宋体" w:hAnsi="宋体" w:eastAsia="宋体" w:cs="宋体"/>
          <w:color w:val="000000"/>
          <w:sz w:val="21"/>
          <w:szCs w:val="21"/>
        </w:rPr>
        <w:t>GB 29518-2013 柴油发动机氮氧化物还原剂 尿素水溶液（AUS32）</w:t>
      </w:r>
    </w:p>
    <w:p w14:paraId="126EB0C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现行有效的企业标准、团体标准、地方标准及产品明示质量要求</w:t>
      </w:r>
    </w:p>
    <w:bookmarkEnd w:id="0"/>
    <w:p w14:paraId="647F0E40">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3.2判定原则</w:t>
      </w:r>
    </w:p>
    <w:p w14:paraId="496CD91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000000"/>
          <w:kern w:val="2"/>
          <w:sz w:val="21"/>
          <w:szCs w:val="21"/>
          <w:lang w:val="en-US" w:eastAsia="zh-CN" w:bidi="ar-SA"/>
        </w:rPr>
      </w:pPr>
      <w:bookmarkStart w:id="1" w:name="_Hlk33514746"/>
      <w:r>
        <w:rPr>
          <w:rFonts w:hint="eastAsia" w:ascii="宋体" w:hAnsi="宋体" w:eastAsia="宋体" w:cs="宋体"/>
          <w:color w:val="000000"/>
          <w:kern w:val="2"/>
          <w:sz w:val="21"/>
          <w:szCs w:val="21"/>
          <w:lang w:val="en-US" w:eastAsia="zh-CN" w:bidi="ar-SA"/>
        </w:rPr>
        <w:t>经检验，检验项目全部合格，判定为被抽查产品所检项目未发现不合格；检验项目中任一项或一项以上不合格，判定为被抽查产品不合格。</w:t>
      </w:r>
    </w:p>
    <w:p w14:paraId="441908F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若被检产品明示的质量要求高于本细则中检验项目依据的标准要求时，应按被检产品明示的质量要求判定。</w:t>
      </w:r>
    </w:p>
    <w:p w14:paraId="30A6A1C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若被检产品明示的质量要求低于本细则中检验项目依据的强制性标准要求时，应按照强制性标准要求判定。</w:t>
      </w:r>
    </w:p>
    <w:p w14:paraId="041B6D0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若被检产品明示的质量要求低于或包含本细则中检验项目依据的推荐性标准要求时，应以被检产品明示的质量要求判定。</w:t>
      </w:r>
    </w:p>
    <w:p w14:paraId="1C11668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若被检产品明示的质量要求缺少本细则中检验项目依据的强制性标准要求时，应按照强制性标准要求判定。</w:t>
      </w:r>
    </w:p>
    <w:p w14:paraId="3F32E1E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若被检产品明示的质量要求缺少本细则中检验项目依据的推荐性标准要求时，该项目不参与判定。</w:t>
      </w:r>
      <w:bookmarkEnd w:id="1"/>
    </w:p>
    <w:p w14:paraId="63F4F098"/>
    <w:sectPr>
      <w:headerReference r:id="rId3" w:type="default"/>
      <w:footerReference r:id="rId4" w:type="default"/>
      <w:footerReference r:id="rId5" w:type="even"/>
      <w:pgSz w:w="11906" w:h="16838"/>
      <w:pgMar w:top="1440" w:right="1080" w:bottom="1440" w:left="1080"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8CCFD">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C3F5B85">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5E7CB">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F75C18F">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37009">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000000"/>
    <w:rsid w:val="036A2E67"/>
    <w:rsid w:val="04EE11FE"/>
    <w:rsid w:val="06D1542A"/>
    <w:rsid w:val="07C53B16"/>
    <w:rsid w:val="0B3D39AE"/>
    <w:rsid w:val="0DD50CEF"/>
    <w:rsid w:val="0E341099"/>
    <w:rsid w:val="0EAF071F"/>
    <w:rsid w:val="11845E93"/>
    <w:rsid w:val="14900FF3"/>
    <w:rsid w:val="15167ED2"/>
    <w:rsid w:val="16684490"/>
    <w:rsid w:val="187F73B4"/>
    <w:rsid w:val="1A98775E"/>
    <w:rsid w:val="1C00080C"/>
    <w:rsid w:val="1E733517"/>
    <w:rsid w:val="1E7E37DC"/>
    <w:rsid w:val="202645B9"/>
    <w:rsid w:val="20BA48CB"/>
    <w:rsid w:val="212E3725"/>
    <w:rsid w:val="23FC5D5D"/>
    <w:rsid w:val="240F76C7"/>
    <w:rsid w:val="24A81A41"/>
    <w:rsid w:val="293935AF"/>
    <w:rsid w:val="29AE18A7"/>
    <w:rsid w:val="2BC5737C"/>
    <w:rsid w:val="2F6C3AD9"/>
    <w:rsid w:val="30795624"/>
    <w:rsid w:val="329C0E2D"/>
    <w:rsid w:val="36FE0D64"/>
    <w:rsid w:val="383E473E"/>
    <w:rsid w:val="38935966"/>
    <w:rsid w:val="40681CC4"/>
    <w:rsid w:val="417B430D"/>
    <w:rsid w:val="45625E73"/>
    <w:rsid w:val="459B73E2"/>
    <w:rsid w:val="46B81B60"/>
    <w:rsid w:val="46E44703"/>
    <w:rsid w:val="470B7EE1"/>
    <w:rsid w:val="49FC2B25"/>
    <w:rsid w:val="4A0155CC"/>
    <w:rsid w:val="4BBE19C6"/>
    <w:rsid w:val="4D023D7E"/>
    <w:rsid w:val="4F0E546E"/>
    <w:rsid w:val="4F2F6737"/>
    <w:rsid w:val="4F852237"/>
    <w:rsid w:val="4FB31116"/>
    <w:rsid w:val="50C3182D"/>
    <w:rsid w:val="5435659E"/>
    <w:rsid w:val="54703F09"/>
    <w:rsid w:val="56C87B9D"/>
    <w:rsid w:val="57E26993"/>
    <w:rsid w:val="58823D7B"/>
    <w:rsid w:val="58B73A25"/>
    <w:rsid w:val="5AF56A87"/>
    <w:rsid w:val="5D855AD0"/>
    <w:rsid w:val="5E3D2C1E"/>
    <w:rsid w:val="613D4CE3"/>
    <w:rsid w:val="61BE4076"/>
    <w:rsid w:val="63BB7241"/>
    <w:rsid w:val="65BD2897"/>
    <w:rsid w:val="670C4242"/>
    <w:rsid w:val="672F50CE"/>
    <w:rsid w:val="682D666D"/>
    <w:rsid w:val="689358FE"/>
    <w:rsid w:val="6938470E"/>
    <w:rsid w:val="6D0668D1"/>
    <w:rsid w:val="6EE42AB0"/>
    <w:rsid w:val="709723FB"/>
    <w:rsid w:val="70F51137"/>
    <w:rsid w:val="729F57FE"/>
    <w:rsid w:val="73196A97"/>
    <w:rsid w:val="77BE04D4"/>
    <w:rsid w:val="7B8C4DDE"/>
    <w:rsid w:val="7BFB64B0"/>
    <w:rsid w:val="7DD30A52"/>
    <w:rsid w:val="7E9C1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Plain Text"/>
    <w:basedOn w:val="1"/>
    <w:autoRedefine/>
    <w:qFormat/>
    <w:uiPriority w:val="0"/>
    <w:rPr>
      <w:rFonts w:ascii="宋体" w:hAnsi="Courier New"/>
    </w:rPr>
  </w:style>
  <w:style w:type="paragraph" w:styleId="5">
    <w:name w:val="footer"/>
    <w:basedOn w:val="1"/>
    <w:autoRedefine/>
    <w:unhideWhenUsed/>
    <w:qFormat/>
    <w:uiPriority w:val="99"/>
    <w:pPr>
      <w:tabs>
        <w:tab w:val="center" w:pos="4153"/>
        <w:tab w:val="right" w:pos="8306"/>
      </w:tabs>
      <w:snapToGrid w:val="0"/>
      <w:jc w:val="left"/>
    </w:pPr>
    <w:rPr>
      <w:sz w:val="18"/>
      <w:szCs w:val="18"/>
    </w:rPr>
  </w:style>
  <w:style w:type="paragraph" w:styleId="6">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BodyText"/>
    <w:basedOn w:val="1"/>
    <w:autoRedefine/>
    <w:qFormat/>
    <w:uiPriority w:val="0"/>
    <w:pPr>
      <w:spacing w:after="120"/>
      <w:jc w:val="both"/>
      <w:textAlignment w:val="baseline"/>
    </w:pPr>
    <w:rPr>
      <w:kern w:val="0"/>
      <w:sz w:val="20"/>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766</Words>
  <Characters>1016</Characters>
  <Lines>0</Lines>
  <Paragraphs>0</Paragraphs>
  <TotalTime>0</TotalTime>
  <ScaleCrop>false</ScaleCrop>
  <LinksUpToDate>false</LinksUpToDate>
  <CharactersWithSpaces>1046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2026-06-17T06:24:49Z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90D3C4AFEA114F9281268784D68CC78F_12</vt:lpwstr>
  </property>
  <property fmtid="{D5CDD505-2E9C-101B-9397-08002B2CF9AE}" pid="4" name="KSOTemplateDocerSaveRecord">
    <vt:lpwstr>eyJoZGlkIjoiNzc0MTY5ZWZkMWRiZTVmYTYzZTQ5MWFhZmRhZTBhMjEiLCJ1c2VySWQiOiI1NDMxMTk2OTYifQ==</vt:lpwstr>
  </property>
</Properties>
</file>