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1931"/>
        <w:gridCol w:w="869"/>
        <w:gridCol w:w="209"/>
        <w:gridCol w:w="869"/>
        <w:gridCol w:w="209"/>
        <w:gridCol w:w="869"/>
        <w:gridCol w:w="209"/>
        <w:gridCol w:w="869"/>
        <w:gridCol w:w="209"/>
        <w:gridCol w:w="869"/>
        <w:gridCol w:w="1362"/>
        <w:gridCol w:w="1078"/>
        <w:gridCol w:w="104"/>
        <w:gridCol w:w="973"/>
        <w:gridCol w:w="104"/>
        <w:gridCol w:w="1078"/>
        <w:gridCol w:w="809"/>
        <w:gridCol w:w="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90" w:hRule="atLeast"/>
        </w:trPr>
        <w:tc>
          <w:tcPr>
            <w:tcW w:w="13698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000000"/>
                <w:spacing w:val="0"/>
                <w:w w:val="100"/>
                <w:kern w:val="0"/>
                <w:position w:val="0"/>
                <w:sz w:val="35"/>
                <w:szCs w:val="35"/>
                <w:highlight w:val="none"/>
                <w:u w:val="none"/>
                <w:shd w:val="clear" w:color="auto" w:fill="auto"/>
                <w:lang w:val="en-US" w:eastAsia="zh-CN" w:bidi="ar"/>
              </w:rPr>
              <w:t>2024年托克逊县一般公共预算调整方案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408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15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09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 xml:space="preserve">                    单位：万元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62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74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支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已批准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调整后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已批准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237503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237503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41661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2375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44036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98962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98962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49433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49433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846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277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10106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7724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7724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27011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3034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30045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22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10107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33603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33603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63322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3189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6651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7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10109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12898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12898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668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-347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277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10110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8957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8957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2754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2390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514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77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4086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4086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24645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1756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26401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13253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13253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19975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1215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211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1716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1716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512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2685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1850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1850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63816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6526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7034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10118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2897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2897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32013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12547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44560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10119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契税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2124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2124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4331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2782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10121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388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3053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344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476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81634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81634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7" w:type="dxa"/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12500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12500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6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支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已批准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调整后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5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已批准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5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10304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行政事业性收费收入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33368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33368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2253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10305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9318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9318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8494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4332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1282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10306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10307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国有资源(资产)有偿使用收入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21427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21427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4980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1826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  <w:t>680</w:t>
            </w: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10308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5939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-79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10309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988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988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40625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-21571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10399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6723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一般公共预算收入合计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319137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319137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一般公共预算支出合计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350247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26603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376850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112853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24903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137756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76743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83922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24903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108825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23006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上解支出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76743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11001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返还性收入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2262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2262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2300601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体制上解支出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71251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71251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11002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一般性转移支付收入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80989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15488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96477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2300602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专项上解支出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5492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11003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专项转移支付收入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671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9415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10086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11006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上解收入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1100601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体制上解收入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2310301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地方政府一般债券还本支出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1100602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专项上解收入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2310302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地方政府向外国政府借款还本支出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11008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24931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24931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2310303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地方政府向国际组织借款还本支出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11009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调入资金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2310399</w:t>
            </w:r>
          </w:p>
        </w:tc>
        <w:tc>
          <w:tcPr>
            <w:tcW w:w="2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地方政府其他一般债务还本支出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804"/>
        <w:gridCol w:w="1080"/>
        <w:gridCol w:w="1079"/>
        <w:gridCol w:w="1079"/>
        <w:gridCol w:w="1079"/>
        <w:gridCol w:w="2549"/>
        <w:gridCol w:w="1080"/>
        <w:gridCol w:w="107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                          入</w:t>
            </w:r>
          </w:p>
        </w:tc>
        <w:tc>
          <w:tcPr>
            <w:tcW w:w="6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支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已批准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调整后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已批准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调整变动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110090102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从政府性基金预算调入一般公共预算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110090103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从国有资本经营预算调入一般公共预算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债务转贷支出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110090199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从其他资金调入一般公共预算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2301101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地方政府一般债券转贷支出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债务收入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2301102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地方政府向外国政府借款转贷支出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地方政府债务收入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2301103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地方政府向国际组织借款转贷支出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1050401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一般债务收入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2301104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地方政府其他一般债务转贷支出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105040101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地方政府一般债券收入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105040102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地方政府向外国政府借款收入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23015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安排预算稳定调节基金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105040103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地方政府向国际组织借款收入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23009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105040104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地方政府其他一般债务收入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1700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11015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动用预算稳定调节基金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431990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26603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458593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431990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26603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458593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2FF5"/>
    <w:rsid w:val="6E1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iPriority="99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toc 8"/>
    <w:basedOn w:val="1"/>
    <w:next w:val="1"/>
    <w:unhideWhenUsed/>
    <w:qFormat/>
    <w:uiPriority w:val="99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2024-09-30T12:18:00Z</dcterms:created>
  <dc:creator>Administrator</dc:creator>
  <cp:lastModifiedBy>Administrator</cp:lastModifiedBy>
  <dcterms:modified xsi:type="dcterms:W3CDTF">2024-09-30T12:19:11Z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1ACCD8C519D0480388F958E7A064DC88</vt:lpwstr>
  </property>
</Properties>
</file>