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0" w:leftChars="0" w:firstLine="0" w:firstLineChars="0"/>
        <w:jc w:val="center"/>
        <w:rPr>
          <w:rFonts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lang w:val="en-US" w:eastAsia="zh-CN"/>
        </w:rPr>
        <w:t>县委办综合业务项目经费</w:t>
      </w:r>
      <w:r>
        <w:rPr>
          <w:rFonts w:hint="eastAsia" w:ascii="黑体" w:hAnsi="黑体" w:eastAsia="黑体" w:cs="黑体"/>
          <w:b/>
          <w:bCs/>
          <w:color w:val="auto"/>
          <w:sz w:val="36"/>
          <w:szCs w:val="36"/>
          <w:highlight w:val="none"/>
        </w:rPr>
        <w:t>项目支出绩效评价报告</w:t>
      </w: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2"/>
        <w:ind w:firstLine="562"/>
        <w:rPr>
          <w:color w:val="auto"/>
          <w:highlight w:val="none"/>
        </w:rPr>
      </w:pPr>
      <w:r>
        <w:rPr>
          <w:rFonts w:hint="eastAsia"/>
          <w:color w:val="auto"/>
          <w:highlight w:val="none"/>
        </w:rPr>
        <w:t>1.项目背景</w:t>
      </w:r>
    </w:p>
    <w:p>
      <w:pP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根据《托克逊县委办公室关于印发〈中共托克逊县委员会办公室职能配置、内设机构和人员编制规定〉的通知》（托党办字〔2019〕21号），中共托克逊县委员会办公室是县委的综合部门，是党委履行领导职责的参谋助手。按照县委要求协调有关方面开展工作，承担县委运行保障具体事务。开展县委办专项工作经费项目一是为县委领导传达贯彻落实重要指示精神及重大工作部署、召开各项重大会议、各项重大活动等提供经费保障；</w:t>
      </w:r>
      <w:r>
        <w:rPr>
          <w:rFonts w:hint="eastAsia" w:ascii="仿宋_GB2312" w:hAnsi="仿宋_GB2312" w:eastAsia="仿宋_GB2312" w:cs="仿宋_GB2312"/>
          <w:b w:val="0"/>
          <w:bCs w:val="0"/>
          <w:color w:val="auto"/>
          <w:spacing w:val="0"/>
          <w:sz w:val="28"/>
          <w:szCs w:val="28"/>
          <w:highlight w:val="none"/>
          <w:shd w:val="clear" w:color="auto" w:fill="auto"/>
          <w:lang w:eastAsia="zh-CN"/>
        </w:rPr>
        <w:t>办文办会精益求精</w:t>
      </w:r>
      <w:r>
        <w:rPr>
          <w:rFonts w:hint="eastAsia" w:ascii="仿宋_GB2312" w:hAnsi="仿宋_GB2312" w:eastAsia="仿宋_GB2312" w:cs="仿宋_GB2312"/>
          <w:b w:val="0"/>
          <w:bCs w:val="0"/>
          <w:color w:val="auto"/>
          <w:spacing w:val="0"/>
          <w:sz w:val="28"/>
          <w:szCs w:val="28"/>
          <w:highlight w:val="none"/>
          <w:shd w:val="clear" w:color="auto" w:fill="auto"/>
        </w:rPr>
        <w:t>，</w:t>
      </w:r>
      <w:r>
        <w:rPr>
          <w:rFonts w:hint="eastAsia" w:ascii="仿宋_GB2312" w:hAnsi="仿宋_GB2312" w:eastAsia="仿宋_GB2312" w:cs="仿宋_GB2312"/>
          <w:b w:val="0"/>
          <w:bCs w:val="0"/>
          <w:snapToGrid w:val="0"/>
          <w:color w:val="auto"/>
          <w:spacing w:val="0"/>
          <w:kern w:val="0"/>
          <w:sz w:val="28"/>
          <w:szCs w:val="28"/>
          <w:highlight w:val="none"/>
          <w:lang w:eastAsia="zh-CN"/>
        </w:rPr>
        <w:t>服务水平大幅提升</w:t>
      </w:r>
      <w:r>
        <w:rPr>
          <w:rFonts w:hint="eastAsia" w:ascii="仿宋_GB2312" w:hAnsi="仿宋_GB2312" w:eastAsia="仿宋_GB2312" w:cs="仿宋_GB2312"/>
          <w:b w:val="0"/>
          <w:bCs w:val="0"/>
          <w:color w:val="auto"/>
          <w:sz w:val="28"/>
          <w:szCs w:val="28"/>
          <w:highlight w:val="none"/>
        </w:rPr>
        <w:t>；</w:t>
      </w:r>
      <w:r>
        <w:rPr>
          <w:rFonts w:hint="eastAsia" w:ascii="仿宋_GB2312" w:hAnsi="仿宋_GB2312" w:eastAsia="仿宋_GB2312" w:cs="仿宋_GB2312"/>
          <w:color w:val="auto"/>
          <w:sz w:val="28"/>
          <w:szCs w:val="28"/>
          <w:highlight w:val="none"/>
        </w:rPr>
        <w:t>保障全县党政专用通信运行维护正常开展，时刻确保党政专用通信安全畅通；</w:t>
      </w:r>
      <w:r>
        <w:rPr>
          <w:rFonts w:hint="eastAsia" w:ascii="仿宋_GB2312" w:hAnsi="仿宋_GB2312" w:eastAsia="仿宋_GB2312" w:cs="仿宋_GB2312"/>
          <w:b w:val="0"/>
          <w:bCs w:val="0"/>
          <w:color w:val="auto"/>
          <w:kern w:val="2"/>
          <w:sz w:val="28"/>
          <w:szCs w:val="28"/>
          <w:highlight w:val="none"/>
          <w:lang w:eastAsia="zh-CN" w:bidi="ar-SA"/>
        </w:rPr>
        <w:t>积极开展《托克逊年鉴》编纂，</w:t>
      </w:r>
      <w:r>
        <w:rPr>
          <w:rFonts w:hint="eastAsia" w:ascii="仿宋_GB2312" w:hAnsi="仿宋_GB2312" w:eastAsia="仿宋_GB2312" w:cs="仿宋_GB2312"/>
          <w:b w:val="0"/>
          <w:bCs w:val="0"/>
          <w:color w:val="auto"/>
          <w:kern w:val="2"/>
          <w:sz w:val="28"/>
          <w:szCs w:val="28"/>
          <w:highlight w:val="none"/>
          <w:lang w:val="en-US" w:eastAsia="zh-CN" w:bidi="ar-SA"/>
        </w:rPr>
        <w:t>稳步推进</w:t>
      </w:r>
      <w:r>
        <w:rPr>
          <w:rFonts w:hint="eastAsia" w:ascii="仿宋_GB2312" w:hAnsi="仿宋_GB2312" w:eastAsia="仿宋_GB2312" w:cs="仿宋_GB2312"/>
          <w:b w:val="0"/>
          <w:bCs w:val="0"/>
          <w:color w:val="auto"/>
          <w:kern w:val="2"/>
          <w:sz w:val="28"/>
          <w:szCs w:val="28"/>
          <w:highlight w:val="none"/>
          <w:lang w:eastAsia="zh-CN" w:bidi="ar-SA"/>
        </w:rPr>
        <w:t>续志编修工作</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b w:val="0"/>
          <w:bCs w:val="0"/>
          <w:color w:val="auto"/>
          <w:sz w:val="28"/>
          <w:szCs w:val="28"/>
          <w:highlight w:val="none"/>
          <w:lang w:val="en-US" w:eastAsia="zh-CN"/>
        </w:rPr>
        <w:t>不断提高档案工作监督指导能力，不断推动全县档案工作提质增效</w:t>
      </w:r>
      <w:r>
        <w:rPr>
          <w:rFonts w:hint="eastAsia" w:ascii="仿宋_GB2312" w:hAnsi="仿宋_GB2312" w:cs="仿宋_GB2312"/>
          <w:b w:val="0"/>
          <w:bCs w:val="0"/>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确保完成县委交办的其他工作。</w:t>
      </w:r>
    </w:p>
    <w:p>
      <w:pPr>
        <w:pStyle w:val="2"/>
        <w:ind w:firstLine="562"/>
        <w:rPr>
          <w:rFonts w:hint="eastAsia"/>
          <w:color w:val="auto"/>
          <w:highlight w:val="none"/>
          <w:lang w:val="en-US" w:eastAsia="zh-CN"/>
        </w:rPr>
      </w:pPr>
      <w:r>
        <w:rPr>
          <w:rFonts w:hint="eastAsia"/>
          <w:color w:val="auto"/>
          <w:highlight w:val="none"/>
        </w:rPr>
        <w:t>2.主要内容</w:t>
      </w:r>
    </w:p>
    <w:p>
      <w:pPr>
        <w:ind w:firstLine="560"/>
        <w:rPr>
          <w:rFonts w:hint="default"/>
          <w:color w:val="auto"/>
          <w:highlight w:val="none"/>
          <w:lang w:val="en-US" w:eastAsia="zh-CN"/>
        </w:rPr>
      </w:pPr>
      <w:r>
        <w:rPr>
          <w:rFonts w:hint="eastAsia"/>
          <w:color w:val="auto"/>
          <w:highlight w:val="none"/>
          <w:lang w:val="en-US" w:eastAsia="zh-CN"/>
        </w:rPr>
        <w:t>项目名称：县委办综合业务项目经费</w:t>
      </w:r>
    </w:p>
    <w:p>
      <w:pPr>
        <w:numPr>
          <w:ilvl w:val="0"/>
          <w:numId w:val="0"/>
        </w:numPr>
        <w:ind w:firstLine="560" w:firstLineChars="200"/>
        <w:rPr>
          <w:rFonts w:hint="eastAsia" w:ascii="Times New Roman" w:hAnsi="Times New Roman" w:cs="Times New Roman"/>
          <w:b w:val="0"/>
          <w:bCs w:val="0"/>
          <w:color w:val="auto"/>
          <w:highlight w:val="none"/>
        </w:rPr>
      </w:pPr>
      <w:r>
        <w:rPr>
          <w:rFonts w:hint="eastAsia"/>
          <w:color w:val="auto"/>
          <w:highlight w:val="none"/>
          <w:lang w:val="en-US" w:eastAsia="zh-CN"/>
        </w:rPr>
        <w:t>项目主要内容：</w:t>
      </w:r>
      <w:r>
        <w:rPr>
          <w:rFonts w:hint="eastAsia"/>
          <w:color w:val="auto"/>
          <w:sz w:val="28"/>
          <w:szCs w:val="24"/>
          <w:highlight w:val="none"/>
          <w:lang w:val="en-US" w:eastAsia="zh-CN"/>
        </w:rPr>
        <w:t>托克逊县财政拨付我单位县委办综合业务项目经费，这笔资金主要用于</w:t>
      </w:r>
      <w:r>
        <w:rPr>
          <w:rFonts w:hint="eastAsia"/>
          <w:b w:val="0"/>
          <w:bCs w:val="0"/>
          <w:color w:val="auto"/>
          <w:highlight w:val="none"/>
        </w:rPr>
        <w:t>支付县委办</w:t>
      </w:r>
      <w:r>
        <w:rPr>
          <w:rFonts w:hint="eastAsia"/>
          <w:b w:val="0"/>
          <w:bCs w:val="0"/>
          <w:color w:val="auto"/>
          <w:highlight w:val="none"/>
          <w:lang w:val="en-US" w:eastAsia="zh-CN"/>
        </w:rPr>
        <w:t>业务</w:t>
      </w:r>
      <w:r>
        <w:rPr>
          <w:rFonts w:hint="eastAsia"/>
          <w:b w:val="0"/>
          <w:bCs w:val="0"/>
          <w:color w:val="auto"/>
          <w:highlight w:val="none"/>
        </w:rPr>
        <w:t>经费</w:t>
      </w:r>
      <w:r>
        <w:rPr>
          <w:rFonts w:hint="eastAsia"/>
          <w:b w:val="0"/>
          <w:bCs w:val="0"/>
          <w:color w:val="auto"/>
          <w:highlight w:val="none"/>
          <w:lang w:eastAsia="zh-CN"/>
        </w:rPr>
        <w:t>、</w:t>
      </w:r>
      <w:r>
        <w:rPr>
          <w:rFonts w:hint="eastAsia"/>
          <w:b w:val="0"/>
          <w:bCs w:val="0"/>
          <w:color w:val="auto"/>
          <w:highlight w:val="none"/>
        </w:rPr>
        <w:t>专用通信保障费用</w:t>
      </w:r>
      <w:r>
        <w:rPr>
          <w:rFonts w:hint="eastAsia"/>
          <w:b w:val="0"/>
          <w:bCs w:val="0"/>
          <w:color w:val="auto"/>
          <w:highlight w:val="none"/>
          <w:lang w:eastAsia="zh-CN"/>
        </w:rPr>
        <w:t>、</w:t>
      </w:r>
      <w:r>
        <w:rPr>
          <w:rFonts w:hint="eastAsia"/>
          <w:b w:val="0"/>
          <w:bCs w:val="0"/>
          <w:color w:val="auto"/>
          <w:highlight w:val="none"/>
        </w:rPr>
        <w:t>年鉴出版费</w:t>
      </w:r>
      <w:r>
        <w:rPr>
          <w:rFonts w:hint="eastAsia"/>
          <w:b w:val="0"/>
          <w:bCs w:val="0"/>
          <w:color w:val="auto"/>
          <w:highlight w:val="none"/>
          <w:lang w:eastAsia="zh-CN"/>
        </w:rPr>
        <w:t>、</w:t>
      </w:r>
      <w:r>
        <w:rPr>
          <w:rFonts w:hint="eastAsia"/>
          <w:b w:val="0"/>
          <w:bCs w:val="0"/>
          <w:color w:val="auto"/>
          <w:highlight w:val="none"/>
        </w:rPr>
        <w:t>机要保密局</w:t>
      </w:r>
      <w:r>
        <w:rPr>
          <w:rFonts w:hint="eastAsia"/>
          <w:b w:val="0"/>
          <w:bCs w:val="0"/>
          <w:color w:val="auto"/>
          <w:highlight w:val="none"/>
          <w:lang w:val="en-US" w:eastAsia="zh-CN"/>
        </w:rPr>
        <w:t>业务</w:t>
      </w:r>
      <w:r>
        <w:rPr>
          <w:rFonts w:hint="eastAsia"/>
          <w:b w:val="0"/>
          <w:bCs w:val="0"/>
          <w:color w:val="auto"/>
          <w:highlight w:val="none"/>
        </w:rPr>
        <w:t>经费</w:t>
      </w:r>
      <w:r>
        <w:rPr>
          <w:rFonts w:hint="eastAsia"/>
          <w:b w:val="0"/>
          <w:bCs w:val="0"/>
          <w:color w:val="auto"/>
          <w:highlight w:val="none"/>
          <w:lang w:eastAsia="zh-CN"/>
        </w:rPr>
        <w:t>、</w:t>
      </w:r>
      <w:r>
        <w:rPr>
          <w:rFonts w:hint="eastAsia"/>
          <w:b w:val="0"/>
          <w:bCs w:val="0"/>
          <w:color w:val="auto"/>
          <w:highlight w:val="none"/>
        </w:rPr>
        <w:t>县档案馆</w:t>
      </w:r>
      <w:r>
        <w:rPr>
          <w:rFonts w:hint="eastAsia"/>
          <w:b w:val="0"/>
          <w:bCs w:val="0"/>
          <w:color w:val="auto"/>
          <w:highlight w:val="none"/>
          <w:lang w:val="en-US" w:eastAsia="zh-CN"/>
        </w:rPr>
        <w:t>档案业务</w:t>
      </w:r>
      <w:r>
        <w:rPr>
          <w:rFonts w:hint="eastAsia"/>
          <w:b w:val="0"/>
          <w:bCs w:val="0"/>
          <w:color w:val="auto"/>
          <w:highlight w:val="none"/>
        </w:rPr>
        <w:t>经费。</w:t>
      </w:r>
      <w:r>
        <w:rPr>
          <w:rFonts w:hint="eastAsia" w:ascii="Times New Roman" w:hAnsi="Times New Roman" w:cs="Times New Roman"/>
          <w:b w:val="0"/>
          <w:bCs w:val="0"/>
          <w:color w:val="auto"/>
          <w:highlight w:val="none"/>
          <w:lang w:val="en-US" w:eastAsia="zh-CN"/>
        </w:rPr>
        <w:t>(1)</w:t>
      </w:r>
      <w:r>
        <w:rPr>
          <w:rFonts w:hint="eastAsia" w:ascii="Times New Roman" w:hAnsi="Times New Roman" w:cs="Times New Roman"/>
          <w:b w:val="0"/>
          <w:bCs w:val="0"/>
          <w:color w:val="auto"/>
          <w:highlight w:val="none"/>
        </w:rPr>
        <w:t>为县委领导传达贯彻落实重要指示精神及工作部署、召开各项会议，做好县委办文办会工作</w:t>
      </w:r>
      <w:r>
        <w:rPr>
          <w:rFonts w:hint="eastAsia" w:ascii="Times New Roman" w:hAnsi="Times New Roman" w:cs="Times New Roman"/>
          <w:b w:val="0"/>
          <w:bCs w:val="0"/>
          <w:color w:val="auto"/>
          <w:highlight w:val="none"/>
          <w:lang w:val="en-US" w:eastAsia="zh-CN"/>
        </w:rPr>
        <w:t>.(2)</w:t>
      </w:r>
      <w:r>
        <w:rPr>
          <w:rFonts w:hint="eastAsia" w:ascii="Times New Roman" w:hAnsi="Times New Roman" w:cs="Times New Roman"/>
          <w:b w:val="0"/>
          <w:bCs w:val="0"/>
          <w:color w:val="auto"/>
          <w:highlight w:val="none"/>
        </w:rPr>
        <w:t>全县党政专用通信运行维护正常开展，时刻确保党政专用通信安全畅通；</w:t>
      </w:r>
      <w:r>
        <w:rPr>
          <w:rFonts w:hint="eastAsia" w:ascii="Times New Roman" w:hAnsi="Times New Roman" w:cs="Times New Roman"/>
          <w:b w:val="0"/>
          <w:bCs w:val="0"/>
          <w:color w:val="auto"/>
          <w:highlight w:val="none"/>
          <w:lang w:val="en-US" w:eastAsia="zh-CN"/>
        </w:rPr>
        <w:t>(3)</w:t>
      </w:r>
      <w:r>
        <w:rPr>
          <w:rFonts w:hint="eastAsia" w:ascii="Times New Roman" w:hAnsi="Times New Roman" w:cs="Times New Roman"/>
          <w:b w:val="0"/>
          <w:bCs w:val="0"/>
          <w:color w:val="auto"/>
          <w:highlight w:val="none"/>
        </w:rPr>
        <w:t>完成《托克逊年鉴》出版任务。</w:t>
      </w:r>
      <w:r>
        <w:rPr>
          <w:rFonts w:hint="eastAsia" w:ascii="Times New Roman" w:hAnsi="Times New Roman" w:cs="Times New Roman"/>
          <w:b w:val="0"/>
          <w:bCs w:val="0"/>
          <w:color w:val="auto"/>
          <w:highlight w:val="none"/>
          <w:lang w:val="en-US" w:eastAsia="zh-CN"/>
        </w:rPr>
        <w:t>(4)</w:t>
      </w:r>
      <w:r>
        <w:rPr>
          <w:rFonts w:hint="eastAsia" w:ascii="Times New Roman" w:hAnsi="Times New Roman" w:cs="Times New Roman"/>
          <w:b w:val="0"/>
          <w:bCs w:val="0"/>
          <w:color w:val="auto"/>
          <w:highlight w:val="none"/>
        </w:rPr>
        <w:t>全面落实保密制度要求，建设屏蔽机房1间，确保保密技术软硬件设备达标。</w:t>
      </w:r>
      <w:r>
        <w:rPr>
          <w:rFonts w:hint="eastAsia" w:ascii="Times New Roman" w:hAnsi="Times New Roman" w:cs="Times New Roman"/>
          <w:b w:val="0"/>
          <w:bCs w:val="0"/>
          <w:color w:val="auto"/>
          <w:highlight w:val="none"/>
          <w:lang w:val="en-US" w:eastAsia="zh-CN"/>
        </w:rPr>
        <w:t>(5)</w:t>
      </w:r>
      <w:r>
        <w:rPr>
          <w:rFonts w:hint="eastAsia" w:ascii="Times New Roman" w:hAnsi="Times New Roman" w:cs="Times New Roman"/>
          <w:b w:val="0"/>
          <w:bCs w:val="0"/>
          <w:color w:val="auto"/>
          <w:highlight w:val="none"/>
        </w:rPr>
        <w:t>定期对馆藏的档案进行抢救、修复、保护</w:t>
      </w:r>
      <w:r>
        <w:rPr>
          <w:rFonts w:hint="eastAsia" w:cs="Times New Roman"/>
          <w:b w:val="0"/>
          <w:bCs w:val="0"/>
          <w:color w:val="auto"/>
          <w:highlight w:val="none"/>
          <w:lang w:val="en-US" w:eastAsia="zh-CN"/>
        </w:rPr>
        <w:t>和</w:t>
      </w:r>
      <w:r>
        <w:rPr>
          <w:rFonts w:hint="eastAsia" w:ascii="Times New Roman" w:hAnsi="Times New Roman" w:cs="Times New Roman"/>
          <w:b w:val="0"/>
          <w:bCs w:val="0"/>
          <w:color w:val="auto"/>
          <w:highlight w:val="none"/>
        </w:rPr>
        <w:t>数字化处理</w:t>
      </w:r>
      <w:r>
        <w:rPr>
          <w:rFonts w:hint="eastAsia" w:cs="Times New Roman"/>
          <w:b w:val="0"/>
          <w:bCs w:val="0"/>
          <w:color w:val="auto"/>
          <w:highlight w:val="none"/>
          <w:lang w:val="en-US" w:eastAsia="zh-CN"/>
        </w:rPr>
        <w:t>工作</w:t>
      </w:r>
      <w:r>
        <w:rPr>
          <w:rFonts w:hint="eastAsia" w:ascii="Times New Roman" w:hAnsi="Times New Roman" w:cs="Times New Roman"/>
          <w:b w:val="0"/>
          <w:bCs w:val="0"/>
          <w:color w:val="auto"/>
          <w:highlight w:val="none"/>
        </w:rPr>
        <w:t>。</w:t>
      </w:r>
    </w:p>
    <w:p>
      <w:pPr>
        <w:pStyle w:val="2"/>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default" w:eastAsia="仿宋_GB2312"/>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中国共产党托克逊县委员会办公室</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val="en-US" w:eastAsia="zh-CN"/>
        </w:rPr>
        <w:t>1日</w:t>
      </w:r>
      <w:r>
        <w:rPr>
          <w:rFonts w:hint="eastAsia" w:cs="仿宋_GB2312"/>
          <w:color w:val="auto"/>
          <w:highlight w:val="none"/>
        </w:rPr>
        <w:t>—</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rFonts w:hint="eastAsia" w:cs="仿宋_GB2312"/>
          <w:color w:val="auto"/>
          <w:highlight w:val="none"/>
          <w:lang w:val="en-US" w:eastAsia="zh-CN"/>
        </w:rPr>
        <w:t>31日</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w:t>
      </w:r>
    </w:p>
    <w:p>
      <w:pP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本项目于202</w:t>
      </w:r>
      <w:r>
        <w:rPr>
          <w:rFonts w:hint="eastAsia" w:ascii="仿宋_GB2312" w:hAnsi="仿宋_GB2312" w:cs="仿宋_GB2312"/>
          <w:color w:val="auto"/>
          <w:highlight w:val="none"/>
          <w:lang w:val="en-US" w:eastAsia="zh-CN"/>
        </w:rPr>
        <w:t>3</w:t>
      </w:r>
      <w:r>
        <w:rPr>
          <w:rFonts w:hint="eastAsia" w:ascii="仿宋_GB2312" w:hAnsi="仿宋_GB2312" w:eastAsia="仿宋_GB2312" w:cs="仿宋_GB2312"/>
          <w:color w:val="auto"/>
          <w:highlight w:val="none"/>
          <w:lang w:val="en-US" w:eastAsia="zh-CN"/>
        </w:rPr>
        <w:t>年1月1日开始筹备,202</w:t>
      </w:r>
      <w:r>
        <w:rPr>
          <w:rFonts w:hint="eastAsia" w:ascii="仿宋_GB2312" w:hAnsi="仿宋_GB2312" w:cs="仿宋_GB2312"/>
          <w:color w:val="auto"/>
          <w:highlight w:val="none"/>
          <w:lang w:val="en-US" w:eastAsia="zh-CN"/>
        </w:rPr>
        <w:t>3</w:t>
      </w:r>
      <w:r>
        <w:rPr>
          <w:rFonts w:hint="eastAsia" w:ascii="仿宋_GB2312" w:hAnsi="仿宋_GB2312" w:eastAsia="仿宋_GB2312" w:cs="仿宋_GB2312"/>
          <w:color w:val="auto"/>
          <w:highlight w:val="none"/>
          <w:lang w:val="en-US" w:eastAsia="zh-CN"/>
        </w:rPr>
        <w:t>年3月开始实施,202</w:t>
      </w:r>
      <w:r>
        <w:rPr>
          <w:rFonts w:hint="eastAsia" w:ascii="仿宋_GB2312" w:hAnsi="仿宋_GB2312" w:cs="仿宋_GB2312"/>
          <w:color w:val="auto"/>
          <w:highlight w:val="none"/>
          <w:lang w:val="en-US" w:eastAsia="zh-CN"/>
        </w:rPr>
        <w:t>3</w:t>
      </w:r>
      <w:r>
        <w:rPr>
          <w:rFonts w:hint="eastAsia" w:ascii="仿宋_GB2312" w:hAnsi="仿宋_GB2312" w:eastAsia="仿宋_GB2312" w:cs="仿宋_GB2312"/>
          <w:color w:val="auto"/>
          <w:highlight w:val="none"/>
          <w:lang w:val="en-US" w:eastAsia="zh-CN"/>
        </w:rPr>
        <w:t>年12月底结束。按照“周密严谨、细致认真、简洁高效”的会务保障要求,提前谋划、分工负责、层层把关，做到了会前准备充分，会中服务规范，会议井然有序，办文办会精益求精，服务水平大幅提升，全年承办各项会议等</w:t>
      </w:r>
      <w:r>
        <w:rPr>
          <w:rFonts w:hint="eastAsia" w:ascii="仿宋_GB2312" w:hAnsi="仿宋_GB2312" w:cs="仿宋_GB2312"/>
          <w:color w:val="auto"/>
          <w:highlight w:val="none"/>
          <w:lang w:val="en-US" w:eastAsia="zh-CN"/>
        </w:rPr>
        <w:t>82</w:t>
      </w:r>
      <w:r>
        <w:rPr>
          <w:rFonts w:hint="eastAsia" w:ascii="仿宋_GB2312" w:hAnsi="仿宋_GB2312" w:eastAsia="仿宋_GB2312" w:cs="仿宋_GB2312"/>
          <w:color w:val="auto"/>
          <w:highlight w:val="none"/>
          <w:lang w:val="en-US" w:eastAsia="zh-CN"/>
        </w:rPr>
        <w:t>场次，做好县委办文办会工作</w:t>
      </w:r>
      <w:r>
        <w:rPr>
          <w:rFonts w:hint="eastAsia" w:ascii="仿宋_GB2312" w:hAnsi="仿宋_GB2312" w:cs="仿宋_GB2312"/>
          <w:color w:val="auto"/>
          <w:highlight w:val="none"/>
          <w:lang w:val="en-US" w:eastAsia="zh-CN"/>
        </w:rPr>
        <w:t>;</w:t>
      </w:r>
      <w:r>
        <w:rPr>
          <w:rFonts w:hint="eastAsia" w:ascii="仿宋_GB2312" w:hAnsi="仿宋_GB2312" w:eastAsia="仿宋_GB2312" w:cs="仿宋_GB2312"/>
          <w:color w:val="auto"/>
          <w:highlight w:val="none"/>
          <w:lang w:val="en-US" w:eastAsia="zh-CN"/>
        </w:rPr>
        <w:t>全年确保全县党政专用通信运行维护正常开展</w:t>
      </w:r>
      <w:r>
        <w:rPr>
          <w:rFonts w:hint="eastAsia" w:ascii="仿宋_GB2312" w:hAnsi="仿宋_GB2312" w:cs="仿宋_GB2312"/>
          <w:color w:val="auto"/>
          <w:highlight w:val="none"/>
          <w:lang w:val="en-US" w:eastAsia="zh-CN"/>
        </w:rPr>
        <w:t>431场次;</w:t>
      </w:r>
      <w:r>
        <w:rPr>
          <w:rFonts w:hint="eastAsia" w:ascii="仿宋_GB2312" w:hAnsi="仿宋_GB2312" w:eastAsia="仿宋_GB2312" w:cs="仿宋_GB2312"/>
          <w:color w:val="auto"/>
          <w:highlight w:val="none"/>
          <w:lang w:val="en-US" w:eastAsia="zh-CN"/>
        </w:rPr>
        <w:t>积极开展《托克逊年鉴》（2023）编纂，出版印刷册数500册，一年一鉴目标高效完成</w:t>
      </w:r>
      <w:r>
        <w:rPr>
          <w:rFonts w:hint="eastAsia" w:ascii="仿宋_GB2312" w:hAnsi="仿宋_GB2312" w:cs="仿宋_GB2312"/>
          <w:color w:val="auto"/>
          <w:highlight w:val="none"/>
          <w:lang w:val="en-US" w:eastAsia="zh-CN"/>
        </w:rPr>
        <w:t>;</w:t>
      </w:r>
      <w:r>
        <w:rPr>
          <w:rFonts w:hint="eastAsia" w:ascii="仿宋_GB2312" w:hAnsi="仿宋_GB2312" w:eastAsia="仿宋_GB2312" w:cs="仿宋_GB2312"/>
          <w:color w:val="auto"/>
          <w:highlight w:val="none"/>
          <w:lang w:val="en-US" w:eastAsia="zh-CN"/>
        </w:rPr>
        <w:t>全面落实保密制度要求，</w:t>
      </w:r>
      <w:r>
        <w:rPr>
          <w:rFonts w:hint="eastAsia" w:ascii="仿宋_GB2312" w:hAnsi="仿宋_GB2312" w:cs="仿宋_GB2312"/>
          <w:color w:val="auto"/>
          <w:highlight w:val="none"/>
          <w:lang w:val="en-US" w:eastAsia="zh-CN"/>
        </w:rPr>
        <w:t>落实</w:t>
      </w:r>
      <w:r>
        <w:rPr>
          <w:rFonts w:hint="eastAsia" w:ascii="仿宋_GB2312" w:hAnsi="仿宋_GB2312" w:eastAsia="仿宋_GB2312" w:cs="仿宋_GB2312"/>
          <w:color w:val="auto"/>
          <w:highlight w:val="none"/>
          <w:lang w:val="en-US" w:eastAsia="zh-CN"/>
        </w:rPr>
        <w:t>机房空调和安全防护设备</w:t>
      </w:r>
      <w:r>
        <w:rPr>
          <w:rFonts w:hint="eastAsia" w:ascii="仿宋_GB2312" w:hAnsi="仿宋_GB2312" w:cs="仿宋_GB2312"/>
          <w:color w:val="auto"/>
          <w:highlight w:val="none"/>
          <w:lang w:val="en-US" w:eastAsia="zh-CN"/>
        </w:rPr>
        <w:t>1套</w:t>
      </w:r>
      <w:r>
        <w:rPr>
          <w:rFonts w:hint="eastAsia" w:ascii="仿宋_GB2312" w:hAnsi="仿宋_GB2312" w:eastAsia="仿宋_GB2312" w:cs="仿宋_GB2312"/>
          <w:color w:val="auto"/>
          <w:highlight w:val="none"/>
          <w:lang w:val="en-US" w:eastAsia="zh-CN"/>
        </w:rPr>
        <w:t>、保密技术软硬件设备达标，保密意识持续提升，安全底线不断夯实，保障了办公室无泄密事件发生。定期对馆藏的档案进行抢救、修复、保护工作，数字化处理2.3万余件，不断提高档案工作监督指导能力，推动全县档案工作提质增效。</w:t>
      </w:r>
    </w:p>
    <w:p>
      <w:pPr>
        <w:pStyle w:val="2"/>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260</w:t>
      </w:r>
      <w:r>
        <w:rPr>
          <w:color w:val="auto"/>
          <w:highlight w:val="none"/>
        </w:rPr>
        <w:t>万元，其中财政资金</w:t>
      </w:r>
      <w:r>
        <w:rPr>
          <w:rFonts w:hint="eastAsia"/>
          <w:color w:val="auto"/>
          <w:highlight w:val="none"/>
          <w:lang w:val="en-US" w:eastAsia="zh-CN"/>
        </w:rPr>
        <w:t>260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260</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numPr>
          <w:ilvl w:val="0"/>
          <w:numId w:val="0"/>
        </w:numPr>
        <w:ind w:firstLine="560" w:firstLineChars="200"/>
        <w:rPr>
          <w:rFonts w:hint="eastAsia"/>
          <w:b w:val="0"/>
          <w:bCs w:val="0"/>
          <w:color w:val="auto"/>
          <w:highlight w:val="none"/>
          <w:lang w:val="en-US" w:eastAsia="zh-CN"/>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149.24</w:t>
      </w:r>
      <w:r>
        <w:rPr>
          <w:rFonts w:hint="eastAsia"/>
          <w:b w:val="0"/>
          <w:bCs w:val="0"/>
          <w:color w:val="auto"/>
          <w:highlight w:val="none"/>
        </w:rPr>
        <w:t>万元，预算执行率</w:t>
      </w:r>
      <w:r>
        <w:rPr>
          <w:rFonts w:hint="eastAsia"/>
          <w:b w:val="0"/>
          <w:bCs w:val="0"/>
          <w:color w:val="auto"/>
          <w:highlight w:val="none"/>
          <w:lang w:val="en-US" w:eastAsia="zh-CN"/>
        </w:rPr>
        <w:t>57.4</w:t>
      </w:r>
      <w:r>
        <w:rPr>
          <w:b w:val="0"/>
          <w:bCs w:val="0"/>
          <w:color w:val="auto"/>
          <w:highlight w:val="none"/>
        </w:rPr>
        <w:t>%</w:t>
      </w:r>
      <w:r>
        <w:rPr>
          <w:rFonts w:hint="eastAsia"/>
          <w:b w:val="0"/>
          <w:bCs w:val="0"/>
          <w:color w:val="auto"/>
          <w:highlight w:val="none"/>
        </w:rPr>
        <w:t>。项目资金主要用于支付项目资金主要用于支付县委办办公经费78.71万元</w:t>
      </w:r>
      <w:r>
        <w:rPr>
          <w:rFonts w:hint="eastAsia"/>
          <w:b w:val="0"/>
          <w:bCs w:val="0"/>
          <w:color w:val="auto"/>
          <w:highlight w:val="none"/>
          <w:lang w:eastAsia="zh-CN"/>
        </w:rPr>
        <w:t>、</w:t>
      </w:r>
      <w:r>
        <w:rPr>
          <w:rFonts w:hint="eastAsia"/>
          <w:b w:val="0"/>
          <w:bCs w:val="0"/>
          <w:color w:val="auto"/>
          <w:highlight w:val="none"/>
        </w:rPr>
        <w:t>专用通信保障费用</w:t>
      </w:r>
      <w:r>
        <w:rPr>
          <w:rFonts w:hint="eastAsia"/>
          <w:b w:val="0"/>
          <w:bCs w:val="0"/>
          <w:color w:val="auto"/>
          <w:highlight w:val="none"/>
          <w:lang w:val="en-US" w:eastAsia="zh-CN"/>
        </w:rPr>
        <w:t>7.19</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rPr>
        <w:t>年鉴出版费</w:t>
      </w:r>
      <w:r>
        <w:rPr>
          <w:rFonts w:hint="eastAsia"/>
          <w:b w:val="0"/>
          <w:bCs w:val="0"/>
          <w:color w:val="auto"/>
          <w:highlight w:val="none"/>
          <w:lang w:val="en-US" w:eastAsia="zh-CN"/>
        </w:rPr>
        <w:t>8</w:t>
      </w:r>
      <w:r>
        <w:rPr>
          <w:rFonts w:hint="eastAsia"/>
          <w:b w:val="0"/>
          <w:bCs w:val="0"/>
          <w:color w:val="auto"/>
          <w:highlight w:val="none"/>
        </w:rPr>
        <w:t>.5万元</w:t>
      </w:r>
      <w:r>
        <w:rPr>
          <w:rFonts w:hint="eastAsia"/>
          <w:b w:val="0"/>
          <w:bCs w:val="0"/>
          <w:color w:val="auto"/>
          <w:highlight w:val="none"/>
          <w:lang w:eastAsia="zh-CN"/>
        </w:rPr>
        <w:t>、</w:t>
      </w:r>
      <w:r>
        <w:rPr>
          <w:rFonts w:hint="eastAsia"/>
          <w:b w:val="0"/>
          <w:bCs w:val="0"/>
          <w:color w:val="auto"/>
          <w:highlight w:val="none"/>
        </w:rPr>
        <w:t>机要保密业务经费</w:t>
      </w:r>
      <w:r>
        <w:rPr>
          <w:rFonts w:hint="eastAsia"/>
          <w:b w:val="0"/>
          <w:bCs w:val="0"/>
          <w:color w:val="auto"/>
          <w:highlight w:val="none"/>
          <w:lang w:val="en-US" w:eastAsia="zh-CN"/>
        </w:rPr>
        <w:t>20.26</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rPr>
        <w:t>县档案馆档案业务经费</w:t>
      </w:r>
      <w:r>
        <w:rPr>
          <w:rFonts w:hint="eastAsia"/>
          <w:b w:val="0"/>
          <w:bCs w:val="0"/>
          <w:color w:val="auto"/>
          <w:highlight w:val="none"/>
          <w:lang w:val="en-US" w:eastAsia="zh-CN"/>
        </w:rPr>
        <w:t>34.58</w:t>
      </w:r>
      <w:r>
        <w:rPr>
          <w:rFonts w:hint="eastAsia"/>
          <w:b w:val="0"/>
          <w:bCs w:val="0"/>
          <w:color w:val="auto"/>
          <w:highlight w:val="none"/>
        </w:rPr>
        <w:t>万元</w:t>
      </w:r>
      <w:r>
        <w:rPr>
          <w:rFonts w:hint="eastAsia"/>
          <w:b w:val="0"/>
          <w:bCs w:val="0"/>
          <w:color w:val="auto"/>
          <w:highlight w:val="none"/>
          <w:lang w:val="en-US" w:eastAsia="zh-CN"/>
        </w:rPr>
        <w:t>。</w:t>
      </w:r>
    </w:p>
    <w:p>
      <w:pPr>
        <w:numPr>
          <w:ilvl w:val="0"/>
          <w:numId w:val="0"/>
        </w:numPr>
        <w:ind w:firstLine="643" w:firstLineChars="200"/>
        <w:rPr>
          <w:rFonts w:hint="eastAsia" w:ascii="Arial" w:hAnsi="Arial" w:eastAsia="楷体" w:cs="Times New Roman"/>
          <w:b/>
          <w:color w:val="auto"/>
          <w:kern w:val="2"/>
          <w:sz w:val="32"/>
          <w:szCs w:val="24"/>
          <w:highlight w:val="none"/>
          <w:lang w:val="en-US" w:eastAsia="zh-CN" w:bidi="ar-SA"/>
        </w:rPr>
      </w:pPr>
      <w:r>
        <w:rPr>
          <w:rFonts w:hint="eastAsia" w:ascii="Arial" w:hAnsi="Arial" w:eastAsia="楷体" w:cs="Times New Roman"/>
          <w:b/>
          <w:color w:val="auto"/>
          <w:kern w:val="2"/>
          <w:sz w:val="32"/>
          <w:szCs w:val="24"/>
          <w:highlight w:val="none"/>
          <w:lang w:val="en-US" w:eastAsia="zh-CN" w:bidi="ar-SA"/>
        </w:rPr>
        <w:t>（二）项目绩效目标</w:t>
      </w:r>
    </w:p>
    <w:p>
      <w:pPr>
        <w:pStyle w:val="2"/>
        <w:bidi w:val="0"/>
        <w:rPr>
          <w:color w:val="auto"/>
          <w:highlight w:val="none"/>
        </w:rPr>
      </w:pPr>
      <w:r>
        <w:rPr>
          <w:rFonts w:hint="eastAsia"/>
          <w:color w:val="auto"/>
          <w:highlight w:val="none"/>
        </w:rPr>
        <w:t>1.总体目标</w:t>
      </w:r>
    </w:p>
    <w:p>
      <w:pPr>
        <w:pStyle w:val="2"/>
        <w:bidi w:val="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1.为县委领导传达贯彻落实重要指示精神及工作部署、召开各项会议等70场次，做好县委办文办会工作。2.全县党政专用通信运行维护正常开展，时刻确保党政专用通信安全畅通。3.完成《托克逊年鉴》出版任务，出版印刷册数500册。4.全面落实保密制度要求，建设屏蔽机房1间，确保保密技术软硬件设备达标。5.定期对馆藏的档案进行抢救、修复、保护工作，数字化处理5万件。</w:t>
      </w:r>
    </w:p>
    <w:p>
      <w:pPr>
        <w:pStyle w:val="2"/>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承办服务各类会议</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大于等于70场次</w:t>
      </w:r>
      <w:r>
        <w:rPr>
          <w:rFonts w:hint="eastAsia"/>
          <w:color w:val="auto"/>
          <w:highlight w:val="none"/>
          <w:lang w:val="en-US" w:eastAsia="zh-CN"/>
        </w:rPr>
        <w:t>。</w:t>
      </w:r>
    </w:p>
    <w:p>
      <w:pPr>
        <w:ind w:firstLine="560"/>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“保障党政专用通信会议”指标，预期指标值为等于600场次。</w:t>
      </w:r>
    </w:p>
    <w:p>
      <w:pPr>
        <w:ind w:firstLine="56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《托克逊年鉴》出版套数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大于等于500册。</w:t>
      </w:r>
    </w:p>
    <w:p>
      <w:pPr>
        <w:pStyle w:val="2"/>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“机房空调和安全防护设备”指标：预期指标值为</w:t>
      </w:r>
      <w:r>
        <w:rPr>
          <w:rFonts w:hint="eastAsia" w:cs="仿宋_GB2312"/>
          <w:b w:val="0"/>
          <w:bCs w:val="0"/>
          <w:color w:val="auto"/>
          <w:kern w:val="2"/>
          <w:sz w:val="28"/>
          <w:szCs w:val="28"/>
          <w:highlight w:val="none"/>
          <w:lang w:val="en-US" w:eastAsia="zh-CN" w:bidi="ar-SA"/>
        </w:rPr>
        <w:t>等于</w:t>
      </w:r>
      <w:r>
        <w:rPr>
          <w:rFonts w:hint="eastAsia" w:ascii="仿宋_GB2312" w:hAnsi="仿宋_GB2312" w:eastAsia="仿宋_GB2312" w:cs="仿宋_GB2312"/>
          <w:b w:val="0"/>
          <w:bCs w:val="0"/>
          <w:color w:val="auto"/>
          <w:kern w:val="2"/>
          <w:sz w:val="28"/>
          <w:szCs w:val="28"/>
          <w:highlight w:val="none"/>
          <w:lang w:val="en-US" w:eastAsia="zh-CN" w:bidi="ar-SA"/>
        </w:rPr>
        <w:t>1</w:t>
      </w:r>
      <w:r>
        <w:rPr>
          <w:rFonts w:hint="eastAsia" w:cs="仿宋_GB2312"/>
          <w:b w:val="0"/>
          <w:bCs w:val="0"/>
          <w:color w:val="auto"/>
          <w:kern w:val="2"/>
          <w:sz w:val="28"/>
          <w:szCs w:val="28"/>
          <w:highlight w:val="none"/>
          <w:lang w:val="en-US" w:eastAsia="zh-CN" w:bidi="ar-SA"/>
        </w:rPr>
        <w:t>套。</w:t>
      </w:r>
    </w:p>
    <w:p>
      <w:pPr>
        <w:pStyle w:val="2"/>
        <w:rPr>
          <w:rFonts w:hint="eastAsia"/>
          <w:color w:val="auto"/>
          <w:highlight w:val="none"/>
          <w:lang w:val="en-US" w:eastAsia="zh-CN"/>
        </w:rPr>
      </w:pPr>
      <w:r>
        <w:rPr>
          <w:rFonts w:hint="eastAsia" w:ascii="仿宋_GB2312" w:hAnsi="仿宋_GB2312" w:eastAsia="仿宋_GB2312" w:cs="仿宋_GB2312"/>
          <w:b w:val="0"/>
          <w:bCs w:val="0"/>
          <w:color w:val="auto"/>
          <w:kern w:val="2"/>
          <w:sz w:val="28"/>
          <w:szCs w:val="28"/>
          <w:highlight w:val="none"/>
          <w:lang w:val="en-US" w:eastAsia="zh-CN" w:bidi="ar-SA"/>
        </w:rPr>
        <w:t>“预算单位档案管理”指标：预期指标值为</w:t>
      </w:r>
      <w:r>
        <w:rPr>
          <w:rFonts w:hint="eastAsia" w:cs="仿宋_GB2312"/>
          <w:b w:val="0"/>
          <w:bCs w:val="0"/>
          <w:color w:val="auto"/>
          <w:kern w:val="2"/>
          <w:sz w:val="28"/>
          <w:szCs w:val="28"/>
          <w:highlight w:val="none"/>
          <w:lang w:val="en-US" w:eastAsia="zh-CN" w:bidi="ar-SA"/>
        </w:rPr>
        <w:t>等于5万件。</w:t>
      </w:r>
    </w:p>
    <w:p>
      <w:pPr>
        <w:ind w:firstLine="560"/>
        <w:rPr>
          <w:color w:val="auto"/>
          <w:highlight w:val="none"/>
        </w:rPr>
      </w:pPr>
      <w:r>
        <w:rPr>
          <w:rFonts w:hint="eastAsia"/>
          <w:color w:val="auto"/>
          <w:highlight w:val="none"/>
        </w:rPr>
        <w:t>②质量指标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“机关事务正常运转率”指标，预期指标值为等于100%。</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rPr>
        <w:t>“党政专用通信运转情况”指标，预期指标值为</w:t>
      </w:r>
      <w:r>
        <w:rPr>
          <w:rFonts w:hint="eastAsia" w:ascii="Times New Roman" w:hAnsi="Times New Roman" w:cs="Times New Roman"/>
          <w:color w:val="auto"/>
          <w:highlight w:val="none"/>
          <w:lang w:val="en-US" w:eastAsia="zh-CN"/>
        </w:rPr>
        <w:t>等于</w:t>
      </w:r>
      <w:r>
        <w:rPr>
          <w:rFonts w:hint="eastAsia" w:ascii="Times New Roman" w:hAnsi="Times New Roman" w:cs="Times New Roman"/>
          <w:color w:val="auto"/>
          <w:highlight w:val="none"/>
        </w:rPr>
        <w:t>100%</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年鉴数据或者文字差错率</w:t>
      </w:r>
      <w:r>
        <w:rPr>
          <w:rFonts w:hint="eastAsia" w:ascii="Times New Roman" w:hAnsi="Times New Roman" w:cs="Times New Roman"/>
          <w:color w:val="auto"/>
          <w:highlight w:val="none"/>
        </w:rPr>
        <w:t>”指标，预期指标值为</w:t>
      </w:r>
      <w:r>
        <w:rPr>
          <w:rFonts w:hint="eastAsia" w:ascii="Times New Roman" w:hAnsi="Times New Roman" w:cs="Times New Roman"/>
          <w:color w:val="auto"/>
          <w:highlight w:val="none"/>
          <w:lang w:val="en-US" w:eastAsia="zh-CN"/>
        </w:rPr>
        <w:t>小于等于</w:t>
      </w:r>
      <w:r>
        <w:rPr>
          <w:rFonts w:hint="eastAsia" w:ascii="Times New Roman" w:hAnsi="Times New Roman" w:cs="Times New Roman"/>
          <w:color w:val="auto"/>
          <w:highlight w:val="none"/>
        </w:rPr>
        <w:t>0.03%</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机房设备验收合格率</w:t>
      </w:r>
      <w:r>
        <w:rPr>
          <w:rFonts w:hint="eastAsia" w:ascii="Times New Roman" w:hAnsi="Times New Roman" w:cs="Times New Roman"/>
          <w:color w:val="auto"/>
          <w:highlight w:val="none"/>
        </w:rPr>
        <w:t>”指标，预期指标值为</w:t>
      </w:r>
      <w:r>
        <w:rPr>
          <w:rFonts w:hint="eastAsia" w:ascii="Times New Roman" w:hAnsi="Times New Roman" w:cs="Times New Roman"/>
          <w:color w:val="auto"/>
          <w:highlight w:val="none"/>
          <w:lang w:val="en-US" w:eastAsia="zh-CN"/>
        </w:rPr>
        <w:t>等于</w:t>
      </w:r>
      <w:r>
        <w:rPr>
          <w:rFonts w:hint="eastAsia" w:ascii="Times New Roman" w:hAnsi="Times New Roman" w:cs="Times New Roman"/>
          <w:color w:val="auto"/>
          <w:highlight w:val="none"/>
        </w:rPr>
        <w:t>100%</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预算单位档案数字化</w:t>
      </w:r>
      <w:r>
        <w:rPr>
          <w:rFonts w:hint="eastAsia" w:ascii="Times New Roman" w:hAnsi="Times New Roman" w:cs="Times New Roman"/>
          <w:color w:val="auto"/>
          <w:highlight w:val="none"/>
        </w:rPr>
        <w:t>”指标，预期指标值为</w:t>
      </w:r>
      <w:r>
        <w:rPr>
          <w:rFonts w:hint="eastAsia" w:ascii="Times New Roman" w:hAnsi="Times New Roman" w:cs="Times New Roman"/>
          <w:color w:val="auto"/>
          <w:highlight w:val="none"/>
          <w:lang w:val="en-US" w:eastAsia="zh-CN"/>
        </w:rPr>
        <w:t>大于等于</w:t>
      </w:r>
      <w:r>
        <w:rPr>
          <w:rFonts w:hint="eastAsia" w:ascii="Times New Roman" w:hAnsi="Times New Roman" w:cs="Times New Roman"/>
          <w:color w:val="auto"/>
          <w:highlight w:val="none"/>
        </w:rPr>
        <w:t>80%</w:t>
      </w:r>
      <w:r>
        <w:rPr>
          <w:rFonts w:hint="eastAsia" w:ascii="Times New Roman" w:hAnsi="Times New Roman" w:cs="Times New Roman"/>
          <w:color w:val="auto"/>
          <w:highlight w:val="none"/>
          <w:lang w:val="en-US" w:eastAsia="zh-CN"/>
        </w:rPr>
        <w:t>。</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“项目完成及时率”指标，预期指标值为大于等于95%。</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“县委办办公经费”指标，预期指标值为小于等于160万元；</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“专用通信保障费用”指标，预期指标值为小于等于15万元；</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“年鉴出版费”指标，预期指标值为小于等于10万元；</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“机要保密业务经费</w:t>
      </w:r>
      <w:r>
        <w:rPr>
          <w:rFonts w:hint="eastAsia" w:ascii="Times New Roman" w:hAnsi="Times New Roman" w:cs="Times New Roman"/>
          <w:color w:val="auto"/>
          <w:highlight w:val="none"/>
          <w:lang w:val="en-US" w:eastAsia="zh-CN"/>
        </w:rPr>
        <w:tab/>
      </w:r>
      <w:r>
        <w:rPr>
          <w:rFonts w:hint="eastAsia" w:ascii="Times New Roman" w:hAnsi="Times New Roman" w:cs="Times New Roman"/>
          <w:color w:val="auto"/>
          <w:highlight w:val="none"/>
          <w:lang w:val="en-US" w:eastAsia="zh-CN"/>
        </w:rPr>
        <w:t>”指标，预期指标值为小于等于25万元；</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“档案业务经费”指标，预期指标值为小于等于50万元；</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无；</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②社会效益指标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“提升公共服务水平”指标，预期指标值为明显提升；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“提高各部门办公效率”指标，预期指标值为明显提升；</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22169_WPSOffice_Level2"/>
      <w:bookmarkStart w:id="1" w:name="_Toc12868"/>
      <w:bookmarkStart w:id="2" w:name="_Toc5258"/>
      <w:bookmarkStart w:id="3" w:name="_Toc22922"/>
      <w:bookmarkStart w:id="4" w:name="_Toc21664"/>
      <w:bookmarkStart w:id="5" w:name="_Toc26632"/>
      <w:bookmarkStart w:id="6" w:name="_Toc5462343"/>
      <w:bookmarkStart w:id="7" w:name="_Toc480473081"/>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2"/>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val="en-US" w:eastAsia="zh-CN"/>
        </w:rPr>
        <w:t>县委办综合业务项目经费</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pPr>
        <w:pStyle w:val="2"/>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2"/>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2"/>
        <w:ind w:firstLine="562"/>
        <w:rPr>
          <w:color w:val="auto"/>
          <w:highlight w:val="none"/>
        </w:rPr>
      </w:pPr>
      <w:bookmarkStart w:id="8" w:name="_Toc428278230"/>
      <w:bookmarkStart w:id="9" w:name="_Toc1913"/>
      <w:bookmarkStart w:id="10" w:name="_Toc419984722"/>
      <w:bookmarkStart w:id="11" w:name="_Toc26131"/>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2"/>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6"/>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6"/>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6"/>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6"/>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6"/>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6"/>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6"/>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6"/>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2"/>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（1）评价组组长：马宁，</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w:t>
      </w:r>
      <w:r>
        <w:rPr>
          <w:rFonts w:hint="eastAsia"/>
          <w:b w:val="0"/>
          <w:color w:val="auto"/>
          <w:szCs w:val="32"/>
          <w:highlight w:val="none"/>
          <w:lang w:val="en-US" w:eastAsia="zh-CN"/>
        </w:rPr>
        <w:t>张国宏、田建国、吕玉华、周萍</w:t>
      </w:r>
      <w:r>
        <w:rPr>
          <w:rFonts w:hint="eastAsia"/>
          <w:color w:val="auto"/>
          <w:highlight w:val="none"/>
          <w:lang w:val="en-US" w:eastAsia="zh-CN"/>
        </w:rPr>
        <w:t>，</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（3）评价组成员：任博</w:t>
      </w:r>
      <w:r>
        <w:rPr>
          <w:rFonts w:hint="eastAsia"/>
          <w:b w:val="0"/>
          <w:color w:val="auto"/>
          <w:szCs w:val="32"/>
          <w:highlight w:val="none"/>
        </w:rPr>
        <w:t>、赵延武、高柏林、胡艳波、李娟、王云、</w:t>
      </w:r>
      <w:r>
        <w:rPr>
          <w:rFonts w:hint="eastAsia"/>
          <w:color w:val="auto"/>
          <w:highlight w:val="none"/>
          <w:lang w:val="en-US" w:eastAsia="zh-CN"/>
        </w:rPr>
        <w:t>张华、郝鑫鑫</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2"/>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　</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经评价，本项目较大程度达成</w:t>
      </w:r>
      <w:r>
        <w:rPr>
          <w:rFonts w:hint="eastAsia"/>
          <w:color w:val="auto"/>
          <w:highlight w:val="none"/>
          <w:lang w:val="zh-TW" w:eastAsia="zh-TW"/>
        </w:rPr>
        <w:t>年初设立的绩效目标</w:t>
      </w:r>
      <w:r>
        <w:rPr>
          <w:rFonts w:hint="eastAsia"/>
          <w:color w:val="auto"/>
          <w:highlight w:val="none"/>
          <w:lang w:eastAsia="zh-CN"/>
        </w:rPr>
        <w:t>，项目总体组织规范，在实施过程中取得了</w:t>
      </w:r>
      <w:r>
        <w:rPr>
          <w:rFonts w:hint="eastAsia"/>
          <w:color w:val="auto"/>
          <w:highlight w:val="none"/>
          <w:lang w:val="en-US" w:eastAsia="zh-CN"/>
        </w:rPr>
        <w:t>较好</w:t>
      </w:r>
      <w:r>
        <w:rPr>
          <w:rFonts w:hint="eastAsia"/>
          <w:color w:val="auto"/>
          <w:highlight w:val="none"/>
          <w:lang w:eastAsia="zh-CN"/>
        </w:rPr>
        <w:t>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ascii="Times New Roman" w:hAnsi="Times New Roman" w:cs="Times New Roman"/>
          <w:color w:val="auto"/>
          <w:highlight w:val="none"/>
          <w:lang w:eastAsia="zh-CN"/>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本项目立项符合《托克逊县委办公室关于印发〈中共托克逊县委员会办公室职能配置、内设机构和人员编制规定〉的通知》（托党办字〔2019〕21号）</w:t>
      </w: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eastAsia="zh-CN"/>
        </w:rPr>
        <w:t>《</w:t>
      </w:r>
      <w:r>
        <w:rPr>
          <w:rFonts w:hint="eastAsia"/>
          <w:color w:val="auto"/>
          <w:highlight w:val="none"/>
          <w:lang w:val="en-US" w:eastAsia="zh-CN"/>
        </w:rPr>
        <w:t>托克逊县2023年一般预算项目申报表》及相关附件资料</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单位按照程序向中共托克逊县委员会办公室提交了县委办综合业务项目经费申请报告等相关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ascii="Times New Roman" w:hAnsi="Times New Roman" w:cs="Times New Roman"/>
          <w:color w:val="auto"/>
          <w:highlight w:val="none"/>
          <w:lang w:val="en-US" w:eastAsia="zh-CN"/>
        </w:rPr>
        <w:t xml:space="preserve">。严格按照资金支付管理制度以及资金管理办法规定的范围和标准分配资金。严格按照预算法及其实施条例及资金管理办法规定的时限要求分解下达。 </w:t>
      </w:r>
    </w:p>
    <w:p>
      <w:pPr>
        <w:bidi w:val="0"/>
        <w:rPr>
          <w:rFonts w:hint="eastAsia"/>
          <w:color w:val="auto"/>
          <w:highlight w:val="none"/>
          <w:lang w:val="en-US" w:eastAsia="zh-CN"/>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根据我单位制定的《县委办公室预算管理制度》、《县委办公室收支管理制度》、《县委办公室采购业务管理制度》《县委办公室合同管理制度》,项目管理方面均符合行政事业单位内控管理要求,根据财政要求,将绩效目标将有关资金纳入本级预算绩效管理，开展绩效监控和绩效评价。</w:t>
      </w:r>
      <w:r>
        <w:rPr>
          <w:rFonts w:hint="eastAsia"/>
          <w:color w:val="auto"/>
          <w:highlight w:val="none"/>
          <w:lang w:eastAsia="zh-CN"/>
        </w:rPr>
        <w:t>严格按照</w:t>
      </w:r>
      <w:r>
        <w:rPr>
          <w:rFonts w:hint="eastAsia"/>
          <w:color w:val="auto"/>
          <w:highlight w:val="none"/>
          <w:lang w:val="en-US" w:eastAsia="zh-CN"/>
        </w:rPr>
        <w:t>资金</w:t>
      </w:r>
      <w:r>
        <w:rPr>
          <w:rFonts w:hint="eastAsia"/>
          <w:color w:val="auto"/>
          <w:highlight w:val="none"/>
          <w:lang w:eastAsia="zh-CN"/>
        </w:rPr>
        <w:t>支付管理制度以及资金管理办法规定的范围和标准分配资金；</w:t>
      </w:r>
      <w:r>
        <w:rPr>
          <w:rFonts w:hint="eastAsia"/>
          <w:color w:val="auto"/>
          <w:highlight w:val="none"/>
          <w:lang w:val="en-US" w:eastAsia="zh-CN"/>
        </w:rPr>
        <w:t>本项目实际分配资金以《关于申请县委办综合业务项目经费项目资金的请示》和《县委办综合业务项目经费项目实施方案》为依据进行资金分配，预算资金分配依据充分。根据《托财预﹝2023﹞1号资金下达文件》文件,实际分配资金与我单位提交申请的资金额度一致，资金分配额度合理，与我单位实际需求相适应。</w:t>
      </w:r>
    </w:p>
    <w:p>
      <w:pPr>
        <w:bidi w:val="0"/>
        <w:rPr>
          <w:rFonts w:hint="eastAsia"/>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 xml:space="preserve">1.按照“周密严谨、细致认真、简洁高效”的会务保障要求,提前谋划、分工负责、层层把关，做到了会前准备充分，会中服务规范，会议井然有序，办文办会精益求精，服务水平大幅提升，全年承办各项会议等82场次，做好县委办文办会工作。 2.全年确保全县党政专用通信运行维护正常开展431次，3.积极开展《托克逊年鉴》（2023）编纂，出版印刷册数500册，一年一鉴目标高效完成。4.全面落实保密制度要求，建设屏蔽机房1套，机要、保密技术软硬件设备达标，保密意识持续提升，安全底线不断夯实，保障了办公室无泄密事件发生。5.定期对馆藏的档案进行抢救、修复、保护工作，数字化处理2.3万余件，不断提高档案工作监督指导能力，推动全县档案工作提质增效。  </w:t>
      </w:r>
    </w:p>
    <w:p>
      <w:pPr>
        <w:bidi w:val="0"/>
        <w:rPr>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及时按照财政事权和支出责任划分有关规定，做好本单位项目履职工作，足额安排资金履行本级支出责任。</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90.51分，绩效评级为“优秀”。综合评价结论如下：本项目决策指标共设置6个，满分20分，得分率87%；项目过程指标共设置5个，满分20分，得分率91.5%；项目产出指标共设置11个，满分24分，得分率91.75%；项目成本指标共设置5个，满分12分，得分率73.25%；项目效益指标共设置2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17.4</w:t>
      </w:r>
      <w:r>
        <w:rPr>
          <w:rFonts w:hint="eastAsia" w:ascii="仿宋_GB2312" w:hAns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ascii="仿宋_GB2312" w:hAnsi="仿宋_GB2312" w:eastAsia="仿宋_GB2312" w:cs="仿宋_GB2312"/>
          <w:color w:val="auto"/>
          <w:sz w:val="28"/>
          <w:szCs w:val="28"/>
          <w:highlight w:val="none"/>
        </w:rPr>
        <w:t>《托克逊县委办公室关于印发〈中共托克逊县委员会办公室职能配置、内设机构和人员编制规定〉的通知》（托党办字〔2019〕21号）</w:t>
      </w:r>
      <w:r>
        <w:rPr>
          <w:rFonts w:hint="eastAsia"/>
          <w:color w:val="auto"/>
          <w:highlight w:val="none"/>
          <w:lang w:eastAsia="zh-Hans"/>
        </w:rPr>
        <w:t>中职责范围</w:t>
      </w:r>
      <w:r>
        <w:rPr>
          <w:rFonts w:hint="eastAsia"/>
          <w:color w:val="auto"/>
          <w:highlight w:val="none"/>
        </w:rPr>
        <w:t>中的“</w:t>
      </w:r>
      <w:r>
        <w:rPr>
          <w:rFonts w:hint="eastAsia" w:ascii="仿宋_GB2312" w:hAnsi="仿宋_GB2312" w:eastAsia="仿宋_GB2312" w:cs="仿宋_GB2312"/>
          <w:color w:val="auto"/>
          <w:sz w:val="28"/>
          <w:szCs w:val="28"/>
          <w:highlight w:val="none"/>
        </w:rPr>
        <w:t>中共托克逊县委员会办公室是县委的综合部门，是党委履行领导职责的参谋助手。按照县委要求协调有关方面开展工作，承担县委运行保障具体事务。开展县委办专项工作经费项目一是为县委领导传达贯彻落实重要指示精神及重大工作部署、召开各项重大会议、各项重大活动等提供经费保障；</w:t>
      </w:r>
      <w:r>
        <w:rPr>
          <w:rFonts w:hint="eastAsia" w:ascii="仿宋_GB2312" w:hAnsi="仿宋_GB2312" w:eastAsia="仿宋_GB2312" w:cs="仿宋_GB2312"/>
          <w:b w:val="0"/>
          <w:bCs w:val="0"/>
          <w:color w:val="auto"/>
          <w:spacing w:val="0"/>
          <w:sz w:val="28"/>
          <w:szCs w:val="28"/>
          <w:highlight w:val="none"/>
          <w:shd w:val="clear" w:color="auto" w:fill="auto"/>
          <w:lang w:eastAsia="zh-CN"/>
        </w:rPr>
        <w:t>办文办会精益求精</w:t>
      </w:r>
      <w:r>
        <w:rPr>
          <w:rFonts w:hint="eastAsia" w:ascii="仿宋_GB2312" w:hAnsi="仿宋_GB2312" w:eastAsia="仿宋_GB2312" w:cs="仿宋_GB2312"/>
          <w:b w:val="0"/>
          <w:bCs w:val="0"/>
          <w:color w:val="auto"/>
          <w:spacing w:val="0"/>
          <w:sz w:val="28"/>
          <w:szCs w:val="28"/>
          <w:highlight w:val="none"/>
          <w:shd w:val="clear" w:color="auto" w:fill="auto"/>
        </w:rPr>
        <w:t>，</w:t>
      </w:r>
      <w:r>
        <w:rPr>
          <w:rFonts w:hint="eastAsia" w:ascii="仿宋_GB2312" w:hAnsi="仿宋_GB2312" w:eastAsia="仿宋_GB2312" w:cs="仿宋_GB2312"/>
          <w:b w:val="0"/>
          <w:bCs w:val="0"/>
          <w:snapToGrid w:val="0"/>
          <w:color w:val="auto"/>
          <w:spacing w:val="0"/>
          <w:kern w:val="0"/>
          <w:sz w:val="28"/>
          <w:szCs w:val="28"/>
          <w:highlight w:val="none"/>
          <w:lang w:eastAsia="zh-CN"/>
        </w:rPr>
        <w:t>服务水平大幅提升</w:t>
      </w:r>
      <w:r>
        <w:rPr>
          <w:rFonts w:hint="eastAsia" w:ascii="仿宋_GB2312" w:hAnsi="仿宋_GB2312" w:eastAsia="仿宋_GB2312" w:cs="仿宋_GB2312"/>
          <w:b w:val="0"/>
          <w:bCs w:val="0"/>
          <w:color w:val="auto"/>
          <w:sz w:val="28"/>
          <w:szCs w:val="28"/>
          <w:highlight w:val="none"/>
        </w:rPr>
        <w:t>；</w:t>
      </w:r>
      <w:r>
        <w:rPr>
          <w:rFonts w:hint="eastAsia" w:ascii="仿宋_GB2312" w:hAnsi="仿宋_GB2312" w:eastAsia="仿宋_GB2312" w:cs="仿宋_GB2312"/>
          <w:color w:val="auto"/>
          <w:sz w:val="28"/>
          <w:szCs w:val="28"/>
          <w:highlight w:val="none"/>
        </w:rPr>
        <w:t>保障全县党政专用通信运行维护正常开展，时刻确保党政专用通信安全畅通；</w:t>
      </w:r>
      <w:r>
        <w:rPr>
          <w:rFonts w:hint="eastAsia" w:ascii="仿宋_GB2312" w:hAnsi="仿宋_GB2312" w:eastAsia="仿宋_GB2312" w:cs="仿宋_GB2312"/>
          <w:b w:val="0"/>
          <w:bCs w:val="0"/>
          <w:color w:val="auto"/>
          <w:kern w:val="2"/>
          <w:sz w:val="28"/>
          <w:szCs w:val="28"/>
          <w:highlight w:val="none"/>
          <w:lang w:eastAsia="zh-CN" w:bidi="ar-SA"/>
        </w:rPr>
        <w:t>积极开展《托克逊年鉴》编纂，</w:t>
      </w:r>
      <w:r>
        <w:rPr>
          <w:rFonts w:hint="eastAsia" w:ascii="仿宋_GB2312" w:hAnsi="仿宋_GB2312" w:eastAsia="仿宋_GB2312" w:cs="仿宋_GB2312"/>
          <w:b w:val="0"/>
          <w:bCs w:val="0"/>
          <w:color w:val="auto"/>
          <w:kern w:val="2"/>
          <w:sz w:val="28"/>
          <w:szCs w:val="28"/>
          <w:highlight w:val="none"/>
          <w:lang w:val="en-US" w:eastAsia="zh-CN" w:bidi="ar-SA"/>
        </w:rPr>
        <w:t>稳步推进</w:t>
      </w:r>
      <w:r>
        <w:rPr>
          <w:rFonts w:hint="eastAsia" w:ascii="仿宋_GB2312" w:hAnsi="仿宋_GB2312" w:eastAsia="仿宋_GB2312" w:cs="仿宋_GB2312"/>
          <w:b w:val="0"/>
          <w:bCs w:val="0"/>
          <w:color w:val="auto"/>
          <w:kern w:val="2"/>
          <w:sz w:val="28"/>
          <w:szCs w:val="28"/>
          <w:highlight w:val="none"/>
          <w:lang w:eastAsia="zh-CN" w:bidi="ar-SA"/>
        </w:rPr>
        <w:t>续志编修工作</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b w:val="0"/>
          <w:bCs w:val="0"/>
          <w:color w:val="auto"/>
          <w:sz w:val="28"/>
          <w:szCs w:val="28"/>
          <w:highlight w:val="none"/>
          <w:lang w:val="en-US" w:eastAsia="zh-CN"/>
        </w:rPr>
        <w:t>不断提高档案工作监督指导能力，不断推动全县档案工作提质增效</w:t>
      </w:r>
      <w:r>
        <w:rPr>
          <w:rFonts w:hint="eastAsia" w:ascii="仿宋_GB2312" w:hAnsi="仿宋_GB2312" w:cs="仿宋_GB2312"/>
          <w:b w:val="0"/>
          <w:bCs w:val="0"/>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确保完成县委交办的其他工作。</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；根据《财政资金直接支付申请书》，本项目资金性质为为</w:t>
      </w:r>
      <w:r>
        <w:rPr>
          <w:rFonts w:hint="eastAsia"/>
          <w:color w:val="auto"/>
          <w:highlight w:val="none"/>
          <w:lang w:val="en-US" w:eastAsia="zh-CN"/>
        </w:rPr>
        <w:t>县委办综合业务项目经费</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其他党委办公厅（室）及相关机构事务支出</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商品服务</w:t>
      </w:r>
      <w:r>
        <w:rPr>
          <w:rFonts w:hint="eastAsia"/>
          <w:color w:val="auto"/>
          <w:highlight w:val="none"/>
        </w:rPr>
        <w:t>支出</w:t>
      </w:r>
      <w:r>
        <w:rPr>
          <w:rFonts w:hint="eastAsia"/>
          <w:color w:val="auto"/>
          <w:highlight w:val="none"/>
          <w:lang w:val="en-US"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eastAsia="zh-CN"/>
        </w:rPr>
        <w:t>《</w:t>
      </w:r>
      <w:r>
        <w:rPr>
          <w:rFonts w:hint="eastAsia"/>
          <w:color w:val="auto"/>
          <w:highlight w:val="none"/>
          <w:lang w:val="en-US" w:eastAsia="zh-CN"/>
        </w:rPr>
        <w:t>托克逊县2023年一般预算项目申报表》及相关附件资料</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单位按照程序向中共托克逊县委员会办公室提交了县委办综合业务项目经费申请报告等相关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2"/>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 xml:space="preserve">1.为县委领导传达贯彻落实重要指示精神及工作部署、召开各项会议等70场次，做好县委办文办会工作。 </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 xml:space="preserve">2.全县党政专用通信运行维护正常开展，时刻确保党政专用通信安全畅通； </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3.完成《托克逊年鉴》出版任务，出版印刷册数500册。</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4.全面落实保密制度要求，建设屏蔽机房1间，确保保密技术软硬件设备达标。</w:t>
      </w:r>
    </w:p>
    <w:p>
      <w:pPr>
        <w:bidi w:val="0"/>
        <w:rPr>
          <w:rFonts w:hint="eastAsia"/>
          <w:color w:val="auto"/>
          <w:highlight w:val="none"/>
          <w:lang w:val="en-US" w:eastAsia="zh-CN"/>
        </w:rPr>
      </w:pPr>
      <w:r>
        <w:rPr>
          <w:rFonts w:hint="eastAsia" w:ascii="Times New Roman" w:hAnsi="Times New Roman" w:cs="Times New Roman"/>
          <w:color w:val="auto"/>
          <w:highlight w:val="none"/>
          <w:lang w:val="en-US" w:eastAsia="zh-CN"/>
        </w:rPr>
        <w:t>5.定期对馆藏的档案进行抢救、修复、保护工作，数字化处理5万件</w:t>
      </w:r>
      <w:r>
        <w:rPr>
          <w:rFonts w:hint="eastAsia" w:ascii="Times New Roman" w:hAnsi="Times New Roman" w:cs="Times New Roman"/>
          <w:color w:val="auto"/>
          <w:highlight w:val="none"/>
          <w:lang w:eastAsia="zh-CN"/>
        </w:rPr>
        <w:t>。</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w:t>
      </w:r>
      <w:r>
        <w:rPr>
          <w:rFonts w:hint="eastAsia"/>
          <w:color w:val="auto"/>
          <w:highlight w:val="none"/>
          <w:lang w:val="en-US" w:eastAsia="zh-CN"/>
        </w:rPr>
        <w:t>基本</w:t>
      </w:r>
      <w:r>
        <w:rPr>
          <w:rFonts w:hint="eastAsia"/>
          <w:color w:val="auto"/>
          <w:highlight w:val="none"/>
        </w:rPr>
        <w:t>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260</w:t>
      </w:r>
      <w:r>
        <w:rPr>
          <w:color w:val="auto"/>
          <w:highlight w:val="none"/>
        </w:rPr>
        <w:t>万元，</w:t>
      </w:r>
      <w:r>
        <w:rPr>
          <w:rFonts w:hint="eastAsia"/>
          <w:color w:val="auto"/>
          <w:highlight w:val="none"/>
          <w:lang w:val="en-US" w:eastAsia="zh-CN"/>
        </w:rPr>
        <w:t>实际支出149.24万元，</w:t>
      </w:r>
      <w:r>
        <w:rPr>
          <w:rFonts w:hint="eastAsia"/>
          <w:color w:val="auto"/>
          <w:highlight w:val="none"/>
        </w:rPr>
        <w:t>绩效目标与预算确定项目资金量不够匹配，根据评分要点，扣1分</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综上所述，该指标满分4分，根据评分标准得3分。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w:t>
      </w:r>
      <w:r>
        <w:rPr>
          <w:rFonts w:hint="eastAsia"/>
          <w:color w:val="auto"/>
          <w:highlight w:val="none"/>
          <w:lang w:val="en-US" w:eastAsia="zh-CN"/>
        </w:rPr>
        <w:t>18个三级</w:t>
      </w:r>
      <w:r>
        <w:rPr>
          <w:rFonts w:hint="eastAsia"/>
          <w:color w:val="auto"/>
          <w:highlight w:val="none"/>
          <w:lang w:eastAsia="zh-CN"/>
        </w:rPr>
        <w:t>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88.89</w:t>
      </w:r>
      <w:r>
        <w:rPr>
          <w:rFonts w:hint="eastAsia"/>
          <w:color w:val="auto"/>
          <w:highlight w:val="none"/>
          <w:lang w:eastAsia="zh-CN"/>
        </w:rPr>
        <w:t>%以上；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2"/>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260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县委办综合业务项目</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③我单位预算额度依据上年度</w:t>
      </w:r>
      <w:r>
        <w:rPr>
          <w:rFonts w:hint="eastAsia" w:ascii="仿宋_GB2312" w:cs="仿宋_GB2312"/>
          <w:color w:val="auto"/>
          <w:sz w:val="28"/>
          <w:szCs w:val="28"/>
          <w:highlight w:val="none"/>
          <w:lang w:val="en-US" w:eastAsia="zh-CN"/>
        </w:rPr>
        <w:t>完成值进行</w:t>
      </w:r>
      <w:r>
        <w:rPr>
          <w:rFonts w:hint="eastAsia" w:ascii="仿宋_GB2312" w:cs="仿宋_GB2312"/>
          <w:color w:val="auto"/>
          <w:sz w:val="28"/>
          <w:szCs w:val="28"/>
          <w:highlight w:val="none"/>
        </w:rPr>
        <w:t>测算，未充分考虑2023年度的任务变化，因此不够充分，个别指标预期值设置偏高，根据评分要点扣0.8分</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县委办办公经费160万元，实际支出78.71万元，专用通信保障费用15万元，实际支出7.19万元，档案业务经费50万元，实际执行34.58万元，预算确定的项目资金量与个别指标预期任务有偏差，根据评价要点，扣0.8分。</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lang w:eastAsia="zh-CN"/>
        </w:rPr>
        <w:t>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bidi="ar"/>
        </w:rPr>
        <w:t>县委办综合业务项目经费</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bidi="ar"/>
        </w:rPr>
        <w:t>县委办综合业务项目经费</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ascii="Times New Roman" w:hAnsi="Times New Roman" w:cs="Times New Roman"/>
          <w:color w:val="auto"/>
          <w:highlight w:val="none"/>
          <w:lang w:val="en-US" w:eastAsia="zh-CN" w:bidi="ar"/>
        </w:rPr>
        <w:t>《托财预﹝2023﹞1号资金下达文件》文</w:t>
      </w:r>
      <w:r>
        <w:rPr>
          <w:rFonts w:hint="eastAsia"/>
          <w:color w:val="auto"/>
          <w:highlight w:val="none"/>
          <w:lang w:bidi="ar"/>
        </w:rPr>
        <w:t>件显示，本项目实际到位资金</w:t>
      </w:r>
      <w:r>
        <w:rPr>
          <w:rFonts w:hint="eastAsia"/>
          <w:color w:val="auto"/>
          <w:highlight w:val="none"/>
          <w:lang w:val="en-US" w:eastAsia="zh-CN" w:bidi="ar"/>
        </w:rPr>
        <w:t>260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18.3</w:t>
      </w:r>
      <w:r>
        <w:rPr>
          <w:rFonts w:hint="eastAsia" w:asci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260</w:t>
      </w:r>
      <w:r>
        <w:rPr>
          <w:rFonts w:hint="eastAsia"/>
          <w:color w:val="auto"/>
          <w:highlight w:val="none"/>
        </w:rPr>
        <w:t>万元，其中：本级财政安排资金</w:t>
      </w:r>
      <w:r>
        <w:rPr>
          <w:rFonts w:hint="eastAsia"/>
          <w:color w:val="auto"/>
          <w:highlight w:val="none"/>
          <w:lang w:val="en-US" w:eastAsia="zh-CN"/>
        </w:rPr>
        <w:t>260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260</w:t>
      </w:r>
      <w:r>
        <w:rPr>
          <w:rFonts w:hint="eastAsia"/>
          <w:color w:val="auto"/>
          <w:highlight w:val="none"/>
        </w:rPr>
        <w:t>万元，资金到位率=（实际到位资金/预算资金）×100%=（</w:t>
      </w:r>
      <w:r>
        <w:rPr>
          <w:rFonts w:hint="eastAsia"/>
          <w:color w:val="auto"/>
          <w:highlight w:val="none"/>
          <w:lang w:val="en-US" w:eastAsia="zh-CN"/>
        </w:rPr>
        <w:t>260</w:t>
      </w:r>
      <w:r>
        <w:rPr>
          <w:rFonts w:hint="eastAsia"/>
          <w:color w:val="auto"/>
          <w:highlight w:val="none"/>
        </w:rPr>
        <w:t>/</w:t>
      </w:r>
      <w:r>
        <w:rPr>
          <w:rFonts w:hint="eastAsia"/>
          <w:color w:val="auto"/>
          <w:highlight w:val="none"/>
          <w:lang w:val="en-US" w:eastAsia="zh-CN"/>
        </w:rPr>
        <w:t>260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149.24</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149.24</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149.24</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260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57.4</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default"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2.3</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57.4</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中共托克逊县委员会办公室</w:t>
      </w:r>
      <w:r>
        <w:rPr>
          <w:rFonts w:hint="eastAsia"/>
          <w:color w:val="auto"/>
          <w:highlight w:val="none"/>
        </w:rPr>
        <w:t>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2"/>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县委办公室预算管理制度</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县委办公室收支</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县委办公室</w:t>
      </w:r>
      <w:r>
        <w:rPr>
          <w:rFonts w:hint="eastAsia"/>
          <w:color w:val="auto"/>
          <w:highlight w:val="none"/>
        </w:rPr>
        <w:t>采购业务管理制度》《</w:t>
      </w:r>
      <w:r>
        <w:rPr>
          <w:rFonts w:hint="eastAsia"/>
          <w:color w:val="auto"/>
          <w:highlight w:val="none"/>
          <w:lang w:val="en-US" w:eastAsia="zh-CN"/>
        </w:rPr>
        <w:t>县委办公室</w:t>
      </w:r>
      <w:r>
        <w:rPr>
          <w:rFonts w:hint="eastAsia"/>
          <w:color w:val="auto"/>
          <w:highlight w:val="none"/>
        </w:rPr>
        <w:t>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该项目的实施符合《中共托克逊县委员会办公室单位资金管理办法》、《中共托克逊县委员会办公室收支管理制度》、《中共托克逊县委员会办公室采购业务管理制度》《中共托克逊县委员会办公室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项目启动实施后，为了加快本项目的实施，成立了</w:t>
      </w:r>
      <w:r>
        <w:rPr>
          <w:rFonts w:hint="eastAsia"/>
          <w:color w:val="auto"/>
          <w:highlight w:val="none"/>
          <w:lang w:val="en-US" w:eastAsia="zh-CN"/>
        </w:rPr>
        <w:t>县委办综合业务项目经费</w:t>
      </w:r>
      <w:r>
        <w:rPr>
          <w:rFonts w:hint="eastAsia"/>
          <w:color w:val="auto"/>
          <w:highlight w:val="none"/>
        </w:rPr>
        <w:t>项目工作领导小组，由</w:t>
      </w:r>
      <w:r>
        <w:rPr>
          <w:rFonts w:hint="eastAsia"/>
          <w:color w:val="auto"/>
          <w:highlight w:val="none"/>
          <w:lang w:val="en-US" w:eastAsia="zh-CN"/>
        </w:rPr>
        <w:t>办公室主任马宁同志</w:t>
      </w:r>
      <w:r>
        <w:rPr>
          <w:rFonts w:hint="eastAsia"/>
          <w:color w:val="auto"/>
          <w:highlight w:val="none"/>
        </w:rPr>
        <w:t>任组长，负责项目的组织工作；</w:t>
      </w:r>
      <w:r>
        <w:rPr>
          <w:rFonts w:hint="eastAsia"/>
          <w:color w:val="auto"/>
          <w:highlight w:val="none"/>
          <w:lang w:val="en-US" w:eastAsia="zh-CN"/>
        </w:rPr>
        <w:t>办公室副主任张国宏同志</w:t>
      </w:r>
      <w:r>
        <w:rPr>
          <w:rFonts w:hint="eastAsia"/>
          <w:color w:val="auto"/>
          <w:highlight w:val="none"/>
        </w:rPr>
        <w:t>任副组长，负责项目的实施工作；组员包括：</w:t>
      </w:r>
      <w:r>
        <w:rPr>
          <w:rFonts w:hint="eastAsia"/>
          <w:color w:val="auto"/>
          <w:highlight w:val="none"/>
          <w:lang w:val="en-US" w:eastAsia="zh-CN"/>
        </w:rPr>
        <w:t>任博</w:t>
      </w:r>
      <w:r>
        <w:rPr>
          <w:rFonts w:hint="eastAsia"/>
          <w:b w:val="0"/>
          <w:color w:val="auto"/>
          <w:szCs w:val="32"/>
          <w:highlight w:val="none"/>
        </w:rPr>
        <w:t>、赵延武、高柏林、胡艳波、李娟、王云、</w:t>
      </w:r>
      <w:r>
        <w:rPr>
          <w:rFonts w:hint="eastAsia"/>
          <w:color w:val="auto"/>
          <w:highlight w:val="none"/>
          <w:lang w:val="en-US" w:eastAsia="zh-CN"/>
        </w:rPr>
        <w:t>张华、郝鑫鑫</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22.02</w:t>
      </w:r>
      <w:r>
        <w:rPr>
          <w:rFonts w:hint="eastAsia" w:asci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“承办服务各类会议”指标：预期指标值为大于等于70.0场次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82次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预期年度指标值设置偏低；改进措施：加强学习，提高项目绩效的认识，加强业务人员与财务人员沟通，提高绩效目标设定精准性。</w:t>
      </w:r>
    </w:p>
    <w:p>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“保障党政专用通信会议”指标，预期指标值为等于600场次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431场次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71.83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偏差原因：落实精简会议要求，本年度会议精简，预期年度指标值设置偏高；改进措施：加强学习，提高项目绩效的认识，加强业务人员与财务人员沟通，提高绩效目标设定精准性。</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“《托克逊年鉴》出版套数”指标：预期指标值为大于等于500套，实际完成指标值为500套，指标完成率为100%。</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“机房空调和安全防护设备”指标：预期指标值为等于1套</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1套</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预算单位档案管理”指标：预期指标值为等于5万件，实际完成指标值为2.3万件，指标完成率为46%，偏差原因主要为年初指标值设定明显偏高，改进措施：加强学习，提高项目绩效的认识，加强业务人员与财务人员沟通，提高绩效目标设定精准性</w:t>
      </w:r>
      <w:r>
        <w:rPr>
          <w:rFonts w:hint="eastAsia" w:ascii="仿宋_GB2312" w:hAnsi="仿宋_GB2312" w:eastAsia="仿宋_GB2312" w:cs="仿宋_GB2312"/>
          <w:b w:val="0"/>
          <w:bCs w:val="0"/>
          <w:color w:val="auto"/>
          <w:kern w:val="2"/>
          <w:sz w:val="28"/>
          <w:szCs w:val="28"/>
          <w:highlight w:val="none"/>
          <w:lang w:val="en-US" w:eastAsia="zh-CN" w:bidi="ar-SA"/>
        </w:rPr>
        <w:tab/>
      </w:r>
      <w:r>
        <w:rPr>
          <w:rFonts w:hint="eastAsia" w:ascii="仿宋_GB2312" w:hAnsi="仿宋_GB2312" w:eastAsia="仿宋_GB2312" w:cs="仿宋_GB2312"/>
          <w:b w:val="0"/>
          <w:bCs w:val="0"/>
          <w:color w:val="auto"/>
          <w:kern w:val="2"/>
          <w:sz w:val="28"/>
          <w:szCs w:val="28"/>
          <w:highlight w:val="none"/>
          <w:lang w:val="en-US" w:eastAsia="zh-CN" w:bidi="ar-SA"/>
        </w:rPr>
        <w:t>。</w:t>
      </w:r>
    </w:p>
    <w:p>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“机关事务正常运转率”指标，预期指标值为等于100%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“党政专用通信运转情况”指标，预期指标值为等于100%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“年鉴数据或者文字差错率”指标，预期指标值为小于等于0.03%</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0.03%</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“机房设备验收合格率”指标，预期指标值为等于100%</w:t>
      </w:r>
      <w:r>
        <w:rPr>
          <w:rFonts w:hint="eastAsia" w:ascii="仿宋_GB2312" w:hAnsi="仿宋_GB2312" w:cs="仿宋_GB2312"/>
          <w:color w:val="auto"/>
          <w:sz w:val="28"/>
          <w:szCs w:val="28"/>
          <w:highlight w:val="none"/>
        </w:rPr>
        <w:t>，实际完成指标值为指标完成率为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“预算单位档案数字化”指标，预期指标值为大于等于80%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2"/>
        <w:bidi w:val="0"/>
        <w:rPr>
          <w:rFonts w:hint="eastAsia"/>
          <w:color w:val="auto"/>
          <w:highlight w:val="none"/>
        </w:rPr>
      </w:pPr>
      <w:r>
        <w:rPr>
          <w:rFonts w:hint="eastAsia"/>
          <w:color w:val="auto"/>
          <w:highlight w:val="none"/>
          <w:lang w:val="en-US" w:eastAsia="zh-CN"/>
        </w:rPr>
        <w:t>3.时效指标完成情况分析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lang w:val="en-US" w:eastAsia="zh-CN"/>
        </w:rPr>
        <w:t>“项目完成及时率”指标，预期指标值为大于等于95%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8.79</w:t>
      </w:r>
      <w:r>
        <w:rPr>
          <w:rFonts w:hint="eastAsia" w:ascii="仿宋_GB2312" w:cs="仿宋_GB2312"/>
          <w:color w:val="auto"/>
          <w:sz w:val="28"/>
          <w:szCs w:val="28"/>
          <w:highlight w:val="none"/>
        </w:rPr>
        <w:t>分。</w:t>
      </w:r>
    </w:p>
    <w:p>
      <w:pPr>
        <w:pStyle w:val="2"/>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“县委办办公经费”指标，预期指标值为小于等于160万元</w:t>
      </w:r>
      <w:r>
        <w:rPr>
          <w:rFonts w:hint="eastAsia" w:ascii="仿宋_GB2312" w:hAnsi="仿宋_GB2312" w:cs="仿宋_GB2312"/>
          <w:color w:val="auto"/>
          <w:sz w:val="28"/>
          <w:szCs w:val="28"/>
          <w:highlight w:val="none"/>
        </w:rPr>
        <w:t>，实际完成指标值为78.71万元，指标完成率为</w:t>
      </w:r>
      <w:r>
        <w:rPr>
          <w:rFonts w:hint="eastAsia" w:ascii="仿宋_GB2312" w:hAnsi="仿宋_GB2312" w:cs="仿宋_GB2312"/>
          <w:color w:val="auto"/>
          <w:sz w:val="28"/>
          <w:szCs w:val="28"/>
          <w:highlight w:val="none"/>
          <w:lang w:val="en-US" w:eastAsia="zh-CN"/>
        </w:rPr>
        <w:t>49.19</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：该项目经费为补充办公经费项目，本年度按财政部门要求，先使用公用经费支出，导致项目支出进度缓慢；改进措施：做好经费管理，严格按序时进度予以支付。</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“专用通信保障费用”指标，预期指标值为小于等于15万元</w:t>
      </w:r>
      <w:r>
        <w:rPr>
          <w:rFonts w:hint="eastAsia" w:ascii="仿宋_GB2312" w:hAnsi="仿宋_GB2312" w:cs="仿宋_GB2312"/>
          <w:color w:val="auto"/>
          <w:sz w:val="28"/>
          <w:szCs w:val="28"/>
          <w:highlight w:val="none"/>
        </w:rPr>
        <w:t>，实际完成指标值为7.19万元，指标完成率为</w:t>
      </w:r>
      <w:r>
        <w:rPr>
          <w:rFonts w:hint="eastAsia" w:ascii="仿宋_GB2312" w:hAnsi="仿宋_GB2312" w:cs="仿宋_GB2312"/>
          <w:color w:val="auto"/>
          <w:sz w:val="28"/>
          <w:szCs w:val="28"/>
          <w:highlight w:val="none"/>
          <w:lang w:val="en-US" w:eastAsia="zh-CN"/>
        </w:rPr>
        <w:t>47.93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：该项目经费为补充办公经费项目，本年度按财政部门要求，先使用公用经费支出，导致项目支出进度缓慢；改进措施：做好经费管理，严格按序时进度予以支付。</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“年鉴出版费”指标，预期指标值为小于等于10万元</w:t>
      </w:r>
      <w:r>
        <w:rPr>
          <w:rFonts w:hint="eastAsia" w:ascii="仿宋_GB2312" w:hAnsi="仿宋_GB2312" w:cs="仿宋_GB2312"/>
          <w:color w:val="auto"/>
          <w:sz w:val="28"/>
          <w:szCs w:val="28"/>
          <w:highlight w:val="none"/>
        </w:rPr>
        <w:t>，实际完成指标值为8.5万元，指标完成率为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“机要保密业务经费</w:t>
      </w:r>
      <w:r>
        <w:rPr>
          <w:rFonts w:hint="eastAsia" w:ascii="仿宋_GB2312" w:hAnsi="仿宋_GB2312" w:cs="仿宋_GB2312"/>
          <w:color w:val="auto"/>
          <w:sz w:val="28"/>
          <w:szCs w:val="28"/>
          <w:highlight w:val="none"/>
          <w:lang w:val="en-US" w:eastAsia="zh-CN"/>
        </w:rPr>
        <w:tab/>
      </w:r>
      <w:r>
        <w:rPr>
          <w:rFonts w:hint="eastAsia" w:ascii="仿宋_GB2312" w:hAnsi="仿宋_GB2312" w:cs="仿宋_GB2312"/>
          <w:color w:val="auto"/>
          <w:sz w:val="28"/>
          <w:szCs w:val="28"/>
          <w:highlight w:val="none"/>
          <w:lang w:val="en-US" w:eastAsia="zh-CN"/>
        </w:rPr>
        <w:t>”指标，预期指标值为小于等于25万元</w:t>
      </w:r>
      <w:r>
        <w:rPr>
          <w:rFonts w:hint="eastAsia" w:ascii="仿宋_GB2312" w:hAnsi="仿宋_GB2312" w:cs="仿宋_GB2312"/>
          <w:color w:val="auto"/>
          <w:sz w:val="28"/>
          <w:szCs w:val="28"/>
          <w:highlight w:val="none"/>
        </w:rPr>
        <w:t>，实际完成指标值为20.26万元，指标完成率为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rPr>
      </w:pPr>
      <w:r>
        <w:rPr>
          <w:rFonts w:hint="eastAsia" w:ascii="仿宋_GB2312" w:hAnsi="仿宋_GB2312" w:cs="仿宋_GB2312"/>
          <w:color w:val="auto"/>
          <w:sz w:val="28"/>
          <w:szCs w:val="28"/>
          <w:highlight w:val="none"/>
          <w:lang w:val="en-US" w:eastAsia="zh-CN"/>
        </w:rPr>
        <w:t>“档案业务经费”指标，预期指标值为小于等于50万元</w:t>
      </w:r>
      <w:r>
        <w:rPr>
          <w:rFonts w:hint="eastAsia" w:ascii="仿宋_GB2312" w:hAnsi="仿宋_GB2312" w:cs="仿宋_GB2312"/>
          <w:color w:val="auto"/>
          <w:sz w:val="28"/>
          <w:szCs w:val="28"/>
          <w:highlight w:val="none"/>
        </w:rPr>
        <w:t>，实际完成指标值为34.58万元，指标完成率为</w:t>
      </w:r>
      <w:r>
        <w:rPr>
          <w:rFonts w:hint="eastAsia" w:ascii="仿宋_GB2312" w:hAnsi="仿宋_GB2312" w:cs="仿宋_GB2312"/>
          <w:color w:val="auto"/>
          <w:sz w:val="28"/>
          <w:szCs w:val="28"/>
          <w:highlight w:val="none"/>
          <w:lang w:val="en-US" w:eastAsia="zh-CN"/>
        </w:rPr>
        <w:t>69.16</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：该项目经费为补充办公经费项目，本年度按财政部门要求，先使用公用经费支出，导致项目支出进度缓慢；改进措施：做好经费管理，严格按序时进度予以支付。</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“提升公共服务水平”指标，预期指标值为明显提升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“提高各部门办公效率”指标，预期指标值为明显提升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pPr>
        <w:pStyle w:val="2"/>
        <w:bidi w:val="0"/>
        <w:rPr>
          <w:rFonts w:hint="eastAsia"/>
          <w:color w:val="auto"/>
          <w:highlight w:val="none"/>
          <w:lang w:val="en-US" w:eastAsia="zh-CN"/>
        </w:rPr>
      </w:pPr>
      <w:r>
        <w:rPr>
          <w:rFonts w:hint="eastAsia"/>
          <w:color w:val="auto"/>
          <w:highlight w:val="none"/>
          <w:lang w:val="en-US" w:eastAsia="zh-CN"/>
        </w:rPr>
        <w:t>4.满意度指标完成情况分析</w:t>
      </w:r>
    </w:p>
    <w:bookmarkEnd w:id="15"/>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全年预算数为260万元，全年到位数为260万元，全年执行数为149.24万元，预算执行率为57.4%。</w:t>
      </w:r>
    </w:p>
    <w:p>
      <w:pPr>
        <w:pStyle w:val="6"/>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29</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21个，扣分指标数量8个，经分析计算所有三级指标完成率得出本项目</w:t>
      </w:r>
      <w:r>
        <w:rPr>
          <w:rFonts w:hint="eastAsia"/>
          <w:color w:val="auto"/>
          <w:highlight w:val="none"/>
        </w:rPr>
        <w:t>总体完成率为</w:t>
      </w:r>
      <w:r>
        <w:rPr>
          <w:rFonts w:hint="eastAsia"/>
          <w:color w:val="auto"/>
          <w:highlight w:val="none"/>
          <w:lang w:val="en-US" w:eastAsia="zh-CN"/>
        </w:rPr>
        <w:t>88.84</w:t>
      </w:r>
      <w:r>
        <w:rPr>
          <w:rFonts w:hint="eastAsia"/>
          <w:color w:val="auto"/>
          <w:highlight w:val="none"/>
          <w:lang w:val="zh-TW" w:eastAsia="zh-TW"/>
        </w:rPr>
        <w:t>%。</w:t>
      </w:r>
    </w:p>
    <w:p>
      <w:pPr>
        <w:pStyle w:val="6"/>
        <w:rPr>
          <w:rFonts w:hint="default"/>
          <w:color w:val="auto"/>
          <w:highlight w:val="none"/>
          <w:lang w:val="zh-TW" w:eastAsia="zh-CN"/>
        </w:rPr>
      </w:pPr>
      <w:r>
        <w:rPr>
          <w:rFonts w:hint="eastAsia"/>
          <w:color w:val="auto"/>
          <w:highlight w:val="none"/>
          <w:lang w:val="en-US" w:eastAsia="zh-CN"/>
        </w:rPr>
        <w:t>综上所述本项目预算执行率与总体完成率之间的偏差为31.44%。</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pPr>
        <w:numPr>
          <w:ilvl w:val="0"/>
          <w:numId w:val="0"/>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我单位严控资金的拨付使用，严控资金的拨付使用，支出符合国家财经法规和财务管理制度规定以及有关专项资金管理办法的规定</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color w:val="auto"/>
          <w:kern w:val="2"/>
          <w:sz w:val="28"/>
          <w:szCs w:val="28"/>
          <w:highlight w:val="none"/>
          <w:lang w:val="en-US" w:eastAsia="zh-CN"/>
        </w:rPr>
        <w:t>一是</w:t>
      </w:r>
      <w:r>
        <w:rPr>
          <w:rFonts w:hint="eastAsia" w:ascii="仿宋_GB2312" w:hAnsi="仿宋_GB2312" w:eastAsia="仿宋_GB2312" w:cs="仿宋_GB2312"/>
          <w:color w:val="auto"/>
          <w:kern w:val="2"/>
          <w:sz w:val="28"/>
          <w:szCs w:val="28"/>
          <w:highlight w:val="none"/>
        </w:rPr>
        <w:t>资金拨付有完整的审批程序和手续；资金使用无截留、挤占、挪用、虚列支出等情况，并制定出了切实可行的实施计划、管理办法，完善财务内控管理的制度体系等。</w:t>
      </w:r>
      <w:r>
        <w:rPr>
          <w:rFonts w:hint="eastAsia" w:ascii="仿宋_GB2312" w:hAnsi="仿宋_GB2312" w:eastAsia="仿宋_GB2312" w:cs="仿宋_GB2312"/>
          <w:color w:val="auto"/>
          <w:kern w:val="2"/>
          <w:sz w:val="28"/>
          <w:szCs w:val="28"/>
          <w:highlight w:val="none"/>
          <w:lang w:val="en-US" w:eastAsia="zh-CN"/>
        </w:rPr>
        <w:t>二是</w:t>
      </w:r>
      <w:r>
        <w:rPr>
          <w:rFonts w:hint="eastAsia" w:ascii="仿宋_GB2312" w:hAnsi="仿宋_GB2312" w:eastAsia="仿宋_GB2312" w:cs="仿宋_GB2312"/>
          <w:color w:val="auto"/>
          <w:kern w:val="2"/>
          <w:sz w:val="28"/>
          <w:szCs w:val="28"/>
          <w:highlight w:val="none"/>
        </w:rPr>
        <w:t>强化公开公示制度。严格执行预算公开、绩效公开等。通过公开和公示自觉接受社会的监督。定期对财政资金的使用情况进行自查，重点督查财政资金的使用进度，资金落实情况，对发现的问题采取措施，及时纠正，认真处理，强化管理，有效杜绝了专项资金在分配使用过程中的违纪现象的发生，保证了财政资金的使用安全。</w:t>
      </w:r>
      <w:r>
        <w:rPr>
          <w:rFonts w:hint="eastAsia" w:ascii="仿宋_GB2312" w:hAnsi="仿宋_GB2312" w:eastAsia="仿宋_GB2312" w:cs="仿宋_GB2312"/>
          <w:color w:val="auto"/>
          <w:kern w:val="2"/>
          <w:sz w:val="28"/>
          <w:szCs w:val="28"/>
          <w:highlight w:val="none"/>
          <w:lang w:val="en-US" w:eastAsia="zh-CN"/>
        </w:rPr>
        <w:t>三是</w:t>
      </w:r>
      <w:r>
        <w:rPr>
          <w:rFonts w:hint="eastAsia" w:ascii="仿宋_GB2312" w:hAnsi="仿宋_GB2312" w:eastAsia="仿宋_GB2312" w:cs="仿宋_GB2312"/>
          <w:color w:val="auto"/>
          <w:kern w:val="2"/>
          <w:sz w:val="28"/>
          <w:szCs w:val="28"/>
          <w:highlight w:val="none"/>
        </w:rPr>
        <w:t>合理安排使用资金，严抓专项资金的规范使用。严抓专项资金的规范使用为保证资金的安全、合理、高效使用。</w:t>
      </w:r>
    </w:p>
    <w:p>
      <w:pPr>
        <w:numPr>
          <w:ilvl w:val="0"/>
          <w:numId w:val="4"/>
        </w:numPr>
        <w:bidi w:val="0"/>
        <w:ind w:firstLine="643" w:firstLineChars="200"/>
        <w:rPr>
          <w:rFonts w:hint="eastAsia" w:ascii="Arial" w:hAnsi="Arial" w:eastAsia="楷体" w:cs="Times New Roman"/>
          <w:b/>
          <w:color w:val="auto"/>
          <w:kern w:val="2"/>
          <w:sz w:val="32"/>
          <w:szCs w:val="24"/>
          <w:highlight w:val="none"/>
          <w:lang w:val="en-US" w:eastAsia="zh-CN" w:bidi="ar-SA"/>
        </w:rPr>
      </w:pPr>
      <w:r>
        <w:rPr>
          <w:rFonts w:hint="eastAsia" w:ascii="Arial" w:hAnsi="Arial" w:eastAsia="楷体" w:cs="Times New Roman"/>
          <w:b/>
          <w:color w:val="auto"/>
          <w:kern w:val="2"/>
          <w:sz w:val="32"/>
          <w:szCs w:val="24"/>
          <w:highlight w:val="none"/>
          <w:lang w:val="en-US" w:eastAsia="zh-CN" w:bidi="ar-SA"/>
        </w:rPr>
        <w:t>存在的问题及原因分析</w:t>
      </w:r>
    </w:p>
    <w:p>
      <w:pPr>
        <w:numPr>
          <w:ilvl w:val="0"/>
          <w:numId w:val="5"/>
        </w:numPr>
        <w:bidi w:val="0"/>
        <w:ind w:firstLine="560" w:firstLineChars="200"/>
        <w:rPr>
          <w:rFonts w:hint="eastAsia"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rPr>
        <w:t>该项目在实施过程中，因业务人员及财务人员之间的沟通不畅，导致</w:t>
      </w:r>
      <w:r>
        <w:rPr>
          <w:rFonts w:hint="eastAsia" w:ascii="仿宋_GB2312" w:hAnsi="仿宋_GB2312" w:cs="仿宋_GB2312"/>
          <w:color w:val="auto"/>
          <w:kern w:val="2"/>
          <w:sz w:val="28"/>
          <w:szCs w:val="28"/>
          <w:highlight w:val="none"/>
          <w:lang w:val="en-US" w:eastAsia="zh-CN"/>
        </w:rPr>
        <w:t>个别</w:t>
      </w:r>
      <w:r>
        <w:rPr>
          <w:rFonts w:hint="eastAsia" w:ascii="仿宋_GB2312" w:hAnsi="仿宋_GB2312" w:eastAsia="仿宋_GB2312" w:cs="仿宋_GB2312"/>
          <w:color w:val="auto"/>
          <w:kern w:val="2"/>
          <w:sz w:val="28"/>
          <w:szCs w:val="28"/>
          <w:highlight w:val="none"/>
          <w:lang w:val="en-US" w:eastAsia="zh-CN"/>
        </w:rPr>
        <w:t>预期年度指标值设置过低或过高。</w:t>
      </w:r>
    </w:p>
    <w:p>
      <w:pPr>
        <w:numPr>
          <w:ilvl w:val="0"/>
          <w:numId w:val="5"/>
        </w:numPr>
        <w:bidi w:val="0"/>
        <w:ind w:firstLine="560" w:firstLineChars="200"/>
        <w:rPr>
          <w:rFonts w:hint="eastAsia" w:ascii="仿宋_GB2312" w:hAnsi="仿宋_GB2312" w:eastAsia="仿宋_GB2312" w:cs="仿宋_GB2312"/>
          <w:color w:val="auto"/>
          <w:kern w:val="2"/>
          <w:sz w:val="28"/>
          <w:szCs w:val="28"/>
          <w:highlight w:val="none"/>
          <w:lang w:val="en-US" w:eastAsia="zh-CN"/>
        </w:rPr>
      </w:pPr>
      <w:r>
        <w:rPr>
          <w:rFonts w:hint="eastAsia" w:ascii="仿宋_GB2312" w:hAnsi="仿宋_GB2312" w:cs="仿宋_GB2312"/>
          <w:color w:val="auto"/>
          <w:kern w:val="2"/>
          <w:sz w:val="28"/>
          <w:szCs w:val="28"/>
          <w:highlight w:val="none"/>
          <w:lang w:val="en-US" w:eastAsia="zh-CN"/>
        </w:rPr>
        <w:t>项目</w:t>
      </w:r>
      <w:r>
        <w:rPr>
          <w:rFonts w:hint="eastAsia" w:ascii="仿宋_GB2312" w:hAnsi="仿宋_GB2312" w:eastAsia="仿宋_GB2312" w:cs="仿宋_GB2312"/>
          <w:color w:val="auto"/>
          <w:kern w:val="2"/>
          <w:sz w:val="28"/>
          <w:szCs w:val="28"/>
          <w:highlight w:val="none"/>
          <w:lang w:val="en-US" w:eastAsia="zh-CN"/>
        </w:rPr>
        <w:t>预算</w:t>
      </w:r>
      <w:r>
        <w:rPr>
          <w:rFonts w:hint="eastAsia" w:ascii="仿宋_GB2312" w:hAnsi="仿宋_GB2312" w:cs="仿宋_GB2312"/>
          <w:color w:val="auto"/>
          <w:kern w:val="2"/>
          <w:sz w:val="28"/>
          <w:szCs w:val="28"/>
          <w:highlight w:val="none"/>
          <w:lang w:val="en-US" w:eastAsia="zh-CN"/>
        </w:rPr>
        <w:t>编制不够合理，项目指标值</w:t>
      </w:r>
      <w:r>
        <w:rPr>
          <w:rFonts w:hint="eastAsia" w:ascii="仿宋_GB2312" w:hAnsi="仿宋_GB2312" w:eastAsia="仿宋_GB2312" w:cs="仿宋_GB2312"/>
          <w:color w:val="auto"/>
          <w:kern w:val="2"/>
          <w:sz w:val="28"/>
          <w:szCs w:val="28"/>
          <w:highlight w:val="none"/>
          <w:lang w:val="en-US" w:eastAsia="zh-CN"/>
        </w:rPr>
        <w:t>额度依据上年</w:t>
      </w:r>
      <w:r>
        <w:rPr>
          <w:rFonts w:hint="eastAsia" w:ascii="仿宋_GB2312" w:hAnsi="仿宋_GB2312" w:cs="仿宋_GB2312"/>
          <w:color w:val="auto"/>
          <w:kern w:val="2"/>
          <w:sz w:val="28"/>
          <w:szCs w:val="28"/>
          <w:highlight w:val="none"/>
          <w:lang w:val="en-US" w:eastAsia="zh-CN"/>
        </w:rPr>
        <w:t>完成值进行</w:t>
      </w:r>
      <w:r>
        <w:rPr>
          <w:rFonts w:hint="eastAsia" w:ascii="仿宋_GB2312" w:hAnsi="仿宋_GB2312" w:eastAsia="仿宋_GB2312" w:cs="仿宋_GB2312"/>
          <w:color w:val="auto"/>
          <w:kern w:val="2"/>
          <w:sz w:val="28"/>
          <w:szCs w:val="28"/>
          <w:highlight w:val="none"/>
          <w:lang w:val="en-US" w:eastAsia="zh-CN"/>
        </w:rPr>
        <w:t>测算，</w:t>
      </w:r>
      <w:r>
        <w:rPr>
          <w:rFonts w:hint="eastAsia" w:ascii="仿宋_GB2312" w:hAnsi="仿宋_GB2312" w:cs="仿宋_GB2312"/>
          <w:color w:val="auto"/>
          <w:kern w:val="2"/>
          <w:sz w:val="28"/>
          <w:szCs w:val="28"/>
          <w:highlight w:val="none"/>
          <w:lang w:val="en-US" w:eastAsia="zh-CN"/>
        </w:rPr>
        <w:t>但</w:t>
      </w:r>
      <w:r>
        <w:rPr>
          <w:rFonts w:hint="eastAsia" w:ascii="仿宋_GB2312" w:hAnsi="仿宋_GB2312" w:eastAsia="仿宋_GB2312" w:cs="仿宋_GB2312"/>
          <w:color w:val="auto"/>
          <w:kern w:val="2"/>
          <w:sz w:val="28"/>
          <w:szCs w:val="28"/>
          <w:highlight w:val="none"/>
          <w:lang w:val="en-US" w:eastAsia="zh-CN"/>
        </w:rPr>
        <w:t>未充分考虑2023年度的任务变化，预算确定的项目资金量与个别指标预期任务有偏差，预算管理不到位，资金管理落实的力度不够</w:t>
      </w:r>
      <w:r>
        <w:rPr>
          <w:rFonts w:hint="eastAsia" w:ascii="仿宋_GB2312" w:hAnsi="仿宋_GB2312" w:cs="仿宋_GB2312"/>
          <w:color w:val="auto"/>
          <w:kern w:val="2"/>
          <w:sz w:val="28"/>
          <w:szCs w:val="28"/>
          <w:highlight w:val="none"/>
          <w:lang w:val="en-US" w:eastAsia="zh-CN"/>
        </w:rPr>
        <w:t>，</w:t>
      </w:r>
      <w:r>
        <w:rPr>
          <w:rFonts w:hint="eastAsia" w:ascii="仿宋_GB2312" w:hAnsi="仿宋_GB2312" w:eastAsia="仿宋_GB2312" w:cs="仿宋_GB2312"/>
          <w:color w:val="auto"/>
          <w:kern w:val="2"/>
          <w:sz w:val="28"/>
          <w:szCs w:val="28"/>
          <w:highlight w:val="none"/>
          <w:lang w:val="en-US" w:eastAsia="zh-CN"/>
        </w:rPr>
        <w:t>因此</w:t>
      </w:r>
      <w:r>
        <w:rPr>
          <w:rFonts w:hint="eastAsia" w:ascii="仿宋_GB2312" w:hAnsi="仿宋_GB2312" w:cs="仿宋_GB2312"/>
          <w:color w:val="auto"/>
          <w:kern w:val="2"/>
          <w:sz w:val="28"/>
          <w:szCs w:val="28"/>
          <w:highlight w:val="none"/>
          <w:lang w:val="en-US" w:eastAsia="zh-CN"/>
        </w:rPr>
        <w:t>导致个别指标预算金额设置偏高，成本指标完成率较低。</w:t>
      </w:r>
    </w:p>
    <w:p>
      <w:pPr>
        <w:numPr>
          <w:ilvl w:val="0"/>
          <w:numId w:val="5"/>
        </w:numPr>
        <w:bidi w:val="0"/>
        <w:ind w:firstLine="560" w:firstLineChars="200"/>
        <w:rPr>
          <w:rFonts w:hint="eastAsia"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rPr>
        <w:t>资金管理不足，部分项目支付手续办理缓慢</w:t>
      </w:r>
      <w:r>
        <w:rPr>
          <w:rFonts w:hint="eastAsia" w:ascii="仿宋_GB2312" w:hAnsi="仿宋_GB2312" w:cs="仿宋_GB2312"/>
          <w:color w:val="auto"/>
          <w:kern w:val="2"/>
          <w:sz w:val="28"/>
          <w:szCs w:val="28"/>
          <w:highlight w:val="none"/>
          <w:lang w:val="en-US" w:eastAsia="zh-CN"/>
        </w:rPr>
        <w:t>，反映对</w:t>
      </w:r>
      <w:r>
        <w:rPr>
          <w:rFonts w:hint="eastAsia" w:ascii="仿宋_GB2312" w:hAnsi="仿宋_GB2312" w:eastAsia="仿宋_GB2312" w:cs="仿宋_GB2312"/>
          <w:color w:val="auto"/>
          <w:kern w:val="2"/>
          <w:sz w:val="28"/>
          <w:szCs w:val="28"/>
          <w:highlight w:val="none"/>
          <w:lang w:val="en-US" w:eastAsia="zh-CN"/>
        </w:rPr>
        <w:t>项目资金管理工作不够重视</w:t>
      </w:r>
      <w:r>
        <w:rPr>
          <w:rFonts w:hint="eastAsia" w:ascii="仿宋_GB2312" w:hAnsi="仿宋_GB2312" w:cs="仿宋_GB2312"/>
          <w:color w:val="auto"/>
          <w:kern w:val="2"/>
          <w:sz w:val="28"/>
          <w:szCs w:val="28"/>
          <w:highlight w:val="none"/>
          <w:lang w:val="en-US" w:eastAsia="zh-CN"/>
        </w:rPr>
        <w:t>，</w:t>
      </w:r>
      <w:r>
        <w:rPr>
          <w:rFonts w:hint="eastAsia" w:ascii="仿宋_GB2312" w:hAnsi="仿宋_GB2312" w:eastAsia="仿宋_GB2312" w:cs="仿宋_GB2312"/>
          <w:color w:val="auto"/>
          <w:kern w:val="2"/>
          <w:sz w:val="28"/>
          <w:szCs w:val="28"/>
          <w:highlight w:val="none"/>
          <w:lang w:val="en-US" w:eastAsia="zh-CN"/>
        </w:rPr>
        <w:t>对预算管理的相关知识缺乏足够的理解</w:t>
      </w:r>
      <w:r>
        <w:rPr>
          <w:rFonts w:hint="eastAsia" w:ascii="仿宋_GB2312" w:hAnsi="仿宋_GB2312" w:cs="仿宋_GB2312"/>
          <w:color w:val="auto"/>
          <w:kern w:val="2"/>
          <w:sz w:val="28"/>
          <w:szCs w:val="28"/>
          <w:highlight w:val="none"/>
          <w:lang w:val="en-US" w:eastAsia="zh-CN"/>
        </w:rPr>
        <w:t>。</w:t>
      </w:r>
    </w:p>
    <w:p>
      <w:pPr>
        <w:numPr>
          <w:ilvl w:val="0"/>
          <w:numId w:val="5"/>
        </w:numPr>
        <w:bidi w:val="0"/>
        <w:ind w:firstLine="560" w:firstLineChars="200"/>
        <w:rPr>
          <w:rFonts w:hint="default"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rPr>
        <w:t>对预算绩效系统操作不熟练，系统录入后未在单位内部进行审核，导致个别数据录入错误。</w:t>
      </w:r>
    </w:p>
    <w:p>
      <w:pPr>
        <w:numPr>
          <w:ilvl w:val="0"/>
          <w:numId w:val="6"/>
        </w:numPr>
        <w:bidi w:val="0"/>
        <w:ind w:firstLine="640" w:firstLineChars="200"/>
        <w:rPr>
          <w:rFonts w:hint="eastAsia" w:ascii="Times New Roman" w:hAnsi="Times New Roman" w:eastAsia="黑体" w:cs="Times New Roman"/>
          <w:color w:val="auto"/>
          <w:kern w:val="44"/>
          <w:sz w:val="32"/>
          <w:szCs w:val="22"/>
          <w:highlight w:val="none"/>
          <w:lang w:val="en-US" w:eastAsia="zh-CN" w:bidi="ar-SA"/>
        </w:rPr>
      </w:pPr>
      <w:r>
        <w:rPr>
          <w:rFonts w:hint="eastAsia" w:ascii="Times New Roman" w:hAnsi="Times New Roman" w:eastAsia="黑体" w:cs="Times New Roman"/>
          <w:color w:val="auto"/>
          <w:kern w:val="44"/>
          <w:sz w:val="32"/>
          <w:szCs w:val="22"/>
          <w:highlight w:val="none"/>
          <w:lang w:val="en-US" w:eastAsia="zh-CN" w:bidi="ar-SA"/>
        </w:rPr>
        <w:t>有关建议</w:t>
      </w:r>
    </w:p>
    <w:p>
      <w:pPr>
        <w:numPr>
          <w:ilvl w:val="0"/>
          <w:numId w:val="7"/>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在年度绩效目标填报中有效涵盖年度重点工作任务，</w:t>
      </w:r>
      <w:r>
        <w:rPr>
          <w:rFonts w:hint="eastAsia" w:ascii="仿宋_GB2312" w:hAnsi="仿宋_GB2312" w:eastAsia="仿宋_GB2312" w:cs="仿宋_GB2312"/>
          <w:b w:val="0"/>
          <w:bCs/>
          <w:color w:val="auto"/>
          <w:kern w:val="0"/>
          <w:sz w:val="28"/>
          <w:szCs w:val="20"/>
          <w:highlight w:val="none"/>
          <w:lang w:val="en-US" w:eastAsia="zh-CN" w:bidi="ar"/>
        </w:rPr>
        <w:t>加强预算执行监督，</w:t>
      </w:r>
      <w:r>
        <w:rPr>
          <w:rFonts w:hint="eastAsia" w:ascii="仿宋_GB2312" w:hAnsi="仿宋_GB2312" w:eastAsia="仿宋_GB2312" w:cs="仿宋_GB2312"/>
          <w:color w:val="auto"/>
          <w:kern w:val="2"/>
          <w:sz w:val="28"/>
          <w:szCs w:val="28"/>
          <w:highlight w:val="none"/>
        </w:rPr>
        <w:t>设置与年度工作内容相匹配，能够充分体现项目年度特征的、全面、量化及可考核的绩效目标。</w:t>
      </w:r>
    </w:p>
    <w:p>
      <w:pPr>
        <w:numPr>
          <w:ilvl w:val="0"/>
          <w:numId w:val="7"/>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cs="仿宋_GB2312"/>
          <w:color w:val="auto"/>
          <w:kern w:val="2"/>
          <w:sz w:val="28"/>
          <w:szCs w:val="28"/>
          <w:highlight w:val="none"/>
          <w:lang w:val="en-US" w:eastAsia="zh-CN"/>
        </w:rPr>
        <w:t>根据近三年的历史极值，结合当年工作计划，与项目人员经过充分沟通后测算指标预期值，并提交单位主要负责人审核，有效提高绩效目标和指标的准确率，确保与预算相符</w:t>
      </w:r>
      <w:r>
        <w:rPr>
          <w:rFonts w:hint="eastAsia" w:ascii="仿宋_GB2312" w:hAnsi="仿宋_GB2312" w:eastAsia="仿宋_GB2312" w:cs="仿宋_GB2312"/>
          <w:color w:val="auto"/>
          <w:kern w:val="2"/>
          <w:sz w:val="28"/>
          <w:szCs w:val="28"/>
          <w:highlight w:val="none"/>
        </w:rPr>
        <w:t>。</w:t>
      </w:r>
    </w:p>
    <w:p>
      <w:pPr>
        <w:numPr>
          <w:ilvl w:val="0"/>
          <w:numId w:val="7"/>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加强项目顶层设计，进一步提升业务工作实施绩效</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b w:val="0"/>
          <w:bCs/>
          <w:color w:val="auto"/>
          <w:kern w:val="0"/>
          <w:sz w:val="28"/>
          <w:szCs w:val="20"/>
          <w:highlight w:val="none"/>
          <w:lang w:val="en-US" w:eastAsia="zh-CN" w:bidi="ar"/>
        </w:rPr>
        <w:t>跟紧项目实施进度，督促资金支付，根据项目实施进度，及时办理资金支付手续</w:t>
      </w:r>
      <w:r>
        <w:rPr>
          <w:rFonts w:hint="eastAsia" w:ascii="仿宋_GB2312" w:hAnsi="仿宋_GB2312" w:eastAsia="仿宋_GB2312" w:cs="仿宋_GB2312"/>
          <w:color w:val="auto"/>
          <w:kern w:val="2"/>
          <w:sz w:val="28"/>
          <w:szCs w:val="28"/>
          <w:highlight w:val="none"/>
        </w:rPr>
        <w:t>。</w:t>
      </w:r>
    </w:p>
    <w:p>
      <w:pPr>
        <w:numPr>
          <w:ilvl w:val="0"/>
          <w:numId w:val="7"/>
        </w:numPr>
        <w:bidi w:val="0"/>
        <w:ind w:firstLine="560" w:firstLineChars="200"/>
        <w:rPr>
          <w:rFonts w:hint="default" w:ascii="仿宋_GB2312" w:hAnsi="仿宋_GB2312" w:eastAsia="仿宋_GB2312" w:cs="仿宋_GB2312"/>
          <w:b w:val="0"/>
          <w:bCs/>
          <w:color w:val="auto"/>
          <w:kern w:val="0"/>
          <w:sz w:val="28"/>
          <w:szCs w:val="20"/>
          <w:highlight w:val="none"/>
          <w:lang w:val="en-US" w:eastAsia="zh-CN" w:bidi="ar"/>
        </w:rPr>
      </w:pPr>
      <w:r>
        <w:rPr>
          <w:rFonts w:hint="eastAsia" w:ascii="仿宋_GB2312" w:hAnsi="仿宋_GB2312" w:eastAsia="仿宋_GB2312" w:cs="仿宋_GB2312"/>
          <w:b w:val="0"/>
          <w:bCs/>
          <w:color w:val="auto"/>
          <w:kern w:val="0"/>
          <w:sz w:val="28"/>
          <w:szCs w:val="20"/>
          <w:highlight w:val="none"/>
          <w:lang w:val="en-US" w:eastAsia="zh-CN" w:bidi="ar"/>
        </w:rPr>
        <w:t>加强绩效管理学习和系统的操作使用学习，加强单位内部系统审核工作，确保系统录入无误。</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5AF153"/>
    <w:multiLevelType w:val="singleLevel"/>
    <w:tmpl w:val="9A5AF153"/>
    <w:lvl w:ilvl="0" w:tentative="0">
      <w:start w:val="2"/>
      <w:numFmt w:val="chineseCounting"/>
      <w:lvlText w:val="(%1)"/>
      <w:lvlJc w:val="left"/>
      <w:pPr>
        <w:tabs>
          <w:tab w:val="left" w:pos="312"/>
        </w:tabs>
      </w:pPr>
      <w:rPr>
        <w:rFonts w:hint="eastAsia"/>
      </w:rPr>
    </w:lvl>
  </w:abstractNum>
  <w:abstractNum w:abstractNumId="1">
    <w:nsid w:val="E12760DA"/>
    <w:multiLevelType w:val="singleLevel"/>
    <w:tmpl w:val="E12760DA"/>
    <w:lvl w:ilvl="0" w:tentative="0">
      <w:start w:val="7"/>
      <w:numFmt w:val="chineseCounting"/>
      <w:suff w:val="nothing"/>
      <w:lvlText w:val="%1、"/>
      <w:lvlJc w:val="left"/>
      <w:rPr>
        <w:rFonts w:hint="eastAsia"/>
      </w:r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2640FFB5"/>
    <w:multiLevelType w:val="singleLevel"/>
    <w:tmpl w:val="2640FFB5"/>
    <w:lvl w:ilvl="0" w:tentative="0">
      <w:start w:val="1"/>
      <w:numFmt w:val="decimal"/>
      <w:suff w:val="nothing"/>
      <w:lvlText w:val="%1、"/>
      <w:lvlJc w:val="left"/>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717F133D"/>
    <w:multiLevelType w:val="singleLevel"/>
    <w:tmpl w:val="717F133D"/>
    <w:lvl w:ilvl="0" w:tentative="0">
      <w:start w:val="1"/>
      <w:numFmt w:val="decimal"/>
      <w:suff w:val="nothing"/>
      <w:lvlText w:val="%1、"/>
      <w:lvlJc w:val="left"/>
    </w:lvl>
  </w:abstractNum>
  <w:num w:numId="1">
    <w:abstractNumId w:val="3"/>
  </w:num>
  <w:num w:numId="2">
    <w:abstractNumId w:val="2"/>
  </w:num>
  <w:num w:numId="3">
    <w:abstractNumId w:val="5"/>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lYmQxNzYyMzY1MmY1ZTQyODRiNTliNmUxZDVhYzgifQ=="/>
  </w:docVars>
  <w:rsids>
    <w:rsidRoot w:val="00000000"/>
    <w:rsid w:val="00D104A8"/>
    <w:rsid w:val="01550676"/>
    <w:rsid w:val="01C012ED"/>
    <w:rsid w:val="02FA4239"/>
    <w:rsid w:val="07F60EEE"/>
    <w:rsid w:val="08AA6F7F"/>
    <w:rsid w:val="0D7A2045"/>
    <w:rsid w:val="12FD4B18"/>
    <w:rsid w:val="13AE5449"/>
    <w:rsid w:val="13EE6AF4"/>
    <w:rsid w:val="16873C55"/>
    <w:rsid w:val="17B35DB7"/>
    <w:rsid w:val="1A143CAD"/>
    <w:rsid w:val="1BE86B3C"/>
    <w:rsid w:val="1F7E62C1"/>
    <w:rsid w:val="26ED19A3"/>
    <w:rsid w:val="28F214DC"/>
    <w:rsid w:val="32C92D91"/>
    <w:rsid w:val="32E2209E"/>
    <w:rsid w:val="349B22FF"/>
    <w:rsid w:val="34BF78B8"/>
    <w:rsid w:val="350B43E9"/>
    <w:rsid w:val="35496A51"/>
    <w:rsid w:val="39330366"/>
    <w:rsid w:val="398B0B0B"/>
    <w:rsid w:val="3AD16F23"/>
    <w:rsid w:val="41107F5B"/>
    <w:rsid w:val="464E0242"/>
    <w:rsid w:val="483A6404"/>
    <w:rsid w:val="4B082C3A"/>
    <w:rsid w:val="4B945D75"/>
    <w:rsid w:val="4CB45E9B"/>
    <w:rsid w:val="4FCB5543"/>
    <w:rsid w:val="4FE0495C"/>
    <w:rsid w:val="503020E0"/>
    <w:rsid w:val="510774E4"/>
    <w:rsid w:val="52C55120"/>
    <w:rsid w:val="53381D82"/>
    <w:rsid w:val="53F8370C"/>
    <w:rsid w:val="56C221E7"/>
    <w:rsid w:val="575F34E6"/>
    <w:rsid w:val="57630FFF"/>
    <w:rsid w:val="58EB73E7"/>
    <w:rsid w:val="5A4C515D"/>
    <w:rsid w:val="5D07484F"/>
    <w:rsid w:val="5DA27C6B"/>
    <w:rsid w:val="606326E4"/>
    <w:rsid w:val="60AE1BB1"/>
    <w:rsid w:val="61524697"/>
    <w:rsid w:val="62E90823"/>
    <w:rsid w:val="63C503CA"/>
    <w:rsid w:val="6B0E5024"/>
    <w:rsid w:val="6B4359A0"/>
    <w:rsid w:val="6BC90A77"/>
    <w:rsid w:val="6C2458DF"/>
    <w:rsid w:val="6E8B7C84"/>
    <w:rsid w:val="6EA9684B"/>
    <w:rsid w:val="71981A04"/>
    <w:rsid w:val="755608A8"/>
    <w:rsid w:val="75F61BD9"/>
    <w:rsid w:val="777079EF"/>
    <w:rsid w:val="77DA2E34"/>
    <w:rsid w:val="78DD7561"/>
    <w:rsid w:val="796E5CAB"/>
    <w:rsid w:val="7A91204E"/>
    <w:rsid w:val="7D171F25"/>
    <w:rsid w:val="7D6A0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6</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2024-08-19T12:04:39Z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