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D55C9">
      <w:pPr>
        <w:jc w:val="center"/>
        <w:rPr>
          <w:rFonts w:ascii="宋体" w:hAnsi="宋体" w:eastAsia="宋体" w:cs="Arial"/>
          <w:b/>
          <w:bCs/>
          <w:color w:val="auto"/>
          <w:sz w:val="36"/>
          <w:szCs w:val="36"/>
          <w:highlight w:val="none"/>
        </w:rPr>
      </w:pPr>
      <w:bookmarkStart w:id="18" w:name="_GoBack"/>
    </w:p>
    <w:p w14:paraId="2B48BC8A">
      <w:pPr>
        <w:jc w:val="center"/>
        <w:rPr>
          <w:rFonts w:ascii="宋体" w:hAnsi="宋体" w:eastAsia="宋体" w:cs="Arial"/>
          <w:b/>
          <w:bCs/>
          <w:color w:val="auto"/>
          <w:sz w:val="36"/>
          <w:szCs w:val="36"/>
          <w:highlight w:val="none"/>
        </w:rPr>
      </w:pPr>
    </w:p>
    <w:p w14:paraId="416E3B63">
      <w:pPr>
        <w:jc w:val="center"/>
        <w:rPr>
          <w:rFonts w:ascii="宋体" w:hAnsi="宋体" w:eastAsia="宋体" w:cs="Arial"/>
          <w:b/>
          <w:bCs/>
          <w:color w:val="auto"/>
          <w:sz w:val="36"/>
          <w:szCs w:val="36"/>
          <w:highlight w:val="none"/>
        </w:rPr>
      </w:pPr>
    </w:p>
    <w:p w14:paraId="20B45485">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w:t>
      </w:r>
      <w:r>
        <w:rPr>
          <w:rFonts w:hint="eastAsia" w:ascii="黑体" w:hAnsi="黑体" w:eastAsia="黑体" w:cs="黑体"/>
          <w:b/>
          <w:bCs/>
          <w:color w:val="auto"/>
          <w:sz w:val="40"/>
          <w:szCs w:val="40"/>
          <w:highlight w:val="none"/>
          <w:lang w:val="en-US" w:eastAsia="zh-CN"/>
        </w:rPr>
        <w:t>3</w:t>
      </w:r>
      <w:r>
        <w:rPr>
          <w:rFonts w:hint="eastAsia" w:ascii="黑体" w:hAnsi="黑体" w:eastAsia="黑体" w:cs="黑体"/>
          <w:b/>
          <w:bCs/>
          <w:color w:val="auto"/>
          <w:sz w:val="40"/>
          <w:szCs w:val="40"/>
          <w:highlight w:val="none"/>
        </w:rPr>
        <w:t>年城乡义务教育项目（公用经费）支出绩效评价报告</w:t>
      </w:r>
    </w:p>
    <w:p w14:paraId="33F631F4">
      <w:pPr>
        <w:spacing w:line="240" w:lineRule="atLeast"/>
        <w:jc w:val="center"/>
        <w:rPr>
          <w:rFonts w:ascii="宋体" w:hAnsi="宋体" w:eastAsia="宋体" w:cs="Arial"/>
          <w:b/>
          <w:bCs/>
          <w:color w:val="auto"/>
          <w:sz w:val="36"/>
          <w:szCs w:val="36"/>
          <w:highlight w:val="none"/>
        </w:rPr>
      </w:pPr>
    </w:p>
    <w:p w14:paraId="08FB6548">
      <w:pPr>
        <w:spacing w:line="240" w:lineRule="atLeast"/>
        <w:jc w:val="center"/>
        <w:rPr>
          <w:rFonts w:ascii="宋体" w:hAnsi="宋体" w:eastAsia="宋体" w:cs="Arial"/>
          <w:b/>
          <w:bCs/>
          <w:color w:val="auto"/>
          <w:sz w:val="36"/>
          <w:szCs w:val="36"/>
          <w:highlight w:val="none"/>
        </w:rPr>
      </w:pPr>
    </w:p>
    <w:p w14:paraId="38E1CF56">
      <w:pPr>
        <w:spacing w:line="240" w:lineRule="atLeast"/>
        <w:jc w:val="center"/>
        <w:rPr>
          <w:rFonts w:ascii="宋体" w:hAnsi="宋体" w:eastAsia="宋体" w:cs="Arial"/>
          <w:b/>
          <w:bCs/>
          <w:color w:val="auto"/>
          <w:sz w:val="36"/>
          <w:szCs w:val="36"/>
          <w:highlight w:val="none"/>
        </w:rPr>
      </w:pPr>
    </w:p>
    <w:p w14:paraId="1FD368B7">
      <w:pPr>
        <w:spacing w:line="240" w:lineRule="atLeast"/>
        <w:jc w:val="center"/>
        <w:rPr>
          <w:rFonts w:ascii="宋体" w:hAnsi="宋体" w:eastAsia="宋体" w:cs="Arial"/>
          <w:b/>
          <w:bCs/>
          <w:color w:val="auto"/>
          <w:sz w:val="36"/>
          <w:szCs w:val="36"/>
          <w:highlight w:val="none"/>
        </w:rPr>
      </w:pPr>
    </w:p>
    <w:p w14:paraId="1F9C5ABC">
      <w:pPr>
        <w:spacing w:line="240" w:lineRule="atLeast"/>
        <w:jc w:val="center"/>
        <w:rPr>
          <w:rFonts w:ascii="宋体" w:hAnsi="宋体" w:eastAsia="宋体" w:cs="Arial"/>
          <w:b/>
          <w:bCs/>
          <w:color w:val="auto"/>
          <w:sz w:val="36"/>
          <w:szCs w:val="36"/>
          <w:highlight w:val="none"/>
        </w:rPr>
      </w:pPr>
    </w:p>
    <w:p w14:paraId="7EE41C16">
      <w:pPr>
        <w:spacing w:line="240" w:lineRule="atLeast"/>
        <w:jc w:val="center"/>
        <w:rPr>
          <w:rFonts w:ascii="宋体" w:hAnsi="宋体" w:eastAsia="宋体" w:cs="Arial"/>
          <w:b/>
          <w:bCs/>
          <w:color w:val="auto"/>
          <w:sz w:val="36"/>
          <w:szCs w:val="36"/>
          <w:highlight w:val="none"/>
        </w:rPr>
      </w:pPr>
    </w:p>
    <w:p w14:paraId="451409C8">
      <w:pPr>
        <w:spacing w:line="240" w:lineRule="auto"/>
        <w:jc w:val="center"/>
        <w:rPr>
          <w:rFonts w:ascii="宋体" w:hAnsi="宋体" w:eastAsia="宋体" w:cs="Arial"/>
          <w:b/>
          <w:bCs/>
          <w:color w:val="auto"/>
          <w:sz w:val="36"/>
          <w:szCs w:val="36"/>
          <w:highlight w:val="none"/>
        </w:rPr>
      </w:pPr>
    </w:p>
    <w:p w14:paraId="1F682F9D">
      <w:pPr>
        <w:pStyle w:val="6"/>
        <w:rPr>
          <w:color w:val="auto"/>
          <w:highlight w:val="none"/>
        </w:rPr>
      </w:pPr>
    </w:p>
    <w:p w14:paraId="32F430DC">
      <w:pPr>
        <w:spacing w:line="360" w:lineRule="auto"/>
        <w:ind w:firstLine="600"/>
        <w:rPr>
          <w:rFonts w:ascii="黑体" w:eastAsia="黑体"/>
          <w:color w:val="auto"/>
          <w:sz w:val="32"/>
          <w:szCs w:val="32"/>
          <w:highlight w:val="none"/>
        </w:rPr>
      </w:pPr>
      <w:r>
        <w:rPr>
          <w:rFonts w:hint="eastAsia" w:ascii="黑体" w:eastAsia="黑体"/>
          <w:color w:val="auto"/>
          <w:sz w:val="32"/>
          <w:szCs w:val="32"/>
          <w:highlight w:val="none"/>
        </w:rPr>
        <w:t>项目名称：</w:t>
      </w:r>
      <w:r>
        <w:rPr>
          <w:rFonts w:hint="eastAsia" w:ascii="黑体" w:eastAsia="黑体"/>
          <w:color w:val="auto"/>
          <w:sz w:val="30"/>
          <w:szCs w:val="30"/>
          <w:highlight w:val="none"/>
        </w:rPr>
        <w:t>202</w:t>
      </w:r>
      <w:r>
        <w:rPr>
          <w:rFonts w:hint="eastAsia" w:ascii="黑体" w:eastAsia="黑体"/>
          <w:color w:val="auto"/>
          <w:sz w:val="30"/>
          <w:szCs w:val="30"/>
          <w:highlight w:val="none"/>
          <w:lang w:val="en-US" w:eastAsia="zh-CN"/>
        </w:rPr>
        <w:t>3</w:t>
      </w:r>
      <w:r>
        <w:rPr>
          <w:rFonts w:hint="eastAsia" w:ascii="黑体" w:eastAsia="黑体"/>
          <w:color w:val="auto"/>
          <w:sz w:val="30"/>
          <w:szCs w:val="30"/>
          <w:highlight w:val="none"/>
        </w:rPr>
        <w:t>年城乡义务教育项目（公用经费）</w:t>
      </w:r>
    </w:p>
    <w:p w14:paraId="6E9F226F">
      <w:pPr>
        <w:spacing w:line="360" w:lineRule="auto"/>
        <w:ind w:left="638" w:leftChars="228" w:firstLine="0" w:firstLineChars="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托克逊县伊拉湖镇中学</w:t>
      </w:r>
      <w:r>
        <w:rPr>
          <w:rFonts w:hint="eastAsia" w:ascii="黑体" w:eastAsia="黑体"/>
          <w:color w:val="auto"/>
          <w:sz w:val="32"/>
          <w:szCs w:val="32"/>
          <w:highlight w:val="none"/>
        </w:rPr>
        <w:t>项</w:t>
      </w:r>
      <w:r>
        <w:rPr>
          <w:rFonts w:hint="eastAsia" w:ascii="黑体" w:eastAsia="黑体"/>
          <w:color w:val="auto"/>
          <w:sz w:val="32"/>
          <w:szCs w:val="32"/>
          <w:highlight w:val="none"/>
          <w:lang w:val="en-US" w:eastAsia="zh-CN"/>
        </w:rPr>
        <w:t xml:space="preserve">             </w:t>
      </w:r>
      <w:r>
        <w:rPr>
          <w:rFonts w:hint="eastAsia" w:ascii="黑体" w:eastAsia="黑体"/>
          <w:color w:val="auto"/>
          <w:sz w:val="32"/>
          <w:szCs w:val="32"/>
          <w:highlight w:val="none"/>
        </w:rPr>
        <w:t>目负责人（签章）：</w:t>
      </w:r>
      <w:r>
        <w:rPr>
          <w:rFonts w:hint="eastAsia" w:ascii="黑体" w:eastAsia="黑体"/>
          <w:color w:val="auto"/>
          <w:sz w:val="32"/>
          <w:szCs w:val="32"/>
          <w:highlight w:val="none"/>
          <w:lang w:val="en-US" w:eastAsia="zh-CN"/>
        </w:rPr>
        <w:t>陶勇</w:t>
      </w:r>
    </w:p>
    <w:p w14:paraId="0EBF76EC">
      <w:pPr>
        <w:spacing w:line="360" w:lineRule="auto"/>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14:paraId="2ADF24CA">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托克逊县伊拉湖中学</w:t>
      </w:r>
      <w:r>
        <w:rPr>
          <w:rFonts w:hint="eastAsia" w:ascii="黑体" w:hAnsi="黑体" w:eastAsia="黑体" w:cs="黑体"/>
          <w:b/>
          <w:bCs/>
          <w:color w:val="auto"/>
          <w:sz w:val="36"/>
          <w:szCs w:val="36"/>
          <w:highlight w:val="none"/>
        </w:rPr>
        <w:t>项目支出绩效评价报告</w:t>
      </w:r>
    </w:p>
    <w:p w14:paraId="0E596CE4">
      <w:pPr>
        <w:pStyle w:val="4"/>
        <w:ind w:firstLine="640"/>
        <w:rPr>
          <w:color w:val="auto"/>
          <w:highlight w:val="none"/>
        </w:rPr>
      </w:pPr>
      <w:r>
        <w:rPr>
          <w:rFonts w:hint="eastAsia"/>
          <w:color w:val="auto"/>
          <w:highlight w:val="none"/>
        </w:rPr>
        <w:t>一、基本情况</w:t>
      </w:r>
    </w:p>
    <w:p w14:paraId="4C494250">
      <w:pPr>
        <w:pStyle w:val="6"/>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14:paraId="773F3F69">
      <w:pPr>
        <w:pStyle w:val="5"/>
        <w:ind w:firstLine="643"/>
        <w:rPr>
          <w:color w:val="auto"/>
          <w:highlight w:val="none"/>
        </w:rPr>
      </w:pPr>
      <w:r>
        <w:rPr>
          <w:rFonts w:hint="eastAsia"/>
          <w:color w:val="auto"/>
          <w:highlight w:val="none"/>
          <w:lang w:val="en-US" w:eastAsia="zh-CN"/>
        </w:rPr>
        <w:t>1.</w:t>
      </w:r>
      <w:r>
        <w:rPr>
          <w:rFonts w:hint="eastAsia"/>
          <w:color w:val="auto"/>
          <w:highlight w:val="none"/>
        </w:rPr>
        <w:t>项目概况</w:t>
      </w:r>
    </w:p>
    <w:p w14:paraId="002D32DF">
      <w:pPr>
        <w:pStyle w:val="6"/>
        <w:ind w:firstLine="562"/>
        <w:rPr>
          <w:rFonts w:hint="default" w:ascii="仿宋" w:hAnsi="仿宋" w:eastAsia="仿宋" w:cs="Times New Roman"/>
          <w:b w:val="0"/>
          <w:bCs w:val="0"/>
          <w:color w:val="auto"/>
          <w:kern w:val="2"/>
          <w:sz w:val="28"/>
          <w:szCs w:val="28"/>
          <w:highlight w:val="none"/>
          <w:lang w:val="en-US" w:eastAsia="zh-CN" w:bidi="ar-SA"/>
        </w:rPr>
      </w:pPr>
      <w:r>
        <w:rPr>
          <w:rFonts w:hint="eastAsia" w:ascii="仿宋" w:hAnsi="仿宋" w:eastAsia="仿宋" w:cs="Times New Roman"/>
          <w:b w:val="0"/>
          <w:bCs w:val="0"/>
          <w:color w:val="auto"/>
          <w:kern w:val="2"/>
          <w:sz w:val="28"/>
          <w:szCs w:val="28"/>
          <w:highlight w:val="none"/>
          <w:lang w:val="en-US" w:eastAsia="zh-CN" w:bidi="ar-SA"/>
        </w:rPr>
        <w:t>城乡义务教育阶段公用经费补助资金主要用于保障义务教育学校正常运转、完成教育教学活动和其他日常工作任务等方面的支出。进一步规范和加强城乡义务教育学校公用经费管理，提高资金使用效益，推进义务教育均衡发展，主力脱贫攻坚和城乡振兴，确保义务教育阶段学生不因贫困而辍学。</w:t>
      </w:r>
    </w:p>
    <w:p w14:paraId="4521E53B">
      <w:pPr>
        <w:pStyle w:val="6"/>
        <w:ind w:firstLine="562"/>
        <w:rPr>
          <w:color w:val="auto"/>
          <w:highlight w:val="none"/>
        </w:rPr>
      </w:pPr>
      <w:r>
        <w:rPr>
          <w:rFonts w:hint="eastAsia"/>
          <w:color w:val="auto"/>
          <w:highlight w:val="none"/>
        </w:rPr>
        <w:t>2.项目实施主体</w:t>
      </w:r>
    </w:p>
    <w:p w14:paraId="1AD2C680">
      <w:pPr>
        <w:ind w:firstLine="562"/>
        <w:rPr>
          <w:rFonts w:hint="eastAsia"/>
          <w:b/>
          <w:color w:val="auto"/>
          <w:highlight w:val="none"/>
        </w:rPr>
      </w:pPr>
      <w:r>
        <w:rPr>
          <w:rFonts w:hint="eastAsia"/>
          <w:b/>
          <w:color w:val="auto"/>
          <w:highlight w:val="none"/>
        </w:rPr>
        <w:t>（1）单位职能</w:t>
      </w:r>
    </w:p>
    <w:p w14:paraId="1F49A18F">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 xml:space="preserve"> 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61079773">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14:paraId="7007DC75">
      <w:pPr>
        <w:widowControl/>
        <w:spacing w:line="560" w:lineRule="exact"/>
        <w:ind w:firstLine="640"/>
        <w:jc w:val="left"/>
        <w:rPr>
          <w:rFonts w:ascii="仿宋_GB2312" w:hAnsi="宋体" w:eastAsia="仿宋_GB2312" w:cs="宋体"/>
          <w:kern w:val="0"/>
          <w:sz w:val="32"/>
          <w:szCs w:val="32"/>
          <w:highlight w:val="none"/>
        </w:rPr>
      </w:pPr>
      <w:r>
        <w:rPr>
          <w:rFonts w:hint="eastAsia" w:ascii="仿宋" w:hAnsi="仿宋" w:eastAsia="仿宋"/>
          <w:color w:val="auto"/>
          <w:szCs w:val="28"/>
          <w:highlight w:val="none"/>
          <w:lang w:val="en-US" w:eastAsia="zh-CN"/>
        </w:rPr>
        <w:t>托克逊县伊拉湖镇中学共设有2个科室，主要有：4个处室，分别是：办公室、财务室、教务室、德育室。托克逊县伊拉湖镇中学单位编制数78人，实有人数226人，其中：在职179人，减少3人；退休47人，减少1人；离休0人，增加0人</w:t>
      </w:r>
      <w:r>
        <w:rPr>
          <w:rFonts w:hint="eastAsia" w:ascii="仿宋_GB2312" w:hAnsi="宋体" w:eastAsia="仿宋_GB2312" w:cs="宋体"/>
          <w:kern w:val="0"/>
          <w:sz w:val="32"/>
          <w:szCs w:val="32"/>
          <w:highlight w:val="none"/>
        </w:rPr>
        <w:t>。</w:t>
      </w:r>
    </w:p>
    <w:p w14:paraId="4B8EFE08">
      <w:pPr>
        <w:ind w:firstLine="560"/>
        <w:rPr>
          <w:rFonts w:ascii="仿宋" w:hAnsi="仿宋" w:eastAsia="仿宋"/>
          <w:color w:val="auto"/>
          <w:highlight w:val="none"/>
        </w:rPr>
      </w:pPr>
    </w:p>
    <w:p w14:paraId="4C294573">
      <w:pPr>
        <w:pStyle w:val="6"/>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14:paraId="3BEBFED9">
      <w:pPr>
        <w:ind w:firstLine="560"/>
        <w:rPr>
          <w:rFonts w:hint="default" w:ascii="Times New Roman" w:hAnsi="Times New Roman" w:cs="Times New Roman"/>
          <w:color w:val="auto"/>
          <w:highlight w:val="none"/>
          <w:lang w:val="en-US" w:eastAsia="zh-CN"/>
        </w:rPr>
      </w:pPr>
      <w:r>
        <w:rPr>
          <w:rFonts w:hint="eastAsia"/>
          <w:color w:val="auto"/>
          <w:highlight w:val="none"/>
          <w:lang w:val="en-US" w:eastAsia="zh-CN"/>
        </w:rPr>
        <w:t>项目名称：</w:t>
      </w:r>
      <w:r>
        <w:rPr>
          <w:rFonts w:hint="eastAsia" w:ascii="Times New Roman" w:hAnsi="Times New Roman" w:cs="Times New Roman"/>
          <w:color w:val="auto"/>
          <w:highlight w:val="none"/>
          <w:lang w:val="en-US" w:eastAsia="zh-CN"/>
        </w:rPr>
        <w:t>202</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年城乡义务教育项目（公用经费）</w:t>
      </w:r>
    </w:p>
    <w:p w14:paraId="170B06BA">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项目主要内容：2023年城乡义务教育生均公用经费县级配套（初中）</w:t>
      </w:r>
    </w:p>
    <w:p w14:paraId="51541C10">
      <w:pPr>
        <w:pStyle w:val="6"/>
        <w:rPr>
          <w:rFonts w:hint="eastAsia"/>
          <w:b w:val="0"/>
          <w:bCs w:val="0"/>
          <w:color w:val="auto"/>
          <w:highlight w:val="none"/>
          <w:lang w:val="en-US" w:eastAsia="zh-CN"/>
        </w:rPr>
      </w:pPr>
      <w:r>
        <w:rPr>
          <w:rFonts w:hint="eastAsia"/>
          <w:b w:val="0"/>
          <w:bCs w:val="0"/>
          <w:color w:val="auto"/>
          <w:highlight w:val="none"/>
          <w:lang w:val="en-US" w:eastAsia="zh-CN"/>
        </w:rPr>
        <w:t>项目实施时间：本项目实施时间为2023年1月至2023年12月</w:t>
      </w:r>
    </w:p>
    <w:p w14:paraId="15A243FC">
      <w:pPr>
        <w:rPr>
          <w:rFonts w:hint="eastAsia"/>
          <w:color w:val="auto"/>
          <w:highlight w:val="none"/>
          <w:lang w:val="en-US" w:eastAsia="zh-CN"/>
        </w:rPr>
      </w:pPr>
      <w:r>
        <w:rPr>
          <w:rFonts w:hint="eastAsia"/>
          <w:color w:val="auto"/>
          <w:highlight w:val="none"/>
          <w:lang w:val="en-US" w:eastAsia="zh-CN"/>
        </w:rPr>
        <w:t>项目实施情况：</w:t>
      </w:r>
    </w:p>
    <w:p w14:paraId="312713B7">
      <w:pPr>
        <w:pStyle w:val="6"/>
        <w:rPr>
          <w:rFonts w:hint="eastAsia"/>
          <w:b w:val="0"/>
          <w:bCs w:val="0"/>
          <w:color w:val="auto"/>
          <w:highlight w:val="none"/>
          <w:lang w:val="en-US" w:eastAsia="zh-CN"/>
        </w:rPr>
      </w:pPr>
      <w:r>
        <w:rPr>
          <w:rFonts w:hint="eastAsia"/>
          <w:b w:val="0"/>
          <w:bCs w:val="0"/>
          <w:color w:val="auto"/>
          <w:highlight w:val="none"/>
          <w:lang w:val="en-US" w:eastAsia="zh-CN"/>
        </w:rPr>
        <w:t>城乡义务教育补助公用经费直达资金项目预算安排总额为8.91万元，其中财政资金8.91万元，其他资金0万元，2023年实际收到预算资金8.91万元，预算资金到位率为100%。</w:t>
      </w:r>
    </w:p>
    <w:p w14:paraId="7F00C96C">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2B14C005">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32AC57CF">
      <w:pPr>
        <w:pStyle w:val="13"/>
        <w:rPr>
          <w:color w:val="auto"/>
          <w:highlight w:val="none"/>
        </w:rPr>
      </w:pPr>
      <w:r>
        <w:rPr>
          <w:rFonts w:hint="eastAsia"/>
          <w:b w:val="0"/>
          <w:bCs w:val="0"/>
          <w:color w:val="auto"/>
          <w:kern w:val="2"/>
          <w:szCs w:val="24"/>
          <w:highlight w:val="none"/>
          <w:lang w:eastAsia="zh-CN"/>
        </w:rPr>
        <w:t>202</w:t>
      </w:r>
      <w:r>
        <w:rPr>
          <w:rFonts w:hint="eastAsia"/>
          <w:b w:val="0"/>
          <w:bCs w:val="0"/>
          <w:color w:val="auto"/>
          <w:kern w:val="2"/>
          <w:szCs w:val="24"/>
          <w:highlight w:val="none"/>
          <w:lang w:val="en-US" w:eastAsia="zh-CN"/>
        </w:rPr>
        <w:t>3</w:t>
      </w:r>
      <w:r>
        <w:rPr>
          <w:rFonts w:hint="eastAsia"/>
          <w:b w:val="0"/>
          <w:bCs w:val="0"/>
          <w:color w:val="auto"/>
          <w:kern w:val="2"/>
          <w:szCs w:val="24"/>
          <w:highlight w:val="none"/>
          <w:lang w:eastAsia="zh-CN"/>
        </w:rPr>
        <w:t>年城乡义务教育项目（公用经费）</w:t>
      </w:r>
      <w:r>
        <w:rPr>
          <w:color w:val="auto"/>
          <w:highlight w:val="none"/>
        </w:rPr>
        <w:t>预算安排总额为</w:t>
      </w:r>
      <w:r>
        <w:rPr>
          <w:rFonts w:hint="eastAsia"/>
          <w:color w:val="auto"/>
          <w:highlight w:val="none"/>
          <w:lang w:val="en-US" w:eastAsia="zh-CN"/>
        </w:rPr>
        <w:t>8.91</w:t>
      </w:r>
      <w:r>
        <w:rPr>
          <w:color w:val="auto"/>
          <w:highlight w:val="none"/>
        </w:rPr>
        <w:t>万元，其中财政资金</w:t>
      </w:r>
      <w:r>
        <w:rPr>
          <w:rFonts w:hint="eastAsia"/>
          <w:color w:val="auto"/>
          <w:highlight w:val="none"/>
          <w:lang w:val="en-US" w:eastAsia="zh-CN"/>
        </w:rPr>
        <w:t>8.91</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8.91</w:t>
      </w:r>
      <w:r>
        <w:rPr>
          <w:color w:val="auto"/>
          <w:highlight w:val="none"/>
        </w:rPr>
        <w:t>万元，预算资金到位率为</w:t>
      </w:r>
      <w:r>
        <w:rPr>
          <w:rFonts w:hint="eastAsia"/>
          <w:color w:val="auto"/>
          <w:highlight w:val="none"/>
          <w:lang w:val="en-US" w:eastAsia="zh-CN"/>
        </w:rPr>
        <w:t>100</w:t>
      </w:r>
      <w:r>
        <w:rPr>
          <w:color w:val="auto"/>
          <w:highlight w:val="none"/>
        </w:rPr>
        <w:t>%。</w:t>
      </w:r>
    </w:p>
    <w:p w14:paraId="6CA29FE9">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14:paraId="729A5233">
      <w:pPr>
        <w:ind w:firstLine="560"/>
        <w:rPr>
          <w:b w:val="0"/>
          <w:bCs w:val="0"/>
          <w:color w:val="auto"/>
          <w:highlight w:val="none"/>
        </w:rPr>
      </w:pPr>
      <w:r>
        <w:rPr>
          <w:rFonts w:hint="eastAsia"/>
          <w:color w:val="auto"/>
          <w:highlight w:val="none"/>
        </w:rPr>
        <w:t>本项目实际支付资金</w:t>
      </w:r>
      <w:r>
        <w:rPr>
          <w:rFonts w:hint="eastAsia"/>
          <w:color w:val="auto"/>
          <w:highlight w:val="none"/>
          <w:lang w:val="en-US" w:eastAsia="zh-CN"/>
        </w:rPr>
        <w:t>8.91</w:t>
      </w:r>
      <w:r>
        <w:rPr>
          <w:rFonts w:hint="eastAsia"/>
          <w:color w:val="auto"/>
          <w:highlight w:val="none"/>
        </w:rPr>
        <w:t>万元，预算执行率</w:t>
      </w:r>
      <w:r>
        <w:rPr>
          <w:rFonts w:hint="eastAsia"/>
          <w:color w:val="auto"/>
          <w:highlight w:val="none"/>
          <w:lang w:val="en-US" w:eastAsia="zh-CN"/>
        </w:rPr>
        <w:t>100</w:t>
      </w:r>
      <w:r>
        <w:rPr>
          <w:color w:val="auto"/>
          <w:highlight w:val="none"/>
        </w:rPr>
        <w:t>%</w:t>
      </w:r>
      <w:r>
        <w:rPr>
          <w:rFonts w:hint="eastAsia"/>
          <w:color w:val="auto"/>
          <w:highlight w:val="none"/>
        </w:rPr>
        <w:t>（预算执行率=（实际支出资金/预算批复金额）*100%。项目资金主要用于支付</w:t>
      </w:r>
      <w:r>
        <w:rPr>
          <w:rFonts w:hint="eastAsia"/>
          <w:color w:val="auto"/>
          <w:highlight w:val="none"/>
          <w:lang w:val="en-US" w:eastAsia="zh-CN"/>
        </w:rPr>
        <w:t>取暖费</w:t>
      </w:r>
      <w:r>
        <w:rPr>
          <w:rFonts w:hint="eastAsia"/>
          <w:color w:val="auto"/>
          <w:highlight w:val="none"/>
        </w:rPr>
        <w:t>用</w:t>
      </w:r>
      <w:r>
        <w:rPr>
          <w:rFonts w:hint="eastAsia"/>
          <w:color w:val="auto"/>
          <w:highlight w:val="none"/>
          <w:lang w:val="en-US" w:eastAsia="zh-CN"/>
        </w:rPr>
        <w:t>7.13</w:t>
      </w:r>
      <w:r>
        <w:rPr>
          <w:rFonts w:hint="eastAsia"/>
          <w:color w:val="auto"/>
          <w:highlight w:val="none"/>
        </w:rPr>
        <w:t>万元，</w:t>
      </w:r>
      <w:r>
        <w:rPr>
          <w:rFonts w:hint="eastAsia"/>
          <w:color w:val="auto"/>
          <w:highlight w:val="none"/>
          <w:lang w:val="en-US" w:eastAsia="zh-CN"/>
        </w:rPr>
        <w:t>维修护费1.78万元</w:t>
      </w:r>
      <w:r>
        <w:rPr>
          <w:rFonts w:hint="eastAsia"/>
          <w:color w:val="auto"/>
          <w:highlight w:val="none"/>
        </w:rPr>
        <w:t>。</w:t>
      </w:r>
    </w:p>
    <w:p w14:paraId="71C3B16E">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2EAE0DF3">
      <w:pPr>
        <w:pStyle w:val="6"/>
        <w:bidi w:val="0"/>
        <w:rPr>
          <w:color w:val="auto"/>
          <w:highlight w:val="none"/>
        </w:rPr>
      </w:pPr>
      <w:r>
        <w:rPr>
          <w:rFonts w:hint="eastAsia"/>
          <w:color w:val="auto"/>
          <w:highlight w:val="none"/>
        </w:rPr>
        <w:t>1.总体目标</w:t>
      </w:r>
    </w:p>
    <w:p w14:paraId="44723ACB">
      <w:pPr>
        <w:spacing w:line="560" w:lineRule="exact"/>
        <w:ind w:firstLine="560" w:firstLineChars="200"/>
        <w:rPr>
          <w:rFonts w:hint="default"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r>
        <w:rPr>
          <w:rFonts w:hint="eastAsia" w:ascii="仿宋_GB2312"/>
          <w:bCs/>
          <w:color w:val="auto"/>
          <w:szCs w:val="30"/>
          <w:highlight w:val="none"/>
        </w:rPr>
        <w:t>该项目的实施保障了我</w:t>
      </w:r>
      <w:r>
        <w:rPr>
          <w:rFonts w:hint="eastAsia" w:ascii="仿宋_GB2312"/>
          <w:bCs/>
          <w:color w:val="auto"/>
          <w:szCs w:val="30"/>
          <w:highlight w:val="none"/>
          <w:lang w:val="en-US" w:eastAsia="zh-CN"/>
        </w:rPr>
        <w:t>校</w:t>
      </w:r>
      <w:r>
        <w:rPr>
          <w:rFonts w:hint="eastAsia" w:ascii="仿宋_GB2312"/>
          <w:bCs/>
          <w:color w:val="auto"/>
          <w:szCs w:val="30"/>
          <w:highlight w:val="none"/>
        </w:rPr>
        <w:t>义务教育系统教育事业顺利开展和正常运行，促进了我县义务教育的发展。有效推进了国家</w:t>
      </w:r>
      <w:r>
        <w:rPr>
          <w:rFonts w:hint="eastAsia" w:ascii="仿宋_GB2312"/>
          <w:bCs/>
          <w:color w:val="auto"/>
          <w:szCs w:val="30"/>
          <w:highlight w:val="none"/>
          <w:lang w:val="en-US" w:eastAsia="zh-CN"/>
        </w:rPr>
        <w:t>通用语言</w:t>
      </w:r>
      <w:r>
        <w:rPr>
          <w:rFonts w:hint="eastAsia" w:ascii="仿宋_GB2312"/>
          <w:bCs/>
          <w:color w:val="auto"/>
          <w:szCs w:val="30"/>
          <w:highlight w:val="none"/>
        </w:rPr>
        <w:t>教育</w:t>
      </w:r>
      <w:r>
        <w:rPr>
          <w:rFonts w:hint="eastAsia" w:ascii="仿宋_GB2312"/>
          <w:bCs/>
          <w:color w:val="auto"/>
          <w:szCs w:val="30"/>
          <w:highlight w:val="none"/>
          <w:lang w:val="en-US" w:eastAsia="zh-CN"/>
        </w:rPr>
        <w:t>教学</w:t>
      </w:r>
      <w:r>
        <w:rPr>
          <w:rFonts w:hint="eastAsia" w:ascii="仿宋_GB2312"/>
          <w:bCs/>
          <w:color w:val="auto"/>
          <w:szCs w:val="30"/>
          <w:highlight w:val="none"/>
        </w:rPr>
        <w:t>的进程。彰显了人民政府对教育事业的重视和关怀。</w:t>
      </w:r>
    </w:p>
    <w:p w14:paraId="1115FDDA">
      <w:pPr>
        <w:pStyle w:val="6"/>
        <w:ind w:firstLine="562"/>
        <w:rPr>
          <w:color w:val="auto"/>
          <w:highlight w:val="none"/>
        </w:rPr>
      </w:pPr>
      <w:r>
        <w:rPr>
          <w:rFonts w:hint="eastAsia"/>
          <w:color w:val="auto"/>
          <w:highlight w:val="none"/>
        </w:rPr>
        <w:t>2.阶段性目标</w:t>
      </w:r>
    </w:p>
    <w:p w14:paraId="396A826B">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4C25BAE8">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1B6F96E2">
      <w:pPr>
        <w:ind w:firstLine="560"/>
        <w:rPr>
          <w:color w:val="auto"/>
          <w:highlight w:val="none"/>
        </w:rPr>
      </w:pPr>
      <w:r>
        <w:rPr>
          <w:rFonts w:hint="eastAsia"/>
          <w:color w:val="auto"/>
          <w:highlight w:val="none"/>
        </w:rPr>
        <w:t>①数量指标</w:t>
      </w:r>
    </w:p>
    <w:p w14:paraId="467F49A9">
      <w:pPr>
        <w:ind w:firstLine="560"/>
        <w:rPr>
          <w:rFonts w:hint="eastAsia"/>
          <w:color w:val="auto"/>
          <w:highlight w:val="none"/>
        </w:rPr>
      </w:pPr>
      <w:r>
        <w:rPr>
          <w:rFonts w:hint="eastAsia"/>
          <w:color w:val="auto"/>
          <w:highlight w:val="none"/>
        </w:rPr>
        <w:t>“享受义务教育（初学阶段）学生数量”指标，预期指标值为</w:t>
      </w:r>
      <w:r>
        <w:rPr>
          <w:rFonts w:hint="eastAsia"/>
          <w:color w:val="auto"/>
          <w:highlight w:val="none"/>
          <w:lang w:val="en-US" w:eastAsia="zh-CN"/>
        </w:rPr>
        <w:t>大于等于670人</w:t>
      </w:r>
      <w:r>
        <w:rPr>
          <w:rFonts w:hint="eastAsia"/>
          <w:color w:val="auto"/>
          <w:highlight w:val="none"/>
        </w:rPr>
        <w:t>。</w:t>
      </w:r>
    </w:p>
    <w:p w14:paraId="0EC1144D">
      <w:pPr>
        <w:ind w:firstLine="560"/>
        <w:rPr>
          <w:rFonts w:hint="eastAsia"/>
          <w:highlight w:val="none"/>
        </w:rPr>
      </w:pPr>
      <w:r>
        <w:rPr>
          <w:rFonts w:hint="eastAsia"/>
          <w:color w:val="auto"/>
          <w:highlight w:val="none"/>
        </w:rPr>
        <w:t>“</w:t>
      </w:r>
      <w:r>
        <w:rPr>
          <w:rFonts w:hint="eastAsia"/>
          <w:color w:val="auto"/>
          <w:highlight w:val="none"/>
          <w:lang w:val="en-US" w:eastAsia="zh-CN"/>
        </w:rPr>
        <w:t>学生取暖补助人数</w:t>
      </w:r>
      <w:r>
        <w:rPr>
          <w:rFonts w:hint="eastAsia"/>
          <w:color w:val="auto"/>
          <w:highlight w:val="none"/>
        </w:rPr>
        <w:t>”指标，预期指标值为</w:t>
      </w:r>
      <w:r>
        <w:rPr>
          <w:rFonts w:hint="eastAsia"/>
          <w:color w:val="auto"/>
          <w:highlight w:val="none"/>
          <w:lang w:val="en-US" w:eastAsia="zh-CN"/>
        </w:rPr>
        <w:t>大于等于670人</w:t>
      </w:r>
      <w:r>
        <w:rPr>
          <w:rFonts w:hint="eastAsia"/>
          <w:color w:val="auto"/>
          <w:highlight w:val="none"/>
        </w:rPr>
        <w:t>。</w:t>
      </w:r>
    </w:p>
    <w:p w14:paraId="29B1C72D">
      <w:pPr>
        <w:ind w:firstLine="560"/>
        <w:rPr>
          <w:color w:val="auto"/>
          <w:highlight w:val="none"/>
        </w:rPr>
      </w:pPr>
      <w:r>
        <w:rPr>
          <w:rFonts w:hint="eastAsia"/>
          <w:color w:val="auto"/>
          <w:highlight w:val="none"/>
        </w:rPr>
        <w:t>②质量指标</w:t>
      </w:r>
    </w:p>
    <w:p w14:paraId="057DAF76">
      <w:pPr>
        <w:ind w:firstLine="560"/>
        <w:rPr>
          <w:color w:val="auto"/>
          <w:highlight w:val="none"/>
        </w:rPr>
      </w:pPr>
      <w:r>
        <w:rPr>
          <w:rFonts w:hint="eastAsia"/>
          <w:color w:val="auto"/>
          <w:highlight w:val="none"/>
        </w:rPr>
        <w:t>“义务教育基础信息管理数据准确率”指标，预期指标值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53B5271B">
      <w:pPr>
        <w:ind w:firstLine="560"/>
        <w:rPr>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56C07B79">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0F144C2C">
      <w:pPr>
        <w:ind w:firstLine="560"/>
        <w:rPr>
          <w:color w:val="auto"/>
          <w:highlight w:val="none"/>
        </w:rPr>
      </w:pPr>
      <w:r>
        <w:rPr>
          <w:rFonts w:hint="eastAsia"/>
          <w:color w:val="auto"/>
          <w:highlight w:val="none"/>
        </w:rPr>
        <w:t>“资金拨付及时率”指标，预期指标值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18E42996">
      <w:pPr>
        <w:ind w:firstLine="560"/>
        <w:rPr>
          <w:color w:val="auto"/>
          <w:highlight w:val="none"/>
        </w:rPr>
      </w:pPr>
      <w:r>
        <w:rPr>
          <w:rFonts w:hint="eastAsia"/>
          <w:color w:val="auto"/>
          <w:highlight w:val="none"/>
        </w:rPr>
        <w:t>④成本指标</w:t>
      </w:r>
    </w:p>
    <w:p w14:paraId="6BF11B23">
      <w:pPr>
        <w:ind w:firstLine="560"/>
        <w:rPr>
          <w:rFonts w:hint="eastAsia"/>
          <w:color w:val="auto"/>
          <w:highlight w:val="none"/>
        </w:rPr>
      </w:pPr>
      <w:r>
        <w:rPr>
          <w:rFonts w:hint="eastAsia"/>
          <w:color w:val="auto"/>
          <w:highlight w:val="none"/>
        </w:rPr>
        <w:t>“义务教育初中阶段公用经费生均标准”指标，预期指标值为</w:t>
      </w:r>
      <w:r>
        <w:rPr>
          <w:rFonts w:hint="eastAsia"/>
          <w:color w:val="auto"/>
          <w:highlight w:val="none"/>
          <w:lang w:val="en-US" w:eastAsia="zh-CN"/>
        </w:rPr>
        <w:t>小于等于119元/学年</w:t>
      </w:r>
      <w:r>
        <w:rPr>
          <w:rFonts w:hint="eastAsia"/>
          <w:color w:val="auto"/>
          <w:highlight w:val="none"/>
        </w:rPr>
        <w:t>。</w:t>
      </w:r>
    </w:p>
    <w:p w14:paraId="721C16D7">
      <w:pPr>
        <w:ind w:firstLine="560"/>
        <w:rPr>
          <w:rFonts w:hint="eastAsia"/>
          <w:color w:val="auto"/>
          <w:highlight w:val="none"/>
        </w:rPr>
      </w:pPr>
      <w:r>
        <w:rPr>
          <w:rFonts w:hint="eastAsia"/>
          <w:color w:val="auto"/>
          <w:highlight w:val="none"/>
        </w:rPr>
        <w:t>“学生取暖费生均补助标准”指标，预期指标值为</w:t>
      </w:r>
      <w:r>
        <w:rPr>
          <w:rFonts w:hint="eastAsia"/>
          <w:color w:val="auto"/>
          <w:highlight w:val="none"/>
          <w:lang w:val="en-US" w:eastAsia="zh-CN"/>
        </w:rPr>
        <w:t>小于等于12元/学年</w:t>
      </w:r>
      <w:r>
        <w:rPr>
          <w:rFonts w:hint="eastAsia"/>
          <w:color w:val="auto"/>
          <w:highlight w:val="none"/>
        </w:rPr>
        <w:t>。</w:t>
      </w:r>
    </w:p>
    <w:p w14:paraId="73AED335">
      <w:pPr>
        <w:ind w:firstLine="560"/>
        <w:rPr>
          <w:highlight w:val="none"/>
        </w:rPr>
      </w:pPr>
      <w:r>
        <w:rPr>
          <w:rFonts w:hint="eastAsia"/>
          <w:color w:val="auto"/>
          <w:highlight w:val="none"/>
        </w:rPr>
        <w:t>“义务教育中阶段公用经费人员变动预拨资金”指标，预期指标值为</w:t>
      </w:r>
      <w:r>
        <w:rPr>
          <w:rFonts w:hint="eastAsia"/>
          <w:color w:val="auto"/>
          <w:highlight w:val="none"/>
          <w:lang w:val="en-US" w:eastAsia="zh-CN"/>
        </w:rPr>
        <w:t>1330元</w:t>
      </w:r>
      <w:r>
        <w:rPr>
          <w:rFonts w:hint="eastAsia"/>
          <w:color w:val="auto"/>
          <w:highlight w:val="none"/>
        </w:rPr>
        <w:t>。</w:t>
      </w:r>
    </w:p>
    <w:p w14:paraId="5BA00725">
      <w:pPr>
        <w:ind w:firstLine="562"/>
        <w:rPr>
          <w:rFonts w:ascii="仿宋" w:hAnsi="仿宋" w:eastAsia="仿宋"/>
          <w:b/>
          <w:color w:val="auto"/>
          <w:highlight w:val="none"/>
        </w:rPr>
      </w:pPr>
      <w:r>
        <w:rPr>
          <w:rFonts w:hint="eastAsia" w:ascii="仿宋" w:hAnsi="仿宋" w:eastAsia="仿宋"/>
          <w:b/>
          <w:color w:val="auto"/>
          <w:highlight w:val="none"/>
        </w:rPr>
        <w:t>（2）项目效益目标</w:t>
      </w:r>
    </w:p>
    <w:p w14:paraId="1AEE96E8">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14:paraId="558F9DDC">
      <w:pPr>
        <w:ind w:firstLine="560"/>
        <w:rPr>
          <w:rFonts w:hint="eastAsia"/>
          <w:color w:val="auto"/>
          <w:highlight w:val="none"/>
          <w:lang w:val="en-US" w:eastAsia="zh-CN"/>
        </w:rPr>
      </w:pPr>
      <w:r>
        <w:rPr>
          <w:rFonts w:hint="eastAsia"/>
          <w:color w:val="auto"/>
          <w:highlight w:val="none"/>
          <w:lang w:val="en-US" w:eastAsia="zh-CN"/>
        </w:rPr>
        <w:t>无</w:t>
      </w:r>
    </w:p>
    <w:p w14:paraId="0CAB0BB1">
      <w:pPr>
        <w:ind w:firstLine="560"/>
        <w:rPr>
          <w:color w:val="auto"/>
          <w:highlight w:val="none"/>
        </w:rPr>
      </w:pPr>
      <w:r>
        <w:rPr>
          <w:rFonts w:hint="eastAsia"/>
          <w:color w:val="auto"/>
          <w:highlight w:val="none"/>
        </w:rPr>
        <w:t>②社会效益指标</w:t>
      </w:r>
    </w:p>
    <w:p w14:paraId="710BA092">
      <w:pPr>
        <w:ind w:firstLine="560"/>
        <w:rPr>
          <w:color w:val="auto"/>
          <w:highlight w:val="none"/>
        </w:rPr>
      </w:pPr>
      <w:r>
        <w:rPr>
          <w:rFonts w:hint="eastAsia"/>
          <w:color w:val="auto"/>
          <w:highlight w:val="none"/>
        </w:rPr>
        <w:t>“保障学生义务教育，促进教育公平”指标，预期指标值为有效保障；</w:t>
      </w:r>
    </w:p>
    <w:p w14:paraId="66230010">
      <w:pPr>
        <w:ind w:firstLine="560"/>
        <w:rPr>
          <w:color w:val="auto"/>
          <w:highlight w:val="none"/>
        </w:rPr>
      </w:pPr>
      <w:r>
        <w:rPr>
          <w:rFonts w:hint="eastAsia"/>
          <w:color w:val="auto"/>
          <w:highlight w:val="none"/>
        </w:rPr>
        <w:t>“减轻学生就学经济负担”指标，预期指标值为有效减轻。</w:t>
      </w:r>
    </w:p>
    <w:p w14:paraId="25810328">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14:paraId="39EDD1CC">
      <w:pPr>
        <w:ind w:firstLine="560"/>
        <w:rPr>
          <w:color w:val="auto"/>
          <w:highlight w:val="none"/>
        </w:rPr>
      </w:pPr>
      <w:r>
        <w:rPr>
          <w:rFonts w:hint="eastAsia"/>
          <w:color w:val="auto"/>
          <w:highlight w:val="none"/>
          <w:lang w:val="en-US" w:eastAsia="zh-CN"/>
        </w:rPr>
        <w:t>无。</w:t>
      </w:r>
    </w:p>
    <w:p w14:paraId="4B0FDEDB">
      <w:pPr>
        <w:ind w:firstLine="560"/>
        <w:rPr>
          <w:color w:val="auto"/>
          <w:highlight w:val="none"/>
        </w:rPr>
      </w:pPr>
      <w:r>
        <w:rPr>
          <w:rFonts w:hint="eastAsia"/>
          <w:color w:val="auto"/>
          <w:highlight w:val="none"/>
        </w:rPr>
        <w:t>④可持续影响</w:t>
      </w:r>
    </w:p>
    <w:p w14:paraId="4393A830">
      <w:pPr>
        <w:ind w:firstLine="560"/>
        <w:rPr>
          <w:color w:val="auto"/>
          <w:highlight w:val="none"/>
        </w:rPr>
      </w:pPr>
      <w:r>
        <w:rPr>
          <w:rFonts w:hint="eastAsia"/>
          <w:color w:val="auto"/>
          <w:highlight w:val="none"/>
          <w:lang w:val="en-US" w:eastAsia="zh-CN"/>
        </w:rPr>
        <w:t>无。</w:t>
      </w:r>
    </w:p>
    <w:p w14:paraId="62F10F7E">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14:paraId="0DEE246F">
      <w:pPr>
        <w:ind w:firstLine="560"/>
        <w:rPr>
          <w:color w:val="auto"/>
          <w:highlight w:val="none"/>
        </w:rPr>
      </w:pPr>
      <w:r>
        <w:rPr>
          <w:rFonts w:hint="eastAsia"/>
          <w:color w:val="auto"/>
          <w:highlight w:val="none"/>
        </w:rPr>
        <w:t>①满意度指标</w:t>
      </w:r>
    </w:p>
    <w:p w14:paraId="3089ECF0">
      <w:pPr>
        <w:ind w:firstLine="560"/>
        <w:rPr>
          <w:color w:val="auto"/>
          <w:highlight w:val="none"/>
        </w:rPr>
      </w:pPr>
      <w:r>
        <w:rPr>
          <w:rFonts w:hint="eastAsia"/>
          <w:color w:val="auto"/>
          <w:highlight w:val="none"/>
        </w:rPr>
        <w:t>“学校和老师的满意度”指标，预期指标值为</w:t>
      </w:r>
      <w:r>
        <w:rPr>
          <w:rFonts w:hint="eastAsia"/>
          <w:color w:val="auto"/>
          <w:highlight w:val="none"/>
          <w:lang w:eastAsia="zh-CN"/>
        </w:rPr>
        <w:t>大于等于</w:t>
      </w:r>
      <w:r>
        <w:rPr>
          <w:rFonts w:hint="eastAsia"/>
          <w:color w:val="auto"/>
          <w:highlight w:val="none"/>
        </w:rPr>
        <w:t>9</w:t>
      </w:r>
      <w:r>
        <w:rPr>
          <w:rFonts w:hint="eastAsia"/>
          <w:color w:val="auto"/>
          <w:highlight w:val="none"/>
          <w:lang w:val="en-US" w:eastAsia="zh-CN"/>
        </w:rPr>
        <w:t>0</w:t>
      </w:r>
      <w:r>
        <w:rPr>
          <w:rFonts w:hint="eastAsia"/>
          <w:color w:val="auto"/>
          <w:highlight w:val="none"/>
        </w:rPr>
        <w:t>%；</w:t>
      </w:r>
    </w:p>
    <w:p w14:paraId="53578DB1">
      <w:pPr>
        <w:ind w:firstLine="560"/>
        <w:rPr>
          <w:color w:val="auto"/>
          <w:highlight w:val="none"/>
        </w:rPr>
      </w:pPr>
      <w:r>
        <w:rPr>
          <w:rFonts w:hint="eastAsia"/>
          <w:color w:val="auto"/>
          <w:highlight w:val="none"/>
        </w:rPr>
        <w:t>“家长和学生的满意度”指标，预期指标值为</w:t>
      </w:r>
      <w:r>
        <w:rPr>
          <w:rFonts w:hint="eastAsia"/>
          <w:color w:val="auto"/>
          <w:highlight w:val="none"/>
          <w:lang w:eastAsia="zh-CN"/>
        </w:rPr>
        <w:t>大于等于</w:t>
      </w:r>
      <w:r>
        <w:rPr>
          <w:rFonts w:hint="eastAsia"/>
          <w:color w:val="auto"/>
          <w:highlight w:val="none"/>
        </w:rPr>
        <w:t>9</w:t>
      </w:r>
      <w:r>
        <w:rPr>
          <w:rFonts w:hint="eastAsia"/>
          <w:color w:val="auto"/>
          <w:highlight w:val="none"/>
          <w:lang w:val="en-US" w:eastAsia="zh-CN"/>
        </w:rPr>
        <w:t>0</w:t>
      </w:r>
      <w:r>
        <w:rPr>
          <w:rFonts w:hint="eastAsia"/>
          <w:color w:val="auto"/>
          <w:highlight w:val="none"/>
        </w:rPr>
        <w:t>%。</w:t>
      </w:r>
    </w:p>
    <w:p w14:paraId="040BB4FB">
      <w:pPr>
        <w:pStyle w:val="4"/>
        <w:ind w:firstLine="640"/>
        <w:rPr>
          <w:color w:val="auto"/>
          <w:highlight w:val="none"/>
        </w:rPr>
      </w:pPr>
      <w:r>
        <w:rPr>
          <w:rFonts w:hint="eastAsia"/>
          <w:color w:val="auto"/>
          <w:highlight w:val="none"/>
        </w:rPr>
        <w:t>二、绩效评价工作开展情况</w:t>
      </w:r>
    </w:p>
    <w:p w14:paraId="4324AEB6">
      <w:pPr>
        <w:pStyle w:val="5"/>
        <w:numPr>
          <w:ilvl w:val="0"/>
          <w:numId w:val="0"/>
        </w:numPr>
        <w:ind w:firstLine="643" w:firstLineChars="200"/>
        <w:rPr>
          <w:rFonts w:ascii="楷体" w:hAnsi="楷体" w:cs="楷体"/>
          <w:color w:val="auto"/>
          <w:szCs w:val="32"/>
          <w:highlight w:val="none"/>
        </w:rPr>
      </w:pPr>
      <w:bookmarkStart w:id="0" w:name="_Toc21664"/>
      <w:bookmarkStart w:id="1" w:name="_Toc480473081"/>
      <w:bookmarkStart w:id="2" w:name="_Toc12868"/>
      <w:bookmarkStart w:id="3" w:name="_Toc5462343"/>
      <w:bookmarkStart w:id="4" w:name="_Toc26632"/>
      <w:bookmarkStart w:id="5" w:name="_Toc22922"/>
      <w:bookmarkStart w:id="6" w:name="_Toc5258"/>
      <w:bookmarkStart w:id="7" w:name="_Toc22169_WPSOffice_Level2"/>
      <w:r>
        <w:rPr>
          <w:rFonts w:hint="eastAsia" w:ascii="楷体" w:hAnsi="楷体" w:cs="楷体"/>
          <w:color w:val="auto"/>
          <w:szCs w:val="32"/>
          <w:highlight w:val="none"/>
          <w:lang w:val="en-US" w:eastAsia="zh-CN"/>
        </w:rPr>
        <w:t>(一)</w:t>
      </w:r>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7CA1AEF7">
      <w:pPr>
        <w:pStyle w:val="6"/>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247252E5">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557D809A">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2DFAB8BF">
      <w:pPr>
        <w:pStyle w:val="6"/>
        <w:ind w:firstLine="562"/>
        <w:rPr>
          <w:color w:val="auto"/>
          <w:highlight w:val="none"/>
        </w:rPr>
      </w:pPr>
      <w:r>
        <w:rPr>
          <w:rFonts w:hint="eastAsia"/>
          <w:color w:val="auto"/>
          <w:highlight w:val="none"/>
        </w:rPr>
        <w:t>2.绩效评价的对象和范围</w:t>
      </w:r>
    </w:p>
    <w:p w14:paraId="6B256A5A">
      <w:pP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w:t>
      </w:r>
      <w:r>
        <w:rPr>
          <w:rFonts w:hint="eastAsia"/>
          <w:color w:val="auto"/>
          <w:highlight w:val="none"/>
          <w:lang w:val="en-US" w:eastAsia="zh-CN"/>
        </w:rPr>
        <w:t>校</w:t>
      </w:r>
      <w:r>
        <w:rPr>
          <w:rFonts w:hint="eastAsia"/>
          <w:color w:val="auto"/>
          <w:highlight w:val="none"/>
        </w:rPr>
        <w:t>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年度我单位实施的202</w:t>
      </w:r>
      <w:r>
        <w:rPr>
          <w:rFonts w:hint="eastAsia"/>
          <w:color w:val="auto"/>
          <w:highlight w:val="none"/>
          <w:lang w:val="en-US" w:eastAsia="zh-CN"/>
        </w:rPr>
        <w:t>3</w:t>
      </w:r>
      <w:r>
        <w:rPr>
          <w:rFonts w:hint="eastAsia"/>
          <w:color w:val="auto"/>
          <w:highlight w:val="none"/>
        </w:rPr>
        <w:t>年城乡义务教育项目（公用经费）项目开展部门绩效评价，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14:paraId="1270981A">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14:paraId="44EA0AF4">
      <w:pPr>
        <w:pStyle w:val="5"/>
        <w:numPr>
          <w:ilvl w:val="0"/>
          <w:numId w:val="0"/>
        </w:numPr>
        <w:ind w:firstLine="321" w:firstLineChars="100"/>
        <w:rPr>
          <w:color w:val="auto"/>
          <w:highlight w:val="none"/>
        </w:rPr>
      </w:pPr>
      <w:r>
        <w:rPr>
          <w:rFonts w:hint="eastAsia"/>
          <w:color w:val="auto"/>
          <w:highlight w:val="none"/>
          <w:lang w:eastAsia="zh-CN"/>
        </w:rPr>
        <w:t>（二）</w:t>
      </w:r>
      <w:r>
        <w:rPr>
          <w:rFonts w:hint="eastAsia"/>
          <w:color w:val="auto"/>
          <w:highlight w:val="none"/>
        </w:rPr>
        <w:t>绩效评价原则、评价指标体系、评价方法评价标准</w:t>
      </w:r>
    </w:p>
    <w:p w14:paraId="53929BC7">
      <w:pPr>
        <w:pStyle w:val="6"/>
        <w:ind w:firstLine="562"/>
        <w:rPr>
          <w:color w:val="auto"/>
          <w:highlight w:val="none"/>
        </w:rPr>
      </w:pPr>
      <w:r>
        <w:rPr>
          <w:rFonts w:hint="eastAsia"/>
          <w:color w:val="auto"/>
          <w:highlight w:val="none"/>
        </w:rPr>
        <w:t>1.绩效评价原则</w:t>
      </w:r>
    </w:p>
    <w:p w14:paraId="1463C945">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14:paraId="4BCFB102">
      <w:pPr>
        <w:spacing w:line="600" w:lineRule="exact"/>
        <w:ind w:firstLine="560"/>
        <w:rPr>
          <w:color w:val="auto"/>
          <w:highlight w:val="none"/>
        </w:rPr>
      </w:pPr>
      <w:r>
        <w:rPr>
          <w:rFonts w:hint="eastAsia"/>
          <w:color w:val="auto"/>
          <w:highlight w:val="none"/>
        </w:rPr>
        <w:t>根据以上原则，绩效评价应遵循如下要求：</w:t>
      </w:r>
    </w:p>
    <w:p w14:paraId="2A385F85">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14:paraId="5BEC7DCA">
      <w:pPr>
        <w:spacing w:line="600" w:lineRule="exact"/>
        <w:ind w:firstLine="560"/>
        <w:rPr>
          <w:color w:val="auto"/>
          <w:highlight w:val="none"/>
        </w:rPr>
      </w:pPr>
      <w:r>
        <w:rPr>
          <w:rFonts w:hint="eastAsia"/>
          <w:color w:val="auto"/>
          <w:highlight w:val="none"/>
        </w:rPr>
        <w:t>（2）保证评价结果的真实性、公正性，提高评价报告的公信力。</w:t>
      </w:r>
    </w:p>
    <w:p w14:paraId="797642C6">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14:paraId="2352C9E4">
      <w:pPr>
        <w:pStyle w:val="6"/>
        <w:ind w:firstLine="562"/>
        <w:rPr>
          <w:color w:val="auto"/>
          <w:highlight w:val="none"/>
        </w:rPr>
      </w:pPr>
      <w:bookmarkStart w:id="8" w:name="_Toc1913"/>
      <w:bookmarkStart w:id="9" w:name="_Toc428278230"/>
      <w:bookmarkStart w:id="10" w:name="_Toc419984722"/>
      <w:bookmarkStart w:id="11" w:name="_Toc26131"/>
      <w:r>
        <w:rPr>
          <w:rFonts w:hint="eastAsia"/>
          <w:color w:val="auto"/>
          <w:highlight w:val="none"/>
        </w:rPr>
        <w:t>2.绩效评价指标体系</w:t>
      </w:r>
      <w:bookmarkEnd w:id="8"/>
      <w:bookmarkEnd w:id="9"/>
      <w:bookmarkEnd w:id="10"/>
      <w:bookmarkEnd w:id="11"/>
    </w:p>
    <w:p w14:paraId="0AC10B56">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）、效益指标（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14:paraId="208CDB0D">
      <w:pPr>
        <w:bidi w:val="0"/>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p>
    <w:p w14:paraId="632E6819">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14:paraId="2EF6A26D">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14:paraId="6C059788">
      <w:pPr>
        <w:ind w:firstLine="560"/>
        <w:rPr>
          <w:color w:val="auto"/>
          <w:highlight w:val="none"/>
        </w:rPr>
      </w:pPr>
      <w:r>
        <w:rPr>
          <w:rFonts w:hint="eastAsia"/>
          <w:color w:val="auto"/>
          <w:highlight w:val="none"/>
        </w:rPr>
        <w:t>指标体系包括指标体系表</w:t>
      </w:r>
      <w:r>
        <w:rPr>
          <w:rFonts w:hint="eastAsia"/>
          <w:color w:val="auto"/>
          <w:highlight w:val="none"/>
          <w:lang w:val="en-US" w:eastAsia="zh-CN"/>
        </w:rPr>
        <w:t>和</w:t>
      </w:r>
      <w:r>
        <w:rPr>
          <w:rFonts w:hint="eastAsia"/>
          <w:color w:val="auto"/>
          <w:highlight w:val="none"/>
        </w:rPr>
        <w:t>综合</w:t>
      </w:r>
      <w:r>
        <w:rPr>
          <w:rFonts w:hint="eastAsia"/>
          <w:color w:val="auto"/>
          <w:highlight w:val="none"/>
          <w:lang w:val="en-US" w:eastAsia="zh-CN"/>
        </w:rPr>
        <w:t>得分表</w:t>
      </w:r>
      <w:r>
        <w:rPr>
          <w:rFonts w:hint="eastAsia"/>
          <w:color w:val="auto"/>
          <w:highlight w:val="none"/>
        </w:rPr>
        <w:t>两部分，指标体系表是支持评价的基础数据，各指标的权重由该项目绩效评价小组根据绩效评价原理和评价需求，在调研基础上依据指标的重要性制定形成。综合</w:t>
      </w:r>
      <w:r>
        <w:rPr>
          <w:rFonts w:hint="eastAsia"/>
          <w:color w:val="auto"/>
          <w:highlight w:val="none"/>
          <w:lang w:val="en-US" w:eastAsia="zh-CN"/>
        </w:rPr>
        <w:t>得分表</w:t>
      </w:r>
      <w:r>
        <w:rPr>
          <w:rFonts w:hint="eastAsia"/>
          <w:color w:val="auto"/>
          <w:highlight w:val="none"/>
        </w:rPr>
        <w:t>是</w:t>
      </w:r>
      <w:r>
        <w:rPr>
          <w:rFonts w:hint="eastAsia"/>
          <w:color w:val="auto"/>
          <w:highlight w:val="none"/>
          <w:lang w:val="en-US" w:eastAsia="zh-CN"/>
        </w:rPr>
        <w:t>项目一级指标汇总得分表</w:t>
      </w:r>
      <w:r>
        <w:rPr>
          <w:rFonts w:hint="eastAsia"/>
          <w:color w:val="auto"/>
          <w:highlight w:val="none"/>
        </w:rPr>
        <w:t>。详细指标体系见</w:t>
      </w:r>
      <w:r>
        <w:rPr>
          <w:rFonts w:hint="eastAsia"/>
          <w:color w:val="auto"/>
          <w:highlight w:val="none"/>
          <w:lang w:eastAsia="zh-CN"/>
        </w:rPr>
        <w:t>《</w:t>
      </w:r>
      <w:r>
        <w:rPr>
          <w:rFonts w:hint="eastAsia"/>
          <w:color w:val="auto"/>
          <w:highlight w:val="none"/>
        </w:rPr>
        <w:t>附件1：项目绩效评价指标体系表和项目综合得分表</w:t>
      </w:r>
      <w:r>
        <w:rPr>
          <w:rFonts w:hint="eastAsia"/>
          <w:color w:val="auto"/>
          <w:highlight w:val="none"/>
          <w:lang w:eastAsia="zh-CN"/>
        </w:rPr>
        <w:t>》</w:t>
      </w:r>
      <w:r>
        <w:rPr>
          <w:rFonts w:hint="eastAsia"/>
          <w:color w:val="auto"/>
          <w:highlight w:val="none"/>
        </w:rPr>
        <w:t>。</w:t>
      </w:r>
    </w:p>
    <w:p w14:paraId="63CB34E2">
      <w:pPr>
        <w:pStyle w:val="6"/>
        <w:ind w:firstLine="562"/>
        <w:rPr>
          <w:color w:val="auto"/>
          <w:highlight w:val="none"/>
        </w:rPr>
      </w:pPr>
      <w:r>
        <w:rPr>
          <w:rFonts w:hint="eastAsia"/>
          <w:color w:val="auto"/>
          <w:highlight w:val="none"/>
        </w:rPr>
        <w:t>3.评价方法</w:t>
      </w:r>
    </w:p>
    <w:p w14:paraId="661E590A">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14:paraId="1A506A3F">
      <w:pPr>
        <w:bidi w:val="0"/>
        <w:rPr>
          <w:rFonts w:hint="eastAsia"/>
          <w:color w:val="auto"/>
          <w:highlight w:val="none"/>
        </w:rPr>
      </w:pPr>
      <w:r>
        <w:rPr>
          <w:rFonts w:hint="eastAsia"/>
          <w:color w:val="auto"/>
          <w:highlight w:val="none"/>
        </w:rPr>
        <w:t>三级指标分析环节：总体采用比较法，同时辅以成本效益法、因素分析法以及公众评判法，根据不同三级指标类型进行逐项分析。</w:t>
      </w:r>
    </w:p>
    <w:p w14:paraId="1D8ED9D9">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14:paraId="1B110EB5">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14:paraId="3E843CBE">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14:paraId="4D5CA0B6">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w:t>
      </w:r>
    </w:p>
    <w:p w14:paraId="2A509FFB">
      <w:pP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14:paraId="43F786A5">
      <w:pPr>
        <w:pStyle w:val="6"/>
        <w:ind w:firstLine="562"/>
        <w:rPr>
          <w:color w:val="auto"/>
          <w:highlight w:val="none"/>
        </w:rPr>
      </w:pPr>
      <w:r>
        <w:rPr>
          <w:rFonts w:hint="eastAsia"/>
          <w:color w:val="auto"/>
          <w:highlight w:val="none"/>
        </w:rPr>
        <w:t>4.评价标准</w:t>
      </w:r>
    </w:p>
    <w:p w14:paraId="25BFF9B5">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24DCC103">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14:paraId="1E30D24B">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14:paraId="58E1132C">
      <w:pPr>
        <w:ind w:firstLine="560"/>
        <w:rPr>
          <w:color w:val="auto"/>
          <w:highlight w:val="none"/>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）财政部门和预算部门确认或认可的其他标准。</w:t>
      </w:r>
    </w:p>
    <w:p w14:paraId="262CF457">
      <w:pPr>
        <w:pStyle w:val="5"/>
        <w:numPr>
          <w:ilvl w:val="0"/>
          <w:numId w:val="0"/>
        </w:numPr>
        <w:ind w:firstLine="643" w:firstLineChars="200"/>
        <w:rPr>
          <w:color w:val="auto"/>
          <w:highlight w:val="none"/>
        </w:rPr>
      </w:pPr>
      <w:r>
        <w:rPr>
          <w:rFonts w:hint="eastAsia"/>
          <w:color w:val="auto"/>
          <w:highlight w:val="none"/>
          <w:lang w:eastAsia="zh-CN"/>
        </w:rPr>
        <w:t>（三）</w:t>
      </w:r>
      <w:r>
        <w:rPr>
          <w:rFonts w:hint="eastAsia"/>
          <w:color w:val="auto"/>
          <w:highlight w:val="none"/>
        </w:rPr>
        <w:t>绩效评价工作过程</w:t>
      </w:r>
    </w:p>
    <w:p w14:paraId="1E4D22DF">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2BB129A3">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2024年3月15日，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6E852330">
      <w:pPr>
        <w:ind w:firstLine="560"/>
        <w:rPr>
          <w:rFonts w:hint="default"/>
          <w:color w:val="auto"/>
          <w:highlight w:val="none"/>
          <w:lang w:val="en-US" w:eastAsia="zh-CN"/>
        </w:rPr>
      </w:pPr>
      <w:r>
        <w:rPr>
          <w:rFonts w:hint="eastAsia"/>
          <w:color w:val="auto"/>
          <w:highlight w:val="none"/>
          <w:lang w:val="en-US" w:eastAsia="zh-CN"/>
        </w:rPr>
        <w:t>（1）评价组组长：陶勇，</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5044EC5D">
      <w:pPr>
        <w:ind w:firstLine="560"/>
        <w:rPr>
          <w:rFonts w:hint="eastAsia"/>
          <w:color w:val="auto"/>
          <w:highlight w:val="none"/>
          <w:lang w:val="en-US" w:eastAsia="zh-CN"/>
        </w:rPr>
      </w:pPr>
      <w:r>
        <w:rPr>
          <w:rFonts w:hint="eastAsia"/>
          <w:color w:val="auto"/>
          <w:highlight w:val="none"/>
          <w:lang w:val="en-US" w:eastAsia="zh-CN"/>
        </w:rPr>
        <w:t>（2）评价组成员：买明江·买买提，</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6A0276D2">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（3）评价组成员：库尔班·买买提，</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351B0121">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2EF5B45D">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5E535ED3">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68FFA724">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47A4B9F6">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0F073D89">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13F73EB5">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411094C6">
      <w:pPr>
        <w:pStyle w:val="6"/>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14:paraId="250FD62C">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49C783E7">
      <w:pPr>
        <w:pStyle w:val="4"/>
        <w:numPr>
          <w:ilvl w:val="0"/>
          <w:numId w:val="1"/>
        </w:numPr>
        <w:ind w:left="197" w:leftChars="0" w:firstLine="640" w:firstLineChars="0"/>
        <w:rPr>
          <w:color w:val="auto"/>
          <w:highlight w:val="none"/>
        </w:rPr>
      </w:pPr>
      <w:r>
        <w:rPr>
          <w:rFonts w:hint="eastAsia"/>
          <w:color w:val="auto"/>
          <w:highlight w:val="none"/>
        </w:rPr>
        <w:t>综合评价情况及评价结论</w:t>
      </w:r>
    </w:p>
    <w:p w14:paraId="534DB2BD">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760CB43C">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367A822C">
      <w:pPr>
        <w:pageBreakBefore w:val="0"/>
        <w:kinsoku/>
        <w:wordWrap/>
        <w:topLinePunct w:val="0"/>
        <w:autoSpaceDE/>
        <w:autoSpaceDN/>
        <w:bidi w:val="0"/>
        <w:spacing w:line="560" w:lineRule="exact"/>
        <w:ind w:right="0" w:rightChars="0" w:firstLine="643"/>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《中共中央国务院关于全面实施预算绩效管理的意见》等国家法律法规关于预算绩效管的国民经济发展规划和相关政策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开展预算绩效管理工作这一部门职责范围相符，属于部门履职所需；本</w:t>
      </w:r>
      <w:r>
        <w:rPr>
          <w:rFonts w:hint="eastAsia"/>
          <w:color w:val="auto"/>
          <w:highlight w:val="none"/>
          <w:lang w:eastAsia="zh-CN"/>
        </w:rPr>
        <w:t>项目绩效目标与实际工作内容具有相关性；</w:t>
      </w:r>
      <w:r>
        <w:rPr>
          <w:rFonts w:hint="eastAsia"/>
          <w:color w:val="auto"/>
          <w:highlight w:val="none"/>
        </w:rPr>
        <w:t>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14:paraId="69999BD6">
      <w:pPr>
        <w:ind w:firstLine="56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公用经费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14:paraId="6322A57F">
      <w:pPr>
        <w:bidi w:val="0"/>
        <w:rPr>
          <w:rFonts w:hint="eastAsia"/>
          <w:color w:val="auto"/>
          <w:highlight w:val="none"/>
        </w:rPr>
      </w:pP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公用经费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w:t>
      </w:r>
    </w:p>
    <w:p w14:paraId="04332A41">
      <w:pPr>
        <w:ind w:firstLine="560"/>
        <w:rPr>
          <w:rFonts w:hint="eastAsia"/>
          <w:color w:val="auto"/>
          <w:highlight w:val="none"/>
          <w:u w:color="000000"/>
          <w:lang w:val="zh-TW" w:eastAsia="zh-CN"/>
        </w:rPr>
      </w:pPr>
      <w:r>
        <w:rPr>
          <w:rFonts w:hint="eastAsia"/>
          <w:color w:val="auto"/>
          <w:highlight w:val="none"/>
          <w:lang w:eastAsia="zh-CN"/>
        </w:rPr>
        <w:t>项目产出方面：</w:t>
      </w:r>
    </w:p>
    <w:p w14:paraId="7C0A9B38">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完成享受义务教育（初学阶段）学生667人，学生取暖费补助人</w:t>
      </w:r>
      <w:r>
        <w:rPr>
          <w:rFonts w:hint="eastAsia" w:ascii="仿宋_GB2312" w:hAnsi="仿宋_GB2312" w:cs="仿宋_GB2312"/>
          <w:color w:val="auto"/>
          <w:sz w:val="28"/>
          <w:szCs w:val="28"/>
          <w:highlight w:val="none"/>
        </w:rPr>
        <w:t>指</w:t>
      </w:r>
      <w:r>
        <w:rPr>
          <w:rFonts w:hint="eastAsia" w:ascii="仿宋_GB2312" w:hAnsi="仿宋_GB2312" w:cs="仿宋_GB2312"/>
          <w:color w:val="auto"/>
          <w:sz w:val="28"/>
          <w:szCs w:val="28"/>
          <w:highlight w:val="none"/>
          <w:lang w:val="en-US" w:eastAsia="zh-CN"/>
        </w:rPr>
        <w:t>667人。</w:t>
      </w:r>
    </w:p>
    <w:p w14:paraId="307066EE">
      <w:pPr>
        <w:bidi w:val="0"/>
        <w:rPr>
          <w:rFonts w:hint="eastAsia" w:ascii="仿宋_GB2312" w:hAnsi="仿宋_GB2312" w:eastAsia="仿宋_GB2312" w:cs="仿宋_GB2312"/>
          <w:color w:val="auto"/>
          <w:sz w:val="28"/>
          <w:szCs w:val="28"/>
          <w:highlight w:val="none"/>
          <w:lang w:eastAsia="zh-CN"/>
        </w:rPr>
      </w:pPr>
      <w:r>
        <w:rPr>
          <w:rFonts w:hint="eastAsia"/>
          <w:color w:val="auto"/>
          <w:highlight w:val="none"/>
          <w:lang w:eastAsia="zh-CN"/>
        </w:rPr>
        <w:t>项目效益方面：</w:t>
      </w:r>
      <w:r>
        <w:rPr>
          <w:rFonts w:hint="eastAsia" w:ascii="仿宋_GB2312" w:hAnsi="仿宋_GB2312" w:cs="仿宋_GB2312"/>
          <w:color w:val="auto"/>
          <w:sz w:val="28"/>
          <w:szCs w:val="28"/>
          <w:highlight w:val="none"/>
          <w:lang w:val="en-US" w:eastAsia="zh-CN"/>
        </w:rPr>
        <w:t>保障学生义务教育，促进教育公平减轻学生就学经济负担</w:t>
      </w:r>
      <w:r>
        <w:rPr>
          <w:rFonts w:hint="eastAsia" w:ascii="仿宋_GB2312" w:hAnsi="仿宋_GB2312" w:cs="仿宋_GB2312"/>
          <w:color w:val="auto"/>
          <w:sz w:val="28"/>
          <w:szCs w:val="28"/>
          <w:highlight w:val="none"/>
          <w:lang w:eastAsia="zh-CN"/>
        </w:rPr>
        <w:t>，</w:t>
      </w:r>
    </w:p>
    <w:p w14:paraId="3C63E6D3">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保障县域内义务教育优质均衡发展。</w:t>
      </w:r>
    </w:p>
    <w:p w14:paraId="3BF63BAE">
      <w:pPr>
        <w:pStyle w:val="5"/>
        <w:bidi w:val="0"/>
        <w:rPr>
          <w:rFonts w:hint="eastAsia"/>
          <w:color w:val="auto"/>
          <w:highlight w:val="none"/>
        </w:rPr>
      </w:pPr>
      <w:r>
        <w:rPr>
          <w:rFonts w:hint="eastAsia"/>
          <w:color w:val="auto"/>
          <w:highlight w:val="none"/>
        </w:rPr>
        <w:t>（二）综合评价结论</w:t>
      </w:r>
    </w:p>
    <w:bookmarkEnd w:id="14"/>
    <w:p w14:paraId="7E4A1F0A">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w:t>
      </w: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98.94分，绩效评级为“优秀”。综合评价结论如下：本项目决策指标共设置6个，满分20分，得分率100%；项目过程指标共设置5个，满分20分，得分率100%；项目产出指标共设置5个，满分24分，得分率100%；项目成本指标共设置3个，满分12分，得分率91.17%；项目效益指标共设置4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0631E3C4">
      <w:pPr>
        <w:pStyle w:val="4"/>
        <w:numPr>
          <w:ilvl w:val="0"/>
          <w:numId w:val="1"/>
        </w:numPr>
        <w:ind w:left="197" w:leftChars="0" w:firstLine="640" w:firstLineChars="0"/>
        <w:rPr>
          <w:rFonts w:hint="eastAsia"/>
          <w:color w:val="auto"/>
          <w:highlight w:val="none"/>
        </w:rPr>
      </w:pPr>
      <w:r>
        <w:rPr>
          <w:rFonts w:hint="eastAsia"/>
          <w:color w:val="auto"/>
          <w:highlight w:val="none"/>
        </w:rPr>
        <w:t>绩效评价指标分析</w:t>
      </w:r>
    </w:p>
    <w:p w14:paraId="19F05DB0">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3D964731">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197D6055">
      <w:pPr>
        <w:pStyle w:val="6"/>
        <w:bidi w:val="0"/>
        <w:rPr>
          <w:rFonts w:hint="eastAsia"/>
          <w:color w:val="auto"/>
          <w:highlight w:val="none"/>
          <w:lang w:val="en-US" w:eastAsia="zh-CN"/>
        </w:rPr>
      </w:pPr>
      <w:r>
        <w:rPr>
          <w:rFonts w:hint="eastAsia"/>
          <w:color w:val="auto"/>
          <w:highlight w:val="none"/>
          <w:lang w:val="en-US" w:eastAsia="zh-CN"/>
        </w:rPr>
        <w:t>1.项目立项情况分析</w:t>
      </w:r>
    </w:p>
    <w:p w14:paraId="762D0CB1">
      <w:pPr>
        <w:bidi w:val="0"/>
        <w:rPr>
          <w:rFonts w:hint="eastAsia"/>
          <w:b/>
          <w:bCs/>
          <w:color w:val="auto"/>
          <w:highlight w:val="none"/>
        </w:rPr>
      </w:pPr>
      <w:r>
        <w:rPr>
          <w:rFonts w:hint="eastAsia"/>
          <w:b/>
          <w:bCs/>
          <w:color w:val="auto"/>
          <w:highlight w:val="none"/>
        </w:rPr>
        <w:t>（1）立项依据充分性：</w:t>
      </w:r>
    </w:p>
    <w:p w14:paraId="6D9F23B1">
      <w:pPr>
        <w:bidi w:val="0"/>
        <w:rPr>
          <w:rFonts w:hint="eastAsia"/>
          <w:color w:val="auto"/>
          <w:highlight w:val="none"/>
        </w:rPr>
      </w:pP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《中共中央国务院关于全面实施预算绩效管理的意见》等国家法律法规关于预算绩效管的国民经济发展规划和相关政策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开展预算绩效管理工作这一部门职责范围相符，属于部门履职所需；根据《财政资金直接支付申请书》，本项目资金性质为</w:t>
      </w:r>
      <w:r>
        <w:rPr>
          <w:rFonts w:hint="eastAsia"/>
          <w:color w:val="auto"/>
          <w:highlight w:val="none"/>
          <w:lang w:val="en-US" w:eastAsia="zh-CN"/>
        </w:rPr>
        <w:t>专项</w:t>
      </w:r>
      <w:r>
        <w:rPr>
          <w:rFonts w:hint="eastAsia"/>
          <w:color w:val="auto"/>
          <w:highlight w:val="none"/>
        </w:rPr>
        <w:t>资金</w:t>
      </w:r>
      <w:r>
        <w:rPr>
          <w:rFonts w:hint="eastAsia"/>
          <w:color w:val="auto"/>
          <w:highlight w:val="none"/>
          <w:lang w:eastAsia="zh-CN"/>
        </w:rPr>
        <w:t>，</w:t>
      </w:r>
      <w:r>
        <w:rPr>
          <w:rFonts w:hint="eastAsia"/>
          <w:color w:val="auto"/>
          <w:highlight w:val="none"/>
        </w:rPr>
        <w:t>功能分类</w:t>
      </w:r>
      <w:r>
        <w:rPr>
          <w:rFonts w:hint="eastAsia"/>
          <w:color w:val="auto"/>
          <w:highlight w:val="none"/>
          <w:lang w:val="en-US" w:eastAsia="zh-CN"/>
        </w:rPr>
        <w:t>分别为2050202，2050203</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61B3A855">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11C22680">
      <w:pPr>
        <w:bidi w:val="0"/>
        <w:rPr>
          <w:color w:val="auto"/>
          <w:highlight w:val="none"/>
        </w:rPr>
      </w:pPr>
      <w:r>
        <w:rPr>
          <w:rFonts w:hint="eastAsia"/>
          <w:color w:val="auto"/>
          <w:highlight w:val="none"/>
          <w:lang w:val="en-US" w:eastAsia="zh-CN"/>
        </w:rPr>
        <w:t>该</w:t>
      </w:r>
      <w:r>
        <w:rPr>
          <w:rFonts w:hint="eastAsia"/>
          <w:color w:val="auto"/>
          <w:highlight w:val="none"/>
        </w:rPr>
        <w:t>项目按照规定的《中华人民共和国预算法》程序申请设立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61469EDC">
      <w:pPr>
        <w:pStyle w:val="6"/>
        <w:bidi w:val="0"/>
        <w:rPr>
          <w:rFonts w:hint="eastAsia"/>
          <w:color w:val="auto"/>
          <w:highlight w:val="none"/>
          <w:lang w:val="en-US" w:eastAsia="zh-CN"/>
        </w:rPr>
      </w:pPr>
      <w:r>
        <w:rPr>
          <w:rFonts w:hint="eastAsia"/>
          <w:color w:val="auto"/>
          <w:highlight w:val="none"/>
          <w:lang w:val="en-US" w:eastAsia="zh-CN"/>
        </w:rPr>
        <w:t>2.绩效目标情况分析</w:t>
      </w:r>
    </w:p>
    <w:p w14:paraId="2C6252D4">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3E59EB5F">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1、保障县域居民享受城乡义务教育，解决各义务教育学校正常运转经费，改善教育教学环境、提高教育教学质量。</w:t>
      </w:r>
    </w:p>
    <w:p w14:paraId="0BEA9D15">
      <w:pPr>
        <w:bidi w:val="0"/>
        <w:rPr>
          <w:rFonts w:hint="eastAsia"/>
          <w:color w:val="auto"/>
          <w:highlight w:val="none"/>
          <w:lang w:val="en-US" w:eastAsia="zh-CN"/>
        </w:rPr>
      </w:pPr>
      <w:r>
        <w:rPr>
          <w:rFonts w:hint="eastAsia"/>
          <w:color w:val="auto"/>
          <w:highlight w:val="none"/>
          <w:lang w:val="en-US" w:eastAsia="zh-CN"/>
        </w:rPr>
        <w:t>2、进一步优化教育机构，促进教育公平，优化结构，优先保障，深化改革、强化管理，最终提高教育经费使用效益</w:t>
      </w:r>
      <w:r>
        <w:rPr>
          <w:rFonts w:hint="eastAsia"/>
          <w:color w:val="auto"/>
          <w:highlight w:val="none"/>
          <w:lang w:eastAsia="zh-CN"/>
        </w:rPr>
        <w:t>。</w:t>
      </w:r>
    </w:p>
    <w:p w14:paraId="2429CCAB">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70D635A7">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14:paraId="618EA5C6">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8.91</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8.91</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07C61C5A">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619D7A1A">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652BAA86">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603EAE22">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90%</w:t>
      </w:r>
      <w:r>
        <w:rPr>
          <w:rFonts w:hint="eastAsia"/>
          <w:color w:val="auto"/>
          <w:highlight w:val="none"/>
          <w:lang w:eastAsia="zh-CN"/>
        </w:rPr>
        <w:t>以上；</w:t>
      </w:r>
    </w:p>
    <w:p w14:paraId="5C08C2B6">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14:paraId="391EF8F7">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4415C924">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14:paraId="656103E3">
      <w:pPr>
        <w:pStyle w:val="6"/>
        <w:bidi w:val="0"/>
        <w:rPr>
          <w:color w:val="auto"/>
          <w:highlight w:val="none"/>
        </w:rPr>
      </w:pPr>
      <w:r>
        <w:rPr>
          <w:rFonts w:hint="eastAsia"/>
          <w:color w:val="auto"/>
          <w:highlight w:val="none"/>
          <w:lang w:val="en-US" w:eastAsia="zh-CN"/>
        </w:rPr>
        <w:t>3.资金投入情况分析</w:t>
      </w:r>
    </w:p>
    <w:p w14:paraId="4AF60ED8">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572FF91D">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11872922">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8.91</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保障本校学生享受城乡义务教育，解决各义务教育学校正常运转经费，改善教育教学环境、提高教育教学质量</w:t>
      </w:r>
      <w:r>
        <w:rPr>
          <w:rFonts w:hint="eastAsia" w:ascii="仿宋_GB2312" w:cs="仿宋_GB2312"/>
          <w:color w:val="auto"/>
          <w:sz w:val="28"/>
          <w:szCs w:val="28"/>
          <w:highlight w:val="none"/>
        </w:rPr>
        <w:t>，</w:t>
      </w:r>
      <w:r>
        <w:rPr>
          <w:rFonts w:hint="eastAsia"/>
          <w:color w:val="auto"/>
          <w:highlight w:val="none"/>
          <w:lang w:eastAsia="zh-CN"/>
        </w:rPr>
        <w:t>预算内容与项目</w:t>
      </w:r>
      <w:r>
        <w:rPr>
          <w:rFonts w:hint="eastAsia"/>
          <w:color w:val="auto"/>
          <w:highlight w:val="none"/>
          <w:lang w:val="en-US" w:eastAsia="zh-CN"/>
        </w:rPr>
        <w:t>大致</w:t>
      </w:r>
      <w:r>
        <w:rPr>
          <w:rFonts w:hint="eastAsia"/>
          <w:color w:val="auto"/>
          <w:highlight w:val="none"/>
          <w:lang w:eastAsia="zh-CN"/>
        </w:rPr>
        <w:t>内容匹配；</w:t>
      </w:r>
    </w:p>
    <w:p w14:paraId="22780870">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54517B03">
      <w:pPr>
        <w:ind w:firstLine="560"/>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w:t>
      </w:r>
      <w:r>
        <w:rPr>
          <w:rFonts w:hint="eastAsia"/>
          <w:color w:val="auto"/>
          <w:highlight w:val="none"/>
        </w:rPr>
        <w:t>本项目实际支付资金</w:t>
      </w:r>
      <w:r>
        <w:rPr>
          <w:rFonts w:hint="eastAsia"/>
          <w:color w:val="auto"/>
          <w:highlight w:val="none"/>
          <w:lang w:val="en-US" w:eastAsia="zh-CN"/>
        </w:rPr>
        <w:t>8.91</w:t>
      </w:r>
      <w:r>
        <w:rPr>
          <w:rFonts w:hint="eastAsia"/>
          <w:color w:val="auto"/>
          <w:highlight w:val="none"/>
        </w:rPr>
        <w:t>万元，预算执行率</w:t>
      </w:r>
      <w:r>
        <w:rPr>
          <w:rFonts w:hint="eastAsia"/>
          <w:color w:val="auto"/>
          <w:highlight w:val="none"/>
          <w:lang w:val="en-US" w:eastAsia="zh-CN"/>
        </w:rPr>
        <w:t>8.91</w:t>
      </w:r>
      <w:r>
        <w:rPr>
          <w:color w:val="auto"/>
          <w:highlight w:val="none"/>
        </w:rPr>
        <w:t>%</w:t>
      </w:r>
      <w:r>
        <w:rPr>
          <w:rFonts w:hint="eastAsia"/>
          <w:color w:val="auto"/>
          <w:highlight w:val="none"/>
        </w:rPr>
        <w:t>（预算执行率=（实际支出资金/预算批复金额）*100%</w:t>
      </w:r>
      <w:r>
        <w:rPr>
          <w:rFonts w:hint="eastAsia"/>
          <w:color w:val="auto"/>
          <w:highlight w:val="none"/>
          <w:lang w:eastAsia="zh-CN"/>
        </w:rPr>
        <w:t>，</w:t>
      </w:r>
      <w:r>
        <w:rPr>
          <w:rFonts w:hint="eastAsia"/>
          <w:color w:val="auto"/>
          <w:highlight w:val="none"/>
        </w:rPr>
        <w:t>。主要用于支付</w:t>
      </w:r>
      <w:r>
        <w:rPr>
          <w:rFonts w:hint="eastAsia"/>
          <w:color w:val="auto"/>
          <w:highlight w:val="none"/>
          <w:lang w:val="en-US" w:eastAsia="zh-CN"/>
        </w:rPr>
        <w:t>取暖费</w:t>
      </w:r>
      <w:r>
        <w:rPr>
          <w:rFonts w:hint="eastAsia"/>
          <w:color w:val="auto"/>
          <w:highlight w:val="none"/>
        </w:rPr>
        <w:t>用</w:t>
      </w:r>
      <w:r>
        <w:rPr>
          <w:rFonts w:hint="eastAsia"/>
          <w:color w:val="auto"/>
          <w:highlight w:val="none"/>
          <w:lang w:val="en-US" w:eastAsia="zh-CN"/>
        </w:rPr>
        <w:t>7.13</w:t>
      </w:r>
      <w:r>
        <w:rPr>
          <w:rFonts w:hint="eastAsia"/>
          <w:color w:val="auto"/>
          <w:highlight w:val="none"/>
        </w:rPr>
        <w:t>万元，</w:t>
      </w:r>
      <w:r>
        <w:rPr>
          <w:rFonts w:hint="eastAsia"/>
          <w:color w:val="auto"/>
          <w:highlight w:val="none"/>
          <w:lang w:val="en-US" w:eastAsia="zh-CN"/>
        </w:rPr>
        <w:t>办公费0.95万元、其他商品和服务支出0.83万元，结余0万元</w:t>
      </w:r>
      <w:r>
        <w:rPr>
          <w:rFonts w:hint="eastAsia"/>
          <w:color w:val="auto"/>
          <w:highlight w:val="none"/>
        </w:rPr>
        <w:t>。</w:t>
      </w:r>
    </w:p>
    <w:p w14:paraId="5E90BF54">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14:paraId="46CB1CCA">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5567BF6B">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关于提前下达义务教育阶段教育补助资金-共用经费的通知（吐市财文【2021】83号）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14:paraId="15CFACD9">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8.91</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14:paraId="6AF61585">
      <w:pPr>
        <w:bidi w:val="0"/>
        <w:rPr>
          <w:rFonts w:hint="eastAsia"/>
          <w:color w:val="auto"/>
          <w:highlight w:val="none"/>
        </w:rPr>
      </w:pPr>
      <w:r>
        <w:rPr>
          <w:rFonts w:hint="eastAsia"/>
          <w:color w:val="auto"/>
          <w:highlight w:val="none"/>
          <w:lang w:val="en-US" w:eastAsia="zh-CN"/>
        </w:rPr>
        <w:t>由于未合理安排资金申请进度，未能按时完成项目，今后将加强资金申请管理流程，保障资金支付工作顺利完成。</w:t>
      </w:r>
    </w:p>
    <w:p w14:paraId="0A44CCC9">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38A7DFFF">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3F35907B">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14FC77E7">
      <w:pPr>
        <w:pStyle w:val="6"/>
        <w:bidi w:val="0"/>
        <w:rPr>
          <w:rFonts w:hint="eastAsia"/>
          <w:color w:val="auto"/>
          <w:highlight w:val="none"/>
          <w:lang w:val="en-US" w:eastAsia="zh-CN"/>
        </w:rPr>
      </w:pPr>
      <w:r>
        <w:rPr>
          <w:rFonts w:hint="eastAsia"/>
          <w:color w:val="auto"/>
          <w:highlight w:val="none"/>
          <w:lang w:val="en-US" w:eastAsia="zh-CN"/>
        </w:rPr>
        <w:t>1.资金管理情况分析</w:t>
      </w:r>
    </w:p>
    <w:p w14:paraId="2CE1FF3C">
      <w:pPr>
        <w:bidi w:val="0"/>
        <w:rPr>
          <w:rFonts w:hint="eastAsia"/>
          <w:b/>
          <w:bCs/>
          <w:color w:val="auto"/>
          <w:highlight w:val="none"/>
        </w:rPr>
      </w:pPr>
      <w:r>
        <w:rPr>
          <w:rFonts w:hint="eastAsia"/>
          <w:b/>
          <w:bCs/>
          <w:color w:val="auto"/>
          <w:highlight w:val="none"/>
        </w:rPr>
        <w:t>（1）资金到位率：</w:t>
      </w:r>
    </w:p>
    <w:p w14:paraId="4021365E">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8.91</w:t>
      </w:r>
      <w:r>
        <w:rPr>
          <w:rFonts w:hint="eastAsia"/>
          <w:color w:val="auto"/>
          <w:highlight w:val="none"/>
        </w:rPr>
        <w:t>万元，实际到位资金</w:t>
      </w:r>
      <w:r>
        <w:rPr>
          <w:rFonts w:hint="eastAsia"/>
          <w:color w:val="auto"/>
          <w:highlight w:val="none"/>
          <w:lang w:val="en-US" w:eastAsia="zh-CN"/>
        </w:rPr>
        <w:t>8.91</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461D4E58">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4CE9BDDB">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725EB2E6">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8.91</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8.91</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8.91/8.91</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04812F62">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3B7062EB">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63B1F38E">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中小学校公用经费</w:t>
      </w:r>
      <w:r>
        <w:rPr>
          <w:rFonts w:hint="eastAsia"/>
          <w:color w:val="auto"/>
          <w:highlight w:val="none"/>
        </w:rPr>
        <w:t>管理办法》，资金的拨付有完整的审批程序和手续，资金实际使用方向与预算批复用途一致，不存在截留、挤占、挪用、虚列支出的情况。</w:t>
      </w:r>
    </w:p>
    <w:p w14:paraId="576708F9">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1914B8E3">
      <w:pPr>
        <w:pStyle w:val="6"/>
        <w:bidi w:val="0"/>
        <w:rPr>
          <w:rFonts w:hint="eastAsia"/>
          <w:color w:val="auto"/>
          <w:highlight w:val="none"/>
          <w:lang w:val="en-US" w:eastAsia="zh-CN"/>
        </w:rPr>
      </w:pPr>
      <w:r>
        <w:rPr>
          <w:rFonts w:hint="eastAsia"/>
          <w:color w:val="auto"/>
          <w:highlight w:val="none"/>
          <w:lang w:val="en-US" w:eastAsia="zh-CN"/>
        </w:rPr>
        <w:t>2.组织实施情况分析</w:t>
      </w:r>
    </w:p>
    <w:p w14:paraId="08A79AE7">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18663EA4">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公用经费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14:paraId="6D6DA576">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43D8927F">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58B8DC5E">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公用经费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14:paraId="59E3C2E1">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14:paraId="7ABC8BE6">
      <w:pPr>
        <w:bidi w:val="0"/>
        <w:rPr>
          <w:rFonts w:hint="eastAsia"/>
          <w:color w:val="auto"/>
          <w:highlight w:val="none"/>
          <w:lang w:eastAsia="zh-CN"/>
        </w:rPr>
      </w:pPr>
      <w:r>
        <w:rPr>
          <w:rFonts w:hint="eastAsia"/>
          <w:color w:val="auto"/>
          <w:highlight w:val="none"/>
          <w:lang w:eastAsia="zh-CN"/>
        </w:rPr>
        <w:t>③本项目不存在调整。</w:t>
      </w:r>
    </w:p>
    <w:p w14:paraId="72A8FE8C">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14:paraId="17726F0C">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68EEF684">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46E4F896">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项目产出类指标包括产出数量、产出质量、产出时效、产出成本四方面的内容，权重分为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1BCDD400">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14:paraId="7537CE27">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享受义务教育（初学阶段）学生数量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大于等于667人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667人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99.55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0.45%</w:t>
      </w:r>
      <w:r>
        <w:rPr>
          <w:rFonts w:hint="eastAsia"/>
          <w:color w:val="auto"/>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分。原因：预期值按照2022年初中阶段在校学生测算。203年在读学生人数减少。改进措施：进一步提高学校师资力量，提高教学教研能力，做好招生宣传。</w:t>
      </w:r>
    </w:p>
    <w:p w14:paraId="06BF1F36">
      <w:pPr>
        <w:bidi w:val="0"/>
        <w:rPr>
          <w:color w:val="auto"/>
          <w:highlight w:val="none"/>
        </w:rPr>
      </w:pPr>
      <w:r>
        <w:rPr>
          <w:rFonts w:hint="eastAsia" w:ascii="仿宋_GB2312" w:hAnsi="仿宋_GB2312" w:cs="仿宋_GB2312"/>
          <w:color w:val="auto"/>
          <w:sz w:val="28"/>
          <w:szCs w:val="28"/>
          <w:highlight w:val="none"/>
          <w:lang w:val="en-US" w:eastAsia="zh-CN"/>
        </w:rPr>
        <w:t>学生取暖费补助人数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大于等于667人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8040人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99.55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0.45%；</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分。原因：预期值按照2022年初中阶段在校学生测算。203年在读学生人数减少。改进措施：进一步提高学校师资力量，提高教学教研能力，做好招生宣传。</w:t>
      </w:r>
    </w:p>
    <w:p w14:paraId="3BEA986D">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14:paraId="57959704">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九年义务教育巩固率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165A2FDD">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01D480A4">
      <w:pPr>
        <w:pStyle w:val="6"/>
        <w:bidi w:val="0"/>
        <w:rPr>
          <w:rFonts w:hint="eastAsia"/>
          <w:color w:val="auto"/>
          <w:highlight w:val="none"/>
        </w:rPr>
      </w:pPr>
      <w:r>
        <w:rPr>
          <w:rFonts w:hint="eastAsia"/>
          <w:color w:val="auto"/>
          <w:highlight w:val="none"/>
          <w:lang w:val="en-US" w:eastAsia="zh-CN"/>
        </w:rPr>
        <w:t>3.时效指标完成情况分析</w:t>
      </w:r>
    </w:p>
    <w:p w14:paraId="42DE192E">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095E9E66">
      <w:pPr>
        <w:pStyle w:val="6"/>
        <w:bidi w:val="0"/>
        <w:rPr>
          <w:rFonts w:hint="eastAsia"/>
          <w:color w:val="auto"/>
          <w:highlight w:val="none"/>
        </w:rPr>
      </w:pPr>
      <w:r>
        <w:rPr>
          <w:rFonts w:hint="eastAsia"/>
          <w:color w:val="auto"/>
          <w:highlight w:val="none"/>
          <w:lang w:val="en-US" w:eastAsia="zh-CN"/>
        </w:rPr>
        <w:t>4.成本指标完成情况分析</w:t>
      </w:r>
    </w:p>
    <w:p w14:paraId="7BEFB6CB">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义务教育初中阶段公用经费生均标准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小于等于119元/学年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119元/学年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57F8D34C">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学生取暖费生均补助标准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小于等于12元/学年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12元/学年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04A98610">
      <w:pPr>
        <w:bidi w:val="0"/>
        <w:rPr>
          <w:rFonts w:hint="default"/>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义务教育中阶段公用经费人员变动预拨资金</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1330元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1723元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70.45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2.54</w:t>
      </w:r>
      <w:r>
        <w:rPr>
          <w:rFonts w:hint="eastAsia" w:ascii="仿宋_GB2312" w:hAnsi="仿宋_GB2312" w:cs="仿宋_GB2312"/>
          <w:color w:val="auto"/>
          <w:sz w:val="28"/>
          <w:szCs w:val="28"/>
          <w:highlight w:val="none"/>
        </w:rPr>
        <w:t>分。原因：指标设置不明确，未有效反映项目资金支出计划，导致难以衡量成本指标支出控制情况；改进措施,加强绩效管理工作的学习和考核，按照预算编制情况和资金支出计划，合理设置三级指标和指标值。</w:t>
      </w:r>
    </w:p>
    <w:p w14:paraId="6091CA64">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14:paraId="1D879F7A">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4</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11E2B32C">
      <w:pPr>
        <w:pStyle w:val="6"/>
        <w:numPr>
          <w:ilvl w:val="0"/>
          <w:numId w:val="2"/>
        </w:numPr>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14:paraId="186BDA0F">
      <w:pPr>
        <w:numPr>
          <w:ilvl w:val="0"/>
          <w:numId w:val="0"/>
        </w:numPr>
        <w:ind w:firstLine="560" w:firstLineChars="200"/>
        <w:rPr>
          <w:rFonts w:hint="default"/>
          <w:color w:val="auto"/>
          <w:highlight w:val="none"/>
          <w:lang w:val="en-US" w:eastAsia="zh-CN"/>
        </w:rPr>
      </w:pPr>
      <w:r>
        <w:rPr>
          <w:rFonts w:hint="eastAsia"/>
          <w:color w:val="auto"/>
          <w:highlight w:val="none"/>
          <w:lang w:val="en-US" w:eastAsia="zh-CN"/>
        </w:rPr>
        <w:t>无</w:t>
      </w:r>
    </w:p>
    <w:p w14:paraId="4978B7D6">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21D3338B">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保障学生义务教育，促进教育公平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7271EECF">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“减轻学生就学经济负担</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有效减轻</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基本达成目标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220ABDF8">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14:paraId="36ED09D9">
      <w:pPr>
        <w:bidi w:val="0"/>
        <w:rPr>
          <w:rFonts w:hint="default"/>
          <w:color w:val="auto"/>
          <w:highlight w:val="none"/>
          <w:lang w:val="en-US" w:eastAsia="zh-CN"/>
        </w:rPr>
      </w:pPr>
      <w:r>
        <w:rPr>
          <w:rFonts w:hint="eastAsia"/>
          <w:color w:val="auto"/>
          <w:highlight w:val="none"/>
          <w:lang w:val="en-US" w:eastAsia="zh-CN"/>
        </w:rPr>
        <w:t>无</w:t>
      </w:r>
    </w:p>
    <w:p w14:paraId="11A1E41F">
      <w:pPr>
        <w:pStyle w:val="6"/>
        <w:bidi w:val="0"/>
        <w:rPr>
          <w:rFonts w:hint="eastAsia"/>
          <w:color w:val="auto"/>
          <w:highlight w:val="none"/>
          <w:lang w:val="en-US" w:eastAsia="zh-CN"/>
        </w:rPr>
      </w:pPr>
      <w:r>
        <w:rPr>
          <w:rFonts w:hint="eastAsia"/>
          <w:color w:val="auto"/>
          <w:highlight w:val="none"/>
          <w:lang w:val="en-US" w:eastAsia="zh-CN"/>
        </w:rPr>
        <w:t>4.可持续影响指标完成情况分析</w:t>
      </w:r>
    </w:p>
    <w:p w14:paraId="36D2D501">
      <w:pPr>
        <w:pStyle w:val="6"/>
        <w:bidi w:val="0"/>
        <w:rPr>
          <w:rFonts w:hint="eastAsia" w:cs="仿宋_GB2312"/>
          <w:color w:val="auto"/>
          <w:sz w:val="28"/>
          <w:szCs w:val="28"/>
          <w:highlight w:val="none"/>
          <w:lang w:val="en-US" w:eastAsia="zh-CN"/>
        </w:rPr>
      </w:pPr>
      <w:r>
        <w:rPr>
          <w:rFonts w:hint="eastAsia" w:ascii="Times New Roman" w:hAnsi="Times New Roman" w:eastAsia="仿宋_GB2312" w:cs="Times New Roman"/>
          <w:b w:val="0"/>
          <w:bCs w:val="0"/>
          <w:color w:val="auto"/>
          <w:kern w:val="2"/>
          <w:sz w:val="28"/>
          <w:szCs w:val="24"/>
          <w:highlight w:val="none"/>
          <w:lang w:val="en-US" w:eastAsia="zh-CN" w:bidi="ar-SA"/>
        </w:rPr>
        <w:t>无</w:t>
      </w:r>
    </w:p>
    <w:p w14:paraId="54C99671">
      <w:pPr>
        <w:pStyle w:val="6"/>
        <w:bidi w:val="0"/>
        <w:rPr>
          <w:rFonts w:hint="eastAsia"/>
          <w:color w:val="auto"/>
          <w:highlight w:val="none"/>
          <w:lang w:val="en-US" w:eastAsia="zh-CN"/>
        </w:rPr>
      </w:pPr>
      <w:r>
        <w:rPr>
          <w:rFonts w:hint="eastAsia"/>
          <w:color w:val="auto"/>
          <w:highlight w:val="none"/>
          <w:lang w:val="en-US" w:eastAsia="zh-CN"/>
        </w:rPr>
        <w:t>5.满意度指标完成情况分析</w:t>
      </w:r>
    </w:p>
    <w:p w14:paraId="61B0FFCC">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“学校和老师的满意度”指标：预期指标值为大于等于90%，实际完成指标值为92.23%，指标完成率为100%。本指标满分为4分，根据评分标准，该指标得4分</w:t>
      </w:r>
      <w:bookmarkEnd w:id="15"/>
      <w:r>
        <w:rPr>
          <w:rFonts w:hint="eastAsia" w:ascii="仿宋_GB2312" w:hAnsi="仿宋_GB2312" w:cs="仿宋_GB2312"/>
          <w:color w:val="auto"/>
          <w:sz w:val="28"/>
          <w:szCs w:val="28"/>
          <w:highlight w:val="none"/>
          <w:lang w:val="en-US" w:eastAsia="zh-CN"/>
        </w:rPr>
        <w:t>。</w:t>
      </w:r>
    </w:p>
    <w:p w14:paraId="2EC217BF">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“家长和学生的满意度”指标：预期指标值为大于等于90%，实际完成指标值为92.23%，指标完成率为100%。本指标满分为4分，根据评分标准，该指标得4分。</w:t>
      </w:r>
    </w:p>
    <w:p w14:paraId="270017A4">
      <w:pPr>
        <w:pStyle w:val="4"/>
        <w:numPr>
          <w:ilvl w:val="0"/>
          <w:numId w:val="1"/>
        </w:numPr>
        <w:ind w:left="197" w:leftChars="0" w:firstLine="643" w:firstLineChars="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14:paraId="1A3D0A1E">
      <w:pPr>
        <w:bidi w:val="0"/>
        <w:rPr>
          <w:rFonts w:hint="eastAsia"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资金8.91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资金8.91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8.91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97.5</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w:t>
      </w:r>
      <w:r>
        <w:rPr>
          <w:rFonts w:hint="eastAsia"/>
          <w:color w:val="auto"/>
          <w:highlight w:val="none"/>
        </w:rPr>
        <w:t>偏差</w:t>
      </w:r>
      <w:r>
        <w:rPr>
          <w:rFonts w:hint="eastAsia"/>
          <w:color w:val="auto"/>
          <w:highlight w:val="none"/>
          <w:lang w:val="en-US" w:eastAsia="zh-CN"/>
        </w:rPr>
        <w:t>值为-2.5</w:t>
      </w:r>
      <w:r>
        <w:rPr>
          <w:rFonts w:hint="eastAsia" w:ascii="仿宋_GB2312" w:hAnsi="仿宋_GB2312" w:cs="仿宋_GB2312"/>
          <w:color w:val="auto"/>
          <w:sz w:val="28"/>
          <w:szCs w:val="28"/>
          <w:highlight w:val="none"/>
          <w:lang w:val="en-US" w:eastAsia="zh-CN"/>
        </w:rPr>
        <w:t>%</w:t>
      </w:r>
      <w:r>
        <w:rPr>
          <w:rFonts w:hint="eastAsia"/>
          <w:color w:val="auto"/>
          <w:highlight w:val="none"/>
          <w:lang w:val="en-US" w:eastAsia="zh-CN"/>
        </w:rPr>
        <w:t>。</w:t>
      </w:r>
    </w:p>
    <w:p w14:paraId="605CEF92">
      <w:pPr>
        <w:bidi w:val="0"/>
        <w:rPr>
          <w:rFonts w:hint="eastAsia"/>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享受义务教育（初学阶段）学生数量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大于等于670人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667人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99.55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0.45%；</w:t>
      </w:r>
      <w:r>
        <w:rPr>
          <w:rFonts w:hint="eastAsia" w:ascii="仿宋_GB2312" w:hAnsi="仿宋_GB2312" w:cs="仿宋_GB2312"/>
          <w:color w:val="auto"/>
          <w:sz w:val="28"/>
          <w:szCs w:val="28"/>
          <w:highlight w:val="none"/>
        </w:rPr>
        <w:t>原因：预期值按照2022年初中阶段在校学生测算。203年在读学生人数减少。改进措施：进一步提高学校师资力量，提高教学教研能力，做好招生宣传。</w:t>
      </w:r>
    </w:p>
    <w:p w14:paraId="1314F55B">
      <w:pPr>
        <w:bidi w:val="0"/>
        <w:rPr>
          <w:rFonts w:hint="eastAsia" w:ascii="仿宋_GB2312" w:hAnsi="仿宋_GB2312" w:cs="仿宋_GB2312"/>
          <w:color w:val="auto"/>
          <w:sz w:val="28"/>
          <w:szCs w:val="28"/>
          <w:highlight w:val="none"/>
        </w:rPr>
      </w:pPr>
      <w:r>
        <w:rPr>
          <w:rFonts w:hint="eastAsia" w:ascii="仿宋_GB2312" w:hAnsi="仿宋_GB2312" w:eastAsia="仿宋_GB2312" w:cs="仿宋_GB2312"/>
          <w:b w:val="0"/>
          <w:bCs w:val="0"/>
          <w:color w:val="auto"/>
          <w:kern w:val="2"/>
          <w:sz w:val="28"/>
          <w:szCs w:val="28"/>
          <w:highlight w:val="none"/>
          <w:lang w:val="en-US" w:eastAsia="zh-CN" w:bidi="ar-SA"/>
        </w:rPr>
        <w:t>学生取暖费补助人数”指标：预期指标值为</w:t>
      </w:r>
      <w:r>
        <w:rPr>
          <w:rFonts w:hint="eastAsia" w:ascii="仿宋_GB2312" w:hAnsi="仿宋_GB2312" w:cs="仿宋_GB2312"/>
          <w:b w:val="0"/>
          <w:bCs w:val="0"/>
          <w:color w:val="auto"/>
          <w:kern w:val="2"/>
          <w:sz w:val="28"/>
          <w:szCs w:val="28"/>
          <w:highlight w:val="none"/>
          <w:lang w:val="en-US" w:eastAsia="zh-CN" w:bidi="ar-SA"/>
        </w:rPr>
        <w:t>大于等于670</w:t>
      </w:r>
      <w:r>
        <w:rPr>
          <w:rFonts w:hint="eastAsia" w:ascii="仿宋_GB2312" w:hAnsi="仿宋_GB2312" w:eastAsia="仿宋_GB2312" w:cs="仿宋_GB2312"/>
          <w:b w:val="0"/>
          <w:bCs w:val="0"/>
          <w:color w:val="auto"/>
          <w:kern w:val="2"/>
          <w:sz w:val="28"/>
          <w:szCs w:val="28"/>
          <w:highlight w:val="none"/>
          <w:lang w:val="en-US" w:eastAsia="zh-CN" w:bidi="ar-SA"/>
        </w:rPr>
        <w:t>人，实际完成指标值为</w:t>
      </w:r>
      <w:r>
        <w:rPr>
          <w:rFonts w:hint="eastAsia" w:ascii="仿宋_GB2312" w:hAnsi="仿宋_GB2312" w:cs="仿宋_GB2312"/>
          <w:b w:val="0"/>
          <w:bCs w:val="0"/>
          <w:color w:val="auto"/>
          <w:kern w:val="2"/>
          <w:sz w:val="28"/>
          <w:szCs w:val="28"/>
          <w:highlight w:val="none"/>
          <w:lang w:val="en-US" w:eastAsia="zh-CN" w:bidi="ar-SA"/>
        </w:rPr>
        <w:t>667</w:t>
      </w:r>
      <w:r>
        <w:rPr>
          <w:rFonts w:hint="eastAsia" w:ascii="仿宋_GB2312" w:hAnsi="仿宋_GB2312" w:eastAsia="仿宋_GB2312" w:cs="仿宋_GB2312"/>
          <w:b w:val="0"/>
          <w:bCs w:val="0"/>
          <w:color w:val="auto"/>
          <w:kern w:val="2"/>
          <w:sz w:val="28"/>
          <w:szCs w:val="28"/>
          <w:highlight w:val="none"/>
          <w:lang w:val="en-US" w:eastAsia="zh-CN" w:bidi="ar-SA"/>
        </w:rPr>
        <w:t>人，指标完成率为</w:t>
      </w:r>
      <w:r>
        <w:rPr>
          <w:rFonts w:hint="eastAsia" w:ascii="仿宋_GB2312" w:hAnsi="仿宋_GB2312" w:cs="仿宋_GB2312"/>
          <w:b w:val="0"/>
          <w:bCs w:val="0"/>
          <w:color w:val="auto"/>
          <w:kern w:val="2"/>
          <w:sz w:val="28"/>
          <w:szCs w:val="28"/>
          <w:highlight w:val="none"/>
          <w:lang w:val="en-US" w:eastAsia="zh-CN" w:bidi="ar-SA"/>
        </w:rPr>
        <w:t>99.55</w:t>
      </w:r>
      <w:r>
        <w:rPr>
          <w:rFonts w:hint="eastAsia" w:ascii="仿宋_GB2312" w:hAnsi="仿宋_GB2312" w:eastAsia="仿宋_GB2312" w:cs="仿宋_GB2312"/>
          <w:b w:val="0"/>
          <w:bCs w:val="0"/>
          <w:color w:val="auto"/>
          <w:kern w:val="2"/>
          <w:sz w:val="28"/>
          <w:szCs w:val="28"/>
          <w:highlight w:val="none"/>
          <w:lang w:val="en-US" w:eastAsia="zh-CN" w:bidi="ar-SA"/>
        </w:rPr>
        <w:t>%，偏差率为</w:t>
      </w:r>
      <w:r>
        <w:rPr>
          <w:rFonts w:hint="eastAsia" w:ascii="仿宋_GB2312" w:hAnsi="仿宋_GB2312" w:cs="仿宋_GB2312"/>
          <w:b w:val="0"/>
          <w:bCs w:val="0"/>
          <w:color w:val="auto"/>
          <w:kern w:val="2"/>
          <w:sz w:val="28"/>
          <w:szCs w:val="28"/>
          <w:highlight w:val="none"/>
          <w:lang w:val="en-US" w:eastAsia="zh-CN" w:bidi="ar-SA"/>
        </w:rPr>
        <w:t>0.45</w:t>
      </w:r>
      <w:r>
        <w:rPr>
          <w:rFonts w:hint="eastAsia" w:ascii="仿宋_GB2312" w:hAnsi="仿宋_GB2312" w:eastAsia="仿宋_GB2312" w:cs="仿宋_GB2312"/>
          <w:b w:val="0"/>
          <w:bCs w:val="0"/>
          <w:color w:val="auto"/>
          <w:kern w:val="2"/>
          <w:sz w:val="28"/>
          <w:szCs w:val="28"/>
          <w:highlight w:val="none"/>
          <w:lang w:val="en-US" w:eastAsia="zh-CN" w:bidi="ar-SA"/>
        </w:rPr>
        <w:t>%；</w:t>
      </w:r>
      <w:r>
        <w:rPr>
          <w:rFonts w:hint="eastAsia" w:ascii="仿宋_GB2312" w:hAnsi="仿宋_GB2312" w:cs="仿宋_GB2312"/>
          <w:color w:val="auto"/>
          <w:sz w:val="28"/>
          <w:szCs w:val="28"/>
          <w:highlight w:val="none"/>
        </w:rPr>
        <w:t>原因：预期值按照2022年初中阶段在校学生测算。203年在读学生人数减少。改进措施：进一步提高学校师资力量，提高教学教研能力，做好招生宣传。</w:t>
      </w:r>
    </w:p>
    <w:p w14:paraId="4E64961B">
      <w:pPr>
        <w:bidi w:val="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义务教育中阶段公用经费人员变动预拨资金</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1330元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1723元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70.45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,偏差率29.55%。</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2.54</w:t>
      </w:r>
      <w:r>
        <w:rPr>
          <w:rFonts w:hint="eastAsia" w:ascii="仿宋_GB2312" w:hAnsi="仿宋_GB2312" w:cs="仿宋_GB2312"/>
          <w:color w:val="auto"/>
          <w:sz w:val="28"/>
          <w:szCs w:val="28"/>
          <w:highlight w:val="none"/>
        </w:rPr>
        <w:t>分。原因：指标设置不明确，未有效反映项目资金支出计划，导致难以衡量成本指标支出控制情况；改进措施,加强绩效管理工作的学习和考核，按照预算编制情况和资金支出计划，合理设置三级指标和指标值。</w:t>
      </w:r>
    </w:p>
    <w:p w14:paraId="082C49DB">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6D0EBCB9">
      <w:pPr>
        <w:pStyle w:val="5"/>
        <w:numPr>
          <w:ilvl w:val="0"/>
          <w:numId w:val="3"/>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14:paraId="50DC07C9">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一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p w14:paraId="73E54E6E">
      <w:pPr>
        <w:pStyle w:val="5"/>
        <w:numPr>
          <w:ilvl w:val="0"/>
          <w:numId w:val="3"/>
        </w:numPr>
        <w:ind w:firstLine="643"/>
        <w:rPr>
          <w:color w:val="auto"/>
          <w:highlight w:val="none"/>
        </w:rPr>
      </w:pPr>
      <w:r>
        <w:rPr>
          <w:rFonts w:hint="eastAsia"/>
          <w:color w:val="auto"/>
          <w:highlight w:val="none"/>
        </w:rPr>
        <w:t>存在的问题及原因分析</w:t>
      </w:r>
    </w:p>
    <w:p w14:paraId="10EFBE7F">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该项目在实施过程中，存在绩效指标设置还不够科学，资金管理不足等问题。导致以上问题的原因：一是对项目资金管理工作不够重视；二是对预算管理的相关知识缺乏足够的理解；三是预算管理不到位。</w:t>
      </w:r>
    </w:p>
    <w:p w14:paraId="73573386">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14:paraId="26AB32D1">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一是跟进业务工作支出需求，根据业务量变化及时发现资金缺口并按规定办理项目追加，保障各学校日常公用经费正常开支，学校正常运转。</w:t>
      </w:r>
    </w:p>
    <w:p w14:paraId="294D9174">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二是合理安排使用资金，严抓专项资金的规范使用。为保证资金的安全、合理、高效使用， 本单位要按照有关资金管理规定，对项目资金的安排、资金使用、资金监管等严格把控。</w:t>
      </w:r>
    </w:p>
    <w:p w14:paraId="07AD0D15">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三是强化公开公示制度。财政部门，资金管理和使用部门，要按照有关规定进行公开公示，包括预算的公开、执行情况的公开等等。涉及到企业和相关人员的单位，也要进行公示，通过公开和公示自觉接受社会的监督。</w:t>
      </w:r>
    </w:p>
    <w:p w14:paraId="45859DC3">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1A54CF26">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22F08A41">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5258CEC3">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5D191D70">
      <w:pPr>
        <w:rPr>
          <w:rFonts w:hint="default"/>
          <w:color w:val="auto"/>
          <w:highlight w:val="none"/>
          <w:lang w:val="en-US" w:eastAsia="zh-CN"/>
        </w:rPr>
      </w:pPr>
    </w:p>
    <w:p w14:paraId="00EDBA89">
      <w:pPr>
        <w:rPr>
          <w:color w:val="auto"/>
          <w:highlight w:val="none"/>
        </w:rPr>
      </w:pPr>
    </w:p>
    <w:bookmarkEnd w:id="18"/>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10125">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41110">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A36FD">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F35AB">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8941B5">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D8941B5">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75479">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1B093">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85135">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pPr>
        <w:ind w:left="197"/>
      </w:pPr>
      <w:rPr>
        <w:rFonts w:hint="eastAsia"/>
      </w:rPr>
    </w:lvl>
  </w:abstractNum>
  <w:abstractNum w:abstractNumId="1">
    <w:nsid w:val="4166511E"/>
    <w:multiLevelType w:val="singleLevel"/>
    <w:tmpl w:val="4166511E"/>
    <w:lvl w:ilvl="0" w:tentative="0">
      <w:start w:val="1"/>
      <w:numFmt w:val="chineseCounting"/>
      <w:suff w:val="nothing"/>
      <w:lvlText w:val="（%1）"/>
      <w:lvlJc w:val="left"/>
      <w:rPr>
        <w:rFonts w:hint="eastAsia"/>
      </w:rPr>
    </w:lvl>
  </w:abstractNum>
  <w:abstractNum w:abstractNumId="2">
    <w:nsid w:val="4B54F814"/>
    <w:multiLevelType w:val="singleLevel"/>
    <w:tmpl w:val="4B54F814"/>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M2RlYjNmMjdiYjY3YzI0YWVmOTYxYTNjNDZhYTMifQ=="/>
  </w:docVars>
  <w:rsids>
    <w:rsidRoot w:val="00000000"/>
    <w:rsid w:val="00A5549D"/>
    <w:rsid w:val="022C2BA3"/>
    <w:rsid w:val="025956BB"/>
    <w:rsid w:val="03642D73"/>
    <w:rsid w:val="0B382E4D"/>
    <w:rsid w:val="0C590374"/>
    <w:rsid w:val="0C675DD7"/>
    <w:rsid w:val="0CFA3797"/>
    <w:rsid w:val="10407954"/>
    <w:rsid w:val="10D428D6"/>
    <w:rsid w:val="11087B11"/>
    <w:rsid w:val="1288063A"/>
    <w:rsid w:val="175353D7"/>
    <w:rsid w:val="17B35DB7"/>
    <w:rsid w:val="18982224"/>
    <w:rsid w:val="18BC7BFA"/>
    <w:rsid w:val="1F8A35CC"/>
    <w:rsid w:val="223905D4"/>
    <w:rsid w:val="2493704D"/>
    <w:rsid w:val="25D32AED"/>
    <w:rsid w:val="266100F9"/>
    <w:rsid w:val="273B1C03"/>
    <w:rsid w:val="27635670"/>
    <w:rsid w:val="28153891"/>
    <w:rsid w:val="2B041045"/>
    <w:rsid w:val="2E941121"/>
    <w:rsid w:val="2FC41607"/>
    <w:rsid w:val="30E835D5"/>
    <w:rsid w:val="312E6667"/>
    <w:rsid w:val="33FE11AF"/>
    <w:rsid w:val="34C47862"/>
    <w:rsid w:val="35496A51"/>
    <w:rsid w:val="356E624F"/>
    <w:rsid w:val="35F25432"/>
    <w:rsid w:val="39330366"/>
    <w:rsid w:val="3EE30DDE"/>
    <w:rsid w:val="3F0331D2"/>
    <w:rsid w:val="41C85424"/>
    <w:rsid w:val="43D163CE"/>
    <w:rsid w:val="444D5C79"/>
    <w:rsid w:val="454442ED"/>
    <w:rsid w:val="468772B0"/>
    <w:rsid w:val="4B233142"/>
    <w:rsid w:val="4BDC7BBC"/>
    <w:rsid w:val="4C3C0A5B"/>
    <w:rsid w:val="4E743225"/>
    <w:rsid w:val="50C1777B"/>
    <w:rsid w:val="51894824"/>
    <w:rsid w:val="52C55120"/>
    <w:rsid w:val="539435F4"/>
    <w:rsid w:val="53F8370C"/>
    <w:rsid w:val="55410E03"/>
    <w:rsid w:val="558C043F"/>
    <w:rsid w:val="5ADA1C4D"/>
    <w:rsid w:val="5BE6459D"/>
    <w:rsid w:val="5CF606DC"/>
    <w:rsid w:val="5D3A74C6"/>
    <w:rsid w:val="5D5E491D"/>
    <w:rsid w:val="5E2A1B5D"/>
    <w:rsid w:val="5E7E7783"/>
    <w:rsid w:val="60055554"/>
    <w:rsid w:val="60366706"/>
    <w:rsid w:val="65A36562"/>
    <w:rsid w:val="673A3B6F"/>
    <w:rsid w:val="6B3709F5"/>
    <w:rsid w:val="6BA803D8"/>
    <w:rsid w:val="6E8B7C84"/>
    <w:rsid w:val="6FB870D9"/>
    <w:rsid w:val="714F6A99"/>
    <w:rsid w:val="72633234"/>
    <w:rsid w:val="72B0300D"/>
    <w:rsid w:val="78054355"/>
    <w:rsid w:val="780A0363"/>
    <w:rsid w:val="797F3308"/>
    <w:rsid w:val="7988111A"/>
    <w:rsid w:val="7B2F5FC2"/>
    <w:rsid w:val="7B6F4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qFormat/>
    <w:uiPriority w:val="0"/>
    <w:pPr>
      <w:spacing w:beforeAutospacing="1" w:afterAutospacing="1"/>
      <w:jc w:val="left"/>
    </w:pPr>
    <w:rPr>
      <w:kern w:val="0"/>
      <w:sz w:val="24"/>
    </w:rPr>
  </w:style>
  <w:style w:type="paragraph" w:customStyle="1" w:styleId="13">
    <w:name w:val="正文文本缩进 21"/>
    <w:basedOn w:val="1"/>
    <w:qFormat/>
    <w:uiPriority w:val="0"/>
    <w:pPr>
      <w:spacing w:afterLines="0" w:line="480" w:lineRule="auto"/>
      <w:ind w:left="420" w:left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10665</Words>
  <Characters>11246</Characters>
  <Lines>0</Lines>
  <Paragraphs>0</Paragraphs>
  <TotalTime>3</TotalTime>
  <ScaleCrop>false</ScaleCrop>
  <LinksUpToDate>false</LinksUpToDate>
  <CharactersWithSpaces>11265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7.</cp:lastModifiedBy>
  <dcterms:modified xsi:type="dcterms:W3CDTF">2024-09-30T04:02:31Z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6E1CE92AE3834E58A37AFCA6749D92C8_13</vt:lpwstr>
  </property>
</Properties>
</file>