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ind w:firstLine="560"/>
        <w:rPr>
          <w:rFonts w:ascii="华文中宋" w:hAnsi="华文中宋" w:eastAsia="华文中宋" w:cs="宋体"/>
          <w:b/>
          <w:color w:val="auto"/>
          <w:kern w:val="0"/>
          <w:sz w:val="52"/>
          <w:szCs w:val="52"/>
        </w:rPr>
      </w:pPr>
      <w:r>
        <w:rPr>
          <w:rFonts w:hint="eastAsia"/>
          <w:color w:val="auto"/>
        </w:rPr>
        <w:br w:type="textWrapping"/>
      </w:r>
    </w:p>
    <w:p>
      <w:pPr>
        <w:ind w:firstLine="1041"/>
        <w:rPr>
          <w:rFonts w:ascii="华文中宋" w:hAnsi="华文中宋" w:eastAsia="华文中宋" w:cs="宋体"/>
          <w:b/>
          <w:color w:val="auto"/>
          <w:kern w:val="0"/>
          <w:sz w:val="52"/>
          <w:szCs w:val="52"/>
        </w:rPr>
      </w:pPr>
    </w:p>
    <w:p>
      <w:pPr>
        <w:ind w:firstLine="1041"/>
        <w:rPr>
          <w:rFonts w:ascii="华文中宋" w:hAnsi="华文中宋" w:eastAsia="华文中宋" w:cs="宋体"/>
          <w:b/>
          <w:color w:val="auto"/>
          <w:kern w:val="0"/>
          <w:sz w:val="52"/>
          <w:szCs w:val="52"/>
        </w:rPr>
      </w:pPr>
    </w:p>
    <w:p>
      <w:pPr>
        <w:spacing w:line="480" w:lineRule="auto"/>
        <w:ind w:firstLine="0" w:firstLineChars="0"/>
        <w:jc w:val="center"/>
        <w:rPr>
          <w:rFonts w:hint="eastAsia" w:ascii="方正小标宋_GBK" w:hAnsi="华文中宋" w:eastAsia="方正小标宋_GBK" w:cs="宋体"/>
          <w:b w:val="0"/>
          <w:bCs w:val="0"/>
          <w:color w:val="auto"/>
          <w:kern w:val="0"/>
          <w:sz w:val="48"/>
          <w:szCs w:val="48"/>
          <w:lang w:val="en-US" w:eastAsia="zh-CN"/>
        </w:rPr>
      </w:pPr>
      <w:r>
        <w:rPr>
          <w:rFonts w:hint="eastAsia" w:ascii="方正小标宋_GBK" w:hAnsi="华文中宋" w:eastAsia="方正小标宋_GBK" w:cs="宋体"/>
          <w:b w:val="0"/>
          <w:bCs w:val="0"/>
          <w:color w:val="auto"/>
          <w:kern w:val="0"/>
          <w:sz w:val="48"/>
          <w:szCs w:val="48"/>
          <w:lang w:val="en-US" w:eastAsia="zh-CN"/>
        </w:rPr>
        <w:t>托克逊县</w:t>
      </w:r>
      <w:r>
        <w:rPr>
          <w:rFonts w:hint="eastAsia" w:ascii="方正小标宋_GBK" w:hAnsi="华文中宋" w:eastAsia="方正小标宋_GBK" w:cs="宋体"/>
          <w:b w:val="0"/>
          <w:bCs w:val="0"/>
          <w:color w:val="auto"/>
          <w:kern w:val="0"/>
          <w:sz w:val="48"/>
          <w:szCs w:val="48"/>
        </w:rPr>
        <w:t>部门单位整体支出</w:t>
      </w:r>
      <w:r>
        <w:rPr>
          <w:rFonts w:hint="eastAsia" w:ascii="方正小标宋_GBK" w:hAnsi="华文中宋" w:eastAsia="方正小标宋_GBK" w:cs="宋体"/>
          <w:b w:val="0"/>
          <w:bCs w:val="0"/>
          <w:color w:val="auto"/>
          <w:kern w:val="0"/>
          <w:sz w:val="48"/>
          <w:szCs w:val="48"/>
          <w:lang w:val="en-US" w:eastAsia="zh-CN"/>
        </w:rPr>
        <w:t>绩效</w:t>
      </w:r>
    </w:p>
    <w:p>
      <w:pPr>
        <w:spacing w:line="480" w:lineRule="auto"/>
        <w:ind w:firstLine="0" w:firstLineChars="0"/>
        <w:jc w:val="center"/>
        <w:rPr>
          <w:rFonts w:ascii="方正小标宋_GBK" w:hAnsi="华文中宋" w:eastAsia="方正小标宋_GBK" w:cs="宋体"/>
          <w:b w:val="0"/>
          <w:bCs w:val="0"/>
          <w:color w:val="auto"/>
          <w:kern w:val="0"/>
          <w:sz w:val="48"/>
          <w:szCs w:val="48"/>
        </w:rPr>
      </w:pPr>
      <w:r>
        <w:rPr>
          <w:rFonts w:hint="eastAsia" w:ascii="方正小标宋_GBK" w:hAnsi="华文中宋" w:eastAsia="方正小标宋_GBK" w:cs="宋体"/>
          <w:b w:val="0"/>
          <w:bCs w:val="0"/>
          <w:color w:val="auto"/>
          <w:kern w:val="0"/>
          <w:sz w:val="48"/>
          <w:szCs w:val="48"/>
        </w:rPr>
        <w:t>自评报告</w:t>
      </w:r>
    </w:p>
    <w:p>
      <w:pPr>
        <w:spacing w:line="480" w:lineRule="auto"/>
        <w:ind w:firstLine="0" w:firstLineChars="0"/>
        <w:jc w:val="center"/>
        <w:rPr>
          <w:rFonts w:ascii="华文中宋" w:hAnsi="华文中宋" w:eastAsia="华文中宋" w:cs="宋体"/>
          <w:b/>
          <w:color w:val="auto"/>
          <w:kern w:val="0"/>
          <w:sz w:val="52"/>
          <w:szCs w:val="52"/>
        </w:rPr>
      </w:pPr>
    </w:p>
    <w:p>
      <w:pPr>
        <w:spacing w:line="480" w:lineRule="auto"/>
        <w:ind w:firstLine="0" w:firstLineChars="0"/>
        <w:jc w:val="center"/>
        <w:rPr>
          <w:rFonts w:hAnsi="宋体" w:eastAsia="仿宋_GB2312" w:cs="宋体"/>
          <w:color w:val="auto"/>
          <w:kern w:val="0"/>
          <w:sz w:val="36"/>
          <w:szCs w:val="36"/>
        </w:rPr>
      </w:pPr>
      <w:r>
        <w:rPr>
          <w:rFonts w:hint="eastAsia" w:hAnsi="宋体" w:eastAsia="仿宋_GB2312" w:cs="宋体"/>
          <w:color w:val="auto"/>
          <w:kern w:val="0"/>
          <w:sz w:val="36"/>
          <w:szCs w:val="36"/>
        </w:rPr>
        <w:t>（</w:t>
      </w:r>
      <w:r>
        <w:rPr>
          <w:rFonts w:hint="eastAsia" w:hAnsi="宋体" w:eastAsia="仿宋_GB2312" w:cs="宋体"/>
          <w:color w:val="auto"/>
          <w:kern w:val="0"/>
          <w:sz w:val="36"/>
          <w:szCs w:val="36"/>
          <w:lang w:val="en-US" w:eastAsia="zh-CN"/>
        </w:rPr>
        <w:t>2023</w:t>
      </w:r>
      <w:r>
        <w:rPr>
          <w:rFonts w:hint="eastAsia" w:hAnsi="宋体" w:eastAsia="仿宋_GB2312" w:cs="宋体"/>
          <w:color w:val="auto"/>
          <w:kern w:val="0"/>
          <w:sz w:val="36"/>
          <w:szCs w:val="36"/>
        </w:rPr>
        <w:t>年度）</w:t>
      </w:r>
    </w:p>
    <w:p>
      <w:pPr>
        <w:spacing w:line="480" w:lineRule="auto"/>
        <w:ind w:firstLine="0" w:firstLineChars="0"/>
        <w:jc w:val="center"/>
        <w:rPr>
          <w:rFonts w:hAnsi="宋体" w:eastAsia="仿宋_GB2312" w:cs="宋体"/>
          <w:color w:val="auto"/>
          <w:kern w:val="0"/>
          <w:sz w:val="30"/>
          <w:szCs w:val="30"/>
        </w:rPr>
      </w:pPr>
    </w:p>
    <w:p>
      <w:pPr>
        <w:spacing w:line="480" w:lineRule="auto"/>
        <w:ind w:firstLine="0" w:firstLineChars="0"/>
        <w:jc w:val="center"/>
        <w:rPr>
          <w:rFonts w:hAnsi="宋体" w:eastAsia="仿宋_GB2312" w:cs="宋体"/>
          <w:color w:val="auto"/>
          <w:kern w:val="0"/>
          <w:sz w:val="30"/>
          <w:szCs w:val="30"/>
        </w:rPr>
      </w:pPr>
    </w:p>
    <w:p>
      <w:pPr>
        <w:spacing w:line="480" w:lineRule="auto"/>
        <w:ind w:firstLine="0" w:firstLineChars="0"/>
        <w:jc w:val="center"/>
        <w:rPr>
          <w:rFonts w:ascii="方正小标宋_GBK" w:hAnsi="宋体" w:eastAsia="方正小标宋_GBK" w:cs="宋体"/>
          <w:color w:val="auto"/>
          <w:kern w:val="0"/>
          <w:sz w:val="36"/>
          <w:szCs w:val="36"/>
        </w:rPr>
      </w:pPr>
    </w:p>
    <w:p>
      <w:pPr>
        <w:spacing w:line="480" w:lineRule="auto"/>
        <w:ind w:firstLine="0" w:firstLineChars="0"/>
        <w:jc w:val="center"/>
        <w:rPr>
          <w:rFonts w:ascii="方正小标宋_GBK" w:hAnsi="宋体" w:eastAsia="方正小标宋_GBK" w:cs="宋体"/>
          <w:color w:val="auto"/>
          <w:kern w:val="0"/>
          <w:sz w:val="36"/>
          <w:szCs w:val="36"/>
        </w:rPr>
      </w:pPr>
    </w:p>
    <w:p>
      <w:pPr>
        <w:spacing w:line="480" w:lineRule="auto"/>
        <w:ind w:firstLine="0" w:firstLineChars="0"/>
        <w:jc w:val="center"/>
        <w:rPr>
          <w:rFonts w:hAnsi="宋体" w:eastAsia="仿宋_GB2312" w:cs="宋体"/>
          <w:color w:val="auto"/>
          <w:kern w:val="0"/>
          <w:sz w:val="30"/>
          <w:szCs w:val="30"/>
        </w:rPr>
      </w:pPr>
    </w:p>
    <w:p>
      <w:pPr>
        <w:spacing w:line="480" w:lineRule="auto"/>
        <w:ind w:firstLine="0" w:firstLineChars="0"/>
        <w:jc w:val="center"/>
        <w:rPr>
          <w:rFonts w:hAnsi="宋体" w:eastAsia="仿宋_GB2312" w:cs="宋体"/>
          <w:color w:val="auto"/>
          <w:kern w:val="0"/>
          <w:sz w:val="30"/>
          <w:szCs w:val="30"/>
        </w:rPr>
      </w:pPr>
    </w:p>
    <w:p>
      <w:pPr>
        <w:spacing w:line="480" w:lineRule="auto"/>
        <w:ind w:firstLine="0" w:firstLineChars="0"/>
        <w:jc w:val="left"/>
        <w:rPr>
          <w:rFonts w:hAnsi="宋体" w:eastAsia="仿宋_GB2312" w:cs="宋体"/>
          <w:color w:val="auto"/>
          <w:kern w:val="0"/>
          <w:sz w:val="36"/>
          <w:szCs w:val="36"/>
        </w:rPr>
      </w:pPr>
    </w:p>
    <w:p>
      <w:pPr>
        <w:spacing w:line="600" w:lineRule="auto"/>
        <w:jc w:val="left"/>
        <w:rPr>
          <w:rFonts w:hint="eastAsia" w:hAnsi="宋体" w:eastAsia="仿宋_GB2312" w:cs="宋体"/>
          <w:color w:val="auto"/>
          <w:kern w:val="0"/>
          <w:sz w:val="36"/>
          <w:szCs w:val="36"/>
          <w:lang w:eastAsia="zh-CN"/>
        </w:rPr>
      </w:pPr>
      <w:r>
        <w:rPr>
          <w:rFonts w:hint="eastAsia" w:hAnsi="宋体" w:eastAsia="仿宋_GB2312" w:cs="宋体"/>
          <w:color w:val="auto"/>
          <w:kern w:val="0"/>
          <w:sz w:val="36"/>
          <w:szCs w:val="36"/>
        </w:rPr>
        <w:t>部门单位名称（公章）：</w:t>
      </w:r>
      <w:r>
        <w:rPr>
          <w:rFonts w:hint="eastAsia" w:hAnsi="宋体" w:eastAsia="仿宋_GB2312" w:cs="宋体"/>
          <w:color w:val="auto"/>
          <w:kern w:val="0"/>
          <w:sz w:val="36"/>
          <w:szCs w:val="36"/>
          <w:lang w:eastAsia="zh-CN"/>
        </w:rPr>
        <w:t>托克逊县住房和城乡建设局</w:t>
      </w:r>
    </w:p>
    <w:p>
      <w:pPr>
        <w:spacing w:line="600" w:lineRule="auto"/>
        <w:ind w:firstLine="720" w:firstLineChars="200"/>
        <w:rPr>
          <w:rFonts w:hint="default" w:ascii="黑体" w:hAnsi="黑体" w:eastAsia="黑体" w:cs="黑体"/>
          <w:bCs/>
          <w:color w:val="auto"/>
          <w:szCs w:val="28"/>
          <w:lang w:val="en-US" w:eastAsia="zh-CN"/>
        </w:rPr>
      </w:pPr>
      <w:r>
        <w:rPr>
          <w:rFonts w:hint="eastAsia" w:hAnsi="宋体" w:eastAsia="仿宋_GB2312" w:cs="宋体"/>
          <w:color w:val="auto"/>
          <w:kern w:val="0"/>
          <w:sz w:val="36"/>
          <w:szCs w:val="36"/>
        </w:rPr>
        <w:t>填报时间：</w:t>
      </w:r>
      <w:r>
        <w:rPr>
          <w:rFonts w:hint="eastAsia" w:hAnsi="宋体" w:eastAsia="仿宋_GB2312" w:cs="宋体"/>
          <w:color w:val="auto"/>
          <w:kern w:val="0"/>
          <w:sz w:val="36"/>
          <w:szCs w:val="36"/>
          <w:lang w:val="en-US" w:eastAsia="zh-CN"/>
        </w:rPr>
        <w:t>2024</w:t>
      </w:r>
      <w:r>
        <w:rPr>
          <w:rFonts w:hint="eastAsia" w:hAnsi="宋体" w:eastAsia="仿宋_GB2312" w:cs="宋体"/>
          <w:color w:val="auto"/>
          <w:kern w:val="0"/>
          <w:sz w:val="36"/>
          <w:szCs w:val="36"/>
        </w:rPr>
        <w:t xml:space="preserve"> 年  </w:t>
      </w:r>
      <w:r>
        <w:rPr>
          <w:rFonts w:hint="eastAsia" w:hAnsi="宋体" w:eastAsia="仿宋_GB2312" w:cs="宋体"/>
          <w:color w:val="auto"/>
          <w:kern w:val="0"/>
          <w:sz w:val="36"/>
          <w:szCs w:val="36"/>
          <w:lang w:val="en-US" w:eastAsia="zh-CN"/>
        </w:rPr>
        <w:t>4</w:t>
      </w:r>
      <w:r>
        <w:rPr>
          <w:rFonts w:hint="eastAsia" w:hAnsi="宋体" w:eastAsia="仿宋_GB2312" w:cs="宋体"/>
          <w:color w:val="auto"/>
          <w:kern w:val="0"/>
          <w:sz w:val="36"/>
          <w:szCs w:val="36"/>
        </w:rPr>
        <w:t xml:space="preserve"> 月  </w:t>
      </w:r>
      <w:r>
        <w:rPr>
          <w:rFonts w:hint="eastAsia" w:hAnsi="宋体" w:eastAsia="仿宋_GB2312" w:cs="宋体"/>
          <w:color w:val="auto"/>
          <w:kern w:val="0"/>
          <w:sz w:val="36"/>
          <w:szCs w:val="36"/>
          <w:lang w:val="en-US" w:eastAsia="zh-CN"/>
        </w:rPr>
        <w:t>29</w:t>
      </w:r>
      <w:r>
        <w:rPr>
          <w:rFonts w:hint="eastAsia" w:hAnsi="宋体" w:eastAsia="仿宋_GB2312" w:cs="宋体"/>
          <w:color w:val="auto"/>
          <w:kern w:val="0"/>
          <w:sz w:val="36"/>
          <w:szCs w:val="36"/>
        </w:rPr>
        <w:t xml:space="preserve"> 日</w:t>
      </w:r>
    </w:p>
    <w:p>
      <w:pPr>
        <w:ind w:firstLine="560"/>
        <w:rPr>
          <w:rFonts w:hint="eastAsia"/>
          <w:color w:val="auto"/>
        </w:rPr>
      </w:pPr>
    </w:p>
    <w:p>
      <w:pPr>
        <w:ind w:firstLine="560"/>
        <w:rPr>
          <w:rFonts w:hint="eastAsia"/>
          <w:color w:val="auto"/>
        </w:rPr>
      </w:pPr>
    </w:p>
    <w:p>
      <w:pPr>
        <w:ind w:left="0" w:leftChars="0" w:firstLine="0" w:firstLineChars="0"/>
        <w:rPr>
          <w:rFonts w:hint="eastAsia" w:ascii="宋体" w:hAnsi="宋体" w:eastAsia="宋体"/>
          <w:b/>
          <w:color w:val="auto"/>
          <w:sz w:val="44"/>
          <w:szCs w:val="44"/>
          <w:lang w:val="en-US"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pStyle w:val="3"/>
        <w:ind w:firstLine="562"/>
        <w:rPr>
          <w:color w:val="auto"/>
          <w:sz w:val="32"/>
          <w:szCs w:val="32"/>
        </w:rPr>
      </w:pPr>
      <w:r>
        <w:rPr>
          <w:rFonts w:hint="eastAsia"/>
          <w:color w:val="auto"/>
          <w:sz w:val="32"/>
          <w:szCs w:val="32"/>
        </w:rPr>
        <w:t>一、基本概况</w:t>
      </w:r>
    </w:p>
    <w:p>
      <w:pPr>
        <w:pStyle w:val="4"/>
        <w:ind w:firstLine="562"/>
        <w:rPr>
          <w:color w:val="auto"/>
          <w:sz w:val="32"/>
          <w:szCs w:val="32"/>
        </w:rPr>
      </w:pPr>
      <w:r>
        <w:rPr>
          <w:rFonts w:hint="eastAsia"/>
          <w:color w:val="auto"/>
          <w:sz w:val="32"/>
          <w:szCs w:val="32"/>
        </w:rPr>
        <w:t>（一）部门单位基本情况</w:t>
      </w:r>
    </w:p>
    <w:p>
      <w:pPr>
        <w:pStyle w:val="5"/>
        <w:ind w:firstLine="562"/>
        <w:rPr>
          <w:rFonts w:hint="default"/>
          <w:color w:val="auto"/>
          <w:szCs w:val="28"/>
          <w:lang w:val="en-US"/>
        </w:rPr>
      </w:pPr>
      <w:r>
        <w:rPr>
          <w:rFonts w:hint="eastAsia"/>
          <w:color w:val="auto"/>
          <w:szCs w:val="28"/>
        </w:rPr>
        <w:t>1、部门</w:t>
      </w:r>
      <w:r>
        <w:rPr>
          <w:rFonts w:hint="eastAsia"/>
          <w:color w:val="auto"/>
          <w:szCs w:val="28"/>
          <w:lang w:val="en-US" w:eastAsia="zh-CN"/>
        </w:rPr>
        <w:t>单位主要职能</w:t>
      </w:r>
    </w:p>
    <w:p>
      <w:pPr>
        <w:ind w:firstLine="560"/>
        <w:rPr>
          <w:color w:val="auto"/>
        </w:rPr>
      </w:pPr>
      <w:r>
        <w:rPr>
          <w:rFonts w:hint="eastAsia"/>
          <w:color w:val="auto"/>
        </w:rPr>
        <w:t>(1) 贯彻执行《中华人民共和国城乡规划法》、《城市市容和环境卫生管理条例》、《城市绿化管理条例》、《城市道路管理条例》等住房和城乡建设的法律、法规、方针政策和相关文件。</w:t>
      </w:r>
    </w:p>
    <w:p>
      <w:pPr>
        <w:ind w:firstLine="560"/>
        <w:rPr>
          <w:color w:val="auto"/>
        </w:rPr>
      </w:pPr>
      <w:r>
        <w:rPr>
          <w:rFonts w:hint="eastAsia"/>
          <w:color w:val="auto"/>
        </w:rPr>
        <w:t>(2) 执行国家、自治区建设事业 (包括县域村镇体系规划、县城总体规划、县域乡镇总体规划、县域村庄建设规划、近期建设规划和城区详细规划、依据《城市总体规划》完成住房建设规划、道路交通、绿地、抗震防灾、消防、供水、排水、供热、燃气、市容环卫、公共服务设施等专项规划、工程建设、城乡建设、村镇建设、建筑业、住宅和房地产、勘察设计咨询业、市政公用事等) 方针、政策和法律、法规。研究制定全县建设行业单位发展规划、年度计划、并组织监督实施。</w:t>
      </w:r>
    </w:p>
    <w:p>
      <w:pPr>
        <w:ind w:firstLine="560"/>
        <w:rPr>
          <w:color w:val="auto"/>
        </w:rPr>
      </w:pPr>
      <w:r>
        <w:rPr>
          <w:rFonts w:hint="eastAsia"/>
          <w:color w:val="auto"/>
        </w:rPr>
        <w:t>(3) 负责保障城镇低收入家庭住房的调查审核责任。</w:t>
      </w:r>
    </w:p>
    <w:p>
      <w:pPr>
        <w:ind w:firstLine="560"/>
        <w:rPr>
          <w:color w:val="auto"/>
        </w:rPr>
      </w:pPr>
      <w:r>
        <w:rPr>
          <w:rFonts w:hint="eastAsia"/>
          <w:color w:val="auto"/>
        </w:rPr>
        <w:t>(4) 承担推进住房制度改革的责任。</w:t>
      </w:r>
    </w:p>
    <w:p>
      <w:pPr>
        <w:ind w:firstLine="560"/>
        <w:rPr>
          <w:color w:val="auto"/>
        </w:rPr>
      </w:pPr>
      <w:r>
        <w:rPr>
          <w:rFonts w:hint="eastAsia"/>
          <w:color w:val="auto"/>
        </w:rPr>
        <w:t>(5) 负责规范住房和城乡建设管理秩序的责任。</w:t>
      </w:r>
    </w:p>
    <w:p>
      <w:pPr>
        <w:ind w:firstLine="560"/>
        <w:rPr>
          <w:color w:val="auto"/>
        </w:rPr>
      </w:pPr>
      <w:r>
        <w:rPr>
          <w:rFonts w:hint="eastAsia"/>
          <w:color w:val="auto"/>
        </w:rPr>
        <w:t>(6) 承办建立科学规范的住房和城乡建设地方标准体系的责任。组织拟定住房和城乡建设的地方性标准、拟订建设项目可行性研究报告平价方法、经济参数建设标准和工程造价的管理制度、拟定公共服务设施 (不含通讯设施) 建设标准并监督执行、指导监督各类工程建设标准定额实施和工程造价计价、组织发布工程造价信息。</w:t>
      </w:r>
    </w:p>
    <w:p>
      <w:pPr>
        <w:ind w:firstLine="560"/>
        <w:rPr>
          <w:color w:val="auto"/>
        </w:rPr>
      </w:pPr>
      <w:r>
        <w:rPr>
          <w:rFonts w:hint="eastAsia"/>
          <w:color w:val="auto"/>
        </w:rPr>
        <w:t>(7) 承担规范房地产市场秩序、监督管理房地产市场的责任。</w:t>
      </w:r>
    </w:p>
    <w:p>
      <w:pPr>
        <w:ind w:firstLine="560"/>
        <w:rPr>
          <w:color w:val="auto"/>
        </w:rPr>
      </w:pPr>
      <w:r>
        <w:rPr>
          <w:rFonts w:hint="eastAsia"/>
          <w:color w:val="auto"/>
        </w:rPr>
        <w:t>(8) 监督管理全县建筑市场、规范各方主体行为。</w:t>
      </w:r>
    </w:p>
    <w:p>
      <w:pPr>
        <w:ind w:firstLine="560"/>
        <w:rPr>
          <w:color w:val="auto"/>
        </w:rPr>
      </w:pPr>
      <w:r>
        <w:rPr>
          <w:rFonts w:hint="eastAsia"/>
          <w:color w:val="auto"/>
        </w:rPr>
        <w:t>(9) 制度城市建设的办法、规划并组织实施。</w:t>
      </w:r>
    </w:p>
    <w:p>
      <w:pPr>
        <w:ind w:firstLine="560"/>
        <w:rPr>
          <w:color w:val="auto"/>
        </w:rPr>
      </w:pPr>
      <w:r>
        <w:rPr>
          <w:rFonts w:hint="eastAsia"/>
          <w:color w:val="auto"/>
        </w:rPr>
        <w:t>(10) 负责规范和指导全县村镇建设的责任。</w:t>
      </w:r>
    </w:p>
    <w:p>
      <w:pPr>
        <w:ind w:firstLine="560"/>
        <w:rPr>
          <w:color w:val="auto"/>
        </w:rPr>
      </w:pPr>
      <w:r>
        <w:rPr>
          <w:rFonts w:hint="eastAsia"/>
          <w:color w:val="auto"/>
        </w:rPr>
        <w:t>(11) 承担建筑工程质量安全监督责任。</w:t>
      </w:r>
    </w:p>
    <w:p>
      <w:pPr>
        <w:ind w:firstLine="560"/>
        <w:rPr>
          <w:color w:val="auto"/>
        </w:rPr>
      </w:pPr>
      <w:r>
        <w:rPr>
          <w:rFonts w:hint="eastAsia"/>
          <w:color w:val="auto"/>
        </w:rPr>
        <w:t>(12) 综合管理城乡建设抗震减灾工作。</w:t>
      </w:r>
    </w:p>
    <w:p>
      <w:pPr>
        <w:ind w:firstLine="560"/>
        <w:rPr>
          <w:color w:val="auto"/>
        </w:rPr>
      </w:pPr>
      <w:r>
        <w:rPr>
          <w:rFonts w:hint="eastAsia"/>
          <w:color w:val="auto"/>
        </w:rPr>
        <w:t>(13) 承担推进建筑技能、城镇减排的责任。</w:t>
      </w:r>
    </w:p>
    <w:p>
      <w:pPr>
        <w:ind w:firstLine="560"/>
        <w:rPr>
          <w:color w:val="auto"/>
        </w:rPr>
      </w:pPr>
      <w:r>
        <w:rPr>
          <w:rFonts w:hint="eastAsia"/>
          <w:color w:val="auto"/>
        </w:rPr>
        <w:t>(14) 责任县住房制度改革领导小组的日常工作。</w:t>
      </w:r>
    </w:p>
    <w:p>
      <w:pPr>
        <w:ind w:firstLine="560"/>
        <w:rPr>
          <w:color w:val="auto"/>
        </w:rPr>
      </w:pPr>
      <w:r>
        <w:rPr>
          <w:rFonts w:hint="eastAsia"/>
          <w:color w:val="auto"/>
        </w:rPr>
        <w:t>(15) 增加国有土地上房屋征收与补偿管理职责。</w:t>
      </w:r>
    </w:p>
    <w:p>
      <w:pPr>
        <w:ind w:firstLine="560"/>
        <w:rPr>
          <w:rFonts w:hint="eastAsia" w:ascii="仿宋_GB2312" w:hAnsi="仿宋_GB2312" w:eastAsia="仿宋_GB2312" w:cs="仿宋_GB2312"/>
          <w:color w:val="auto"/>
        </w:rPr>
      </w:pPr>
      <w:r>
        <w:rPr>
          <w:rFonts w:hint="eastAsia"/>
          <w:color w:val="auto"/>
        </w:rPr>
        <w:t>(16) 承办县人民政府交办的其他事项。</w:t>
      </w:r>
    </w:p>
    <w:p>
      <w:pPr>
        <w:pStyle w:val="5"/>
        <w:ind w:firstLine="562"/>
        <w:rPr>
          <w:color w:val="auto"/>
          <w:szCs w:val="28"/>
        </w:rPr>
      </w:pPr>
      <w:r>
        <w:rPr>
          <w:rFonts w:hint="eastAsia"/>
          <w:color w:val="auto"/>
          <w:szCs w:val="28"/>
        </w:rPr>
        <w:t>2、机构人员构成</w:t>
      </w:r>
      <w:r>
        <w:rPr>
          <w:rFonts w:hint="eastAsia"/>
          <w:color w:val="auto"/>
          <w:szCs w:val="28"/>
          <w:lang w:eastAsia="zh-CN"/>
        </w:rPr>
        <w:t>情况</w:t>
      </w:r>
    </w:p>
    <w:p>
      <w:pPr>
        <w:ind w:firstLine="560"/>
        <w:rPr>
          <w:color w:val="auto"/>
          <w:highlight w:val="none"/>
        </w:rPr>
      </w:pPr>
      <w:r>
        <w:rPr>
          <w:rFonts w:hint="eastAsia"/>
          <w:color w:val="auto"/>
        </w:rPr>
        <w:t>托克逊县住房和城乡建设局单位无</w:t>
      </w:r>
      <w:r>
        <w:rPr>
          <w:rFonts w:hint="eastAsia"/>
          <w:color w:val="auto"/>
          <w:highlight w:val="none"/>
        </w:rPr>
        <w:t>下属预算单位，下设</w:t>
      </w:r>
      <w:r>
        <w:rPr>
          <w:rFonts w:hint="eastAsia"/>
          <w:color w:val="auto"/>
          <w:highlight w:val="none"/>
          <w:lang w:val="en-US" w:eastAsia="zh-CN"/>
        </w:rPr>
        <w:t>15</w:t>
      </w:r>
      <w:r>
        <w:rPr>
          <w:rFonts w:hint="eastAsia"/>
          <w:color w:val="auto"/>
          <w:highlight w:val="none"/>
        </w:rPr>
        <w:t>个</w:t>
      </w:r>
      <w:r>
        <w:rPr>
          <w:rFonts w:hint="eastAsia"/>
          <w:color w:val="auto"/>
          <w:highlight w:val="none"/>
          <w:lang w:eastAsia="zh-CN"/>
        </w:rPr>
        <w:t>职能部门</w:t>
      </w:r>
      <w:r>
        <w:rPr>
          <w:rFonts w:hint="eastAsia"/>
          <w:color w:val="auto"/>
          <w:highlight w:val="none"/>
        </w:rPr>
        <w:t>，分别是：住建局行政</w:t>
      </w:r>
      <w:r>
        <w:rPr>
          <w:rFonts w:hint="eastAsia"/>
          <w:color w:val="auto"/>
          <w:highlight w:val="none"/>
          <w:lang w:eastAsia="zh-CN"/>
        </w:rPr>
        <w:t>办</w:t>
      </w:r>
      <w:r>
        <w:rPr>
          <w:rFonts w:hint="eastAsia"/>
          <w:color w:val="auto"/>
          <w:highlight w:val="none"/>
        </w:rPr>
        <w:t>、</w:t>
      </w:r>
      <w:r>
        <w:rPr>
          <w:rFonts w:hint="eastAsia"/>
          <w:color w:val="auto"/>
          <w:highlight w:val="none"/>
          <w:lang w:eastAsia="zh-CN"/>
        </w:rPr>
        <w:t>招投标管理办公室、工会（信访办）、建筑业管理和建设工程质量安全监督办公室、住房保障和房产管理办公室、城市建设管理办公室、项目管理办公室、财务室、人防办业务科、城建档案室、村镇办、</w:t>
      </w:r>
      <w:r>
        <w:rPr>
          <w:rFonts w:hint="eastAsia"/>
          <w:color w:val="auto"/>
          <w:highlight w:val="none"/>
        </w:rPr>
        <w:t>环境卫生</w:t>
      </w:r>
      <w:r>
        <w:rPr>
          <w:rFonts w:hint="eastAsia"/>
          <w:color w:val="auto"/>
          <w:highlight w:val="none"/>
          <w:lang w:eastAsia="zh-CN"/>
        </w:rPr>
        <w:t>服务</w:t>
      </w:r>
      <w:r>
        <w:rPr>
          <w:rFonts w:hint="eastAsia"/>
          <w:color w:val="auto"/>
          <w:highlight w:val="none"/>
        </w:rPr>
        <w:t>中心、园林绿化</w:t>
      </w:r>
      <w:r>
        <w:rPr>
          <w:rFonts w:hint="eastAsia"/>
          <w:color w:val="auto"/>
          <w:highlight w:val="none"/>
          <w:lang w:eastAsia="zh-CN"/>
        </w:rPr>
        <w:t>环境服务</w:t>
      </w:r>
      <w:r>
        <w:rPr>
          <w:rFonts w:hint="eastAsia"/>
          <w:color w:val="auto"/>
          <w:highlight w:val="none"/>
        </w:rPr>
        <w:t>中心、房产管理局和国有土地上房屋征收与补偿管理办公室、城乡建设服务中心。</w:t>
      </w:r>
    </w:p>
    <w:p>
      <w:pPr>
        <w:ind w:firstLine="560"/>
        <w:rPr>
          <w:color w:val="auto"/>
        </w:rPr>
      </w:pPr>
      <w:r>
        <w:rPr>
          <w:rFonts w:hint="eastAsia"/>
          <w:color w:val="auto"/>
        </w:rPr>
        <w:t xml:space="preserve">托克逊县住房和城乡建设局单位编制数 </w:t>
      </w:r>
      <w:r>
        <w:rPr>
          <w:rFonts w:hint="eastAsia"/>
          <w:color w:val="auto"/>
          <w:lang w:val="en-US" w:eastAsia="zh-CN"/>
        </w:rPr>
        <w:t>112</w:t>
      </w:r>
      <w:r>
        <w:rPr>
          <w:rFonts w:hint="eastAsia"/>
          <w:color w:val="auto"/>
        </w:rPr>
        <w:t>人，其中：行政编制7人，事业编制105人。年初预算实有</w:t>
      </w:r>
      <w:r>
        <w:rPr>
          <w:rFonts w:hint="eastAsia"/>
          <w:color w:val="auto"/>
          <w:lang w:eastAsia="zh-CN"/>
        </w:rPr>
        <w:t>在编</w:t>
      </w:r>
      <w:r>
        <w:rPr>
          <w:rFonts w:hint="eastAsia"/>
          <w:color w:val="auto"/>
        </w:rPr>
        <w:t>在职人员</w:t>
      </w:r>
      <w:r>
        <w:rPr>
          <w:rFonts w:hint="eastAsia"/>
          <w:color w:val="auto"/>
          <w:lang w:eastAsia="zh-CN"/>
        </w:rPr>
        <w:t>行政</w:t>
      </w:r>
      <w:r>
        <w:rPr>
          <w:rFonts w:hint="eastAsia"/>
          <w:color w:val="auto"/>
          <w:lang w:val="en-US" w:eastAsia="zh-CN"/>
        </w:rPr>
        <w:t>8</w:t>
      </w:r>
      <w:r>
        <w:rPr>
          <w:rFonts w:hint="eastAsia"/>
          <w:color w:val="auto"/>
        </w:rPr>
        <w:t>人，</w:t>
      </w:r>
      <w:r>
        <w:rPr>
          <w:rFonts w:hint="eastAsia"/>
          <w:color w:val="auto"/>
          <w:lang w:eastAsia="zh-CN"/>
        </w:rPr>
        <w:t>全额事业在职</w:t>
      </w:r>
      <w:r>
        <w:rPr>
          <w:rFonts w:hint="eastAsia"/>
          <w:color w:val="auto"/>
          <w:lang w:val="en-US" w:eastAsia="zh-CN"/>
        </w:rPr>
        <w:t>116</w:t>
      </w:r>
      <w:r>
        <w:rPr>
          <w:rFonts w:hint="eastAsia"/>
          <w:color w:val="auto"/>
          <w:lang w:eastAsia="zh-CN"/>
        </w:rPr>
        <w:t>人，编外长期聘用地方编人员</w:t>
      </w:r>
      <w:r>
        <w:rPr>
          <w:rFonts w:hint="eastAsia"/>
          <w:color w:val="auto"/>
          <w:lang w:val="en-US" w:eastAsia="zh-CN"/>
        </w:rPr>
        <w:t>27人，</w:t>
      </w:r>
      <w:r>
        <w:rPr>
          <w:rFonts w:hint="eastAsia"/>
          <w:color w:val="auto"/>
        </w:rPr>
        <w:t>退休人员</w:t>
      </w:r>
      <w:r>
        <w:rPr>
          <w:rFonts w:hint="eastAsia"/>
          <w:color w:val="auto"/>
          <w:lang w:val="en-US" w:eastAsia="zh-CN"/>
        </w:rPr>
        <w:t>37</w:t>
      </w:r>
      <w:r>
        <w:rPr>
          <w:rFonts w:hint="eastAsia"/>
          <w:color w:val="auto"/>
        </w:rPr>
        <w:t>人。</w:t>
      </w:r>
    </w:p>
    <w:p>
      <w:pPr>
        <w:pStyle w:val="4"/>
        <w:ind w:firstLine="562"/>
        <w:rPr>
          <w:rFonts w:hint="eastAsia" w:cs="Times New Roman"/>
          <w:color w:val="auto"/>
          <w:sz w:val="28"/>
          <w:szCs w:val="28"/>
          <w:lang w:val="en-US" w:eastAsia="zh-CN"/>
        </w:rPr>
      </w:pPr>
      <w:r>
        <w:rPr>
          <w:rFonts w:hint="eastAsia" w:cs="Times New Roman"/>
          <w:color w:val="auto"/>
          <w:sz w:val="28"/>
          <w:szCs w:val="28"/>
          <w:lang w:val="en-US" w:eastAsia="zh-CN"/>
        </w:rPr>
        <w:t>（二）部门单位年度重点工作</w:t>
      </w:r>
    </w:p>
    <w:p>
      <w:pPr>
        <w:ind w:firstLine="560"/>
        <w:rPr>
          <w:rFonts w:hint="eastAsia"/>
          <w:b/>
          <w:bCs/>
          <w:color w:val="auto"/>
          <w:highlight w:val="none"/>
          <w:lang w:val="en-US" w:eastAsia="zh-CN"/>
        </w:rPr>
      </w:pPr>
      <w:r>
        <w:rPr>
          <w:rFonts w:hint="eastAsia"/>
          <w:b/>
          <w:bCs/>
          <w:color w:val="auto"/>
          <w:highlight w:val="none"/>
          <w:lang w:val="en-US" w:eastAsia="zh-CN"/>
        </w:rPr>
        <w:t>1、年度工作要点</w:t>
      </w:r>
    </w:p>
    <w:p>
      <w:pPr>
        <w:ind w:firstLine="560"/>
        <w:rPr>
          <w:rFonts w:hint="eastAsia"/>
          <w:color w:val="auto"/>
          <w:lang w:val="en-US" w:eastAsia="zh-CN"/>
        </w:rPr>
      </w:pPr>
      <w:r>
        <w:rPr>
          <w:rFonts w:hint="eastAsia"/>
          <w:color w:val="auto"/>
          <w:lang w:val="en-US" w:eastAsia="zh-CN"/>
        </w:rPr>
        <w:t>（1）做好固定资产投资工作。</w:t>
      </w:r>
    </w:p>
    <w:p>
      <w:pPr>
        <w:ind w:firstLine="560"/>
        <w:rPr>
          <w:rFonts w:hint="eastAsia"/>
          <w:color w:val="auto"/>
          <w:lang w:val="en-US" w:eastAsia="zh-CN"/>
        </w:rPr>
      </w:pPr>
      <w:r>
        <w:rPr>
          <w:rFonts w:hint="eastAsia"/>
          <w:color w:val="auto"/>
          <w:lang w:val="en-US" w:eastAsia="zh-CN"/>
        </w:rPr>
        <w:t>（2）落实人防各项工作。</w:t>
      </w:r>
    </w:p>
    <w:p>
      <w:pPr>
        <w:ind w:firstLine="560"/>
        <w:rPr>
          <w:rFonts w:hint="eastAsia"/>
          <w:color w:val="auto"/>
          <w:lang w:val="en-US" w:eastAsia="zh-CN"/>
        </w:rPr>
      </w:pPr>
      <w:r>
        <w:rPr>
          <w:rFonts w:hint="eastAsia"/>
          <w:color w:val="auto"/>
          <w:lang w:val="en-US" w:eastAsia="zh-CN"/>
        </w:rPr>
        <w:t>（3）深化营商环境综合改革。</w:t>
      </w:r>
    </w:p>
    <w:p>
      <w:pPr>
        <w:ind w:firstLine="560"/>
        <w:rPr>
          <w:rFonts w:hint="eastAsia"/>
          <w:color w:val="auto"/>
          <w:lang w:val="en-US" w:eastAsia="zh-CN"/>
        </w:rPr>
      </w:pPr>
      <w:r>
        <w:rPr>
          <w:rFonts w:hint="eastAsia"/>
          <w:color w:val="auto"/>
          <w:lang w:val="en-US" w:eastAsia="zh-CN"/>
        </w:rPr>
        <w:t>（4）扎实开展“双随机、一公开”“双公示”工作。</w:t>
      </w:r>
    </w:p>
    <w:p>
      <w:pPr>
        <w:rPr>
          <w:color w:val="auto"/>
        </w:rPr>
      </w:pPr>
      <w:r>
        <w:rPr>
          <w:rFonts w:hint="eastAsia"/>
          <w:color w:val="auto"/>
          <w:lang w:val="en-US" w:eastAsia="zh-CN"/>
        </w:rPr>
        <w:t>（5）持续规范建筑市场管理。</w:t>
      </w:r>
    </w:p>
    <w:p>
      <w:pPr>
        <w:rPr>
          <w:color w:val="auto"/>
        </w:rPr>
      </w:pPr>
      <w:r>
        <w:rPr>
          <w:rFonts w:hint="eastAsia"/>
          <w:color w:val="auto"/>
          <w:lang w:val="en-US" w:eastAsia="zh-CN"/>
        </w:rPr>
        <w:t>（6）稳步推进民生工程建设。</w:t>
      </w:r>
    </w:p>
    <w:p>
      <w:pPr>
        <w:ind w:left="0" w:leftChars="0" w:firstLine="560" w:firstLineChars="200"/>
        <w:rPr>
          <w:color w:val="auto"/>
        </w:rPr>
      </w:pPr>
      <w:r>
        <w:rPr>
          <w:rFonts w:hint="eastAsia"/>
          <w:color w:val="auto"/>
          <w:lang w:val="en-US" w:eastAsia="zh-CN"/>
        </w:rPr>
        <w:t>（7）积极推进市政工程建设项目。</w:t>
      </w:r>
    </w:p>
    <w:p>
      <w:pPr>
        <w:ind w:firstLine="560"/>
        <w:rPr>
          <w:rFonts w:hint="eastAsia" w:eastAsia="仿宋"/>
          <w:color w:val="auto"/>
          <w:lang w:val="en-US" w:eastAsia="zh-CN"/>
        </w:rPr>
      </w:pPr>
      <w:r>
        <w:rPr>
          <w:rFonts w:hint="eastAsia"/>
          <w:color w:val="auto"/>
          <w:lang w:val="en-US" w:eastAsia="zh-CN"/>
        </w:rPr>
        <w:t>（8）深入优化市政公用服务建设。</w:t>
      </w:r>
    </w:p>
    <w:p>
      <w:pPr>
        <w:ind w:firstLine="560"/>
        <w:rPr>
          <w:rFonts w:hint="eastAsia"/>
          <w:color w:val="auto"/>
          <w:lang w:val="en-US" w:eastAsia="zh-CN"/>
        </w:rPr>
      </w:pPr>
      <w:r>
        <w:rPr>
          <w:rFonts w:hint="eastAsia"/>
          <w:color w:val="auto"/>
          <w:lang w:val="en-US" w:eastAsia="zh-CN"/>
        </w:rPr>
        <w:t>（9）有效助推房地产市场健康发展。</w:t>
      </w:r>
    </w:p>
    <w:p>
      <w:pPr>
        <w:ind w:firstLine="560"/>
        <w:rPr>
          <w:rFonts w:hint="default"/>
          <w:color w:val="auto"/>
          <w:lang w:val="en-US" w:eastAsia="zh-CN"/>
        </w:rPr>
      </w:pPr>
      <w:r>
        <w:rPr>
          <w:rFonts w:hint="eastAsia"/>
          <w:color w:val="auto"/>
          <w:lang w:val="en-US" w:eastAsia="zh-CN"/>
        </w:rPr>
        <w:t>（10）持续加大城市绿化投入。</w:t>
      </w:r>
    </w:p>
    <w:p>
      <w:pPr>
        <w:ind w:firstLine="560"/>
        <w:rPr>
          <w:rFonts w:hint="eastAsia"/>
          <w:color w:val="auto"/>
        </w:rPr>
      </w:pPr>
      <w:r>
        <w:rPr>
          <w:rFonts w:hint="eastAsia"/>
          <w:color w:val="auto"/>
          <w:lang w:val="en-US" w:eastAsia="zh-CN"/>
        </w:rPr>
        <w:t>（11）积极推进国家园林城市创建验收。</w:t>
      </w:r>
    </w:p>
    <w:p>
      <w:pPr>
        <w:ind w:firstLine="560"/>
        <w:rPr>
          <w:rFonts w:hint="eastAsia"/>
          <w:color w:val="auto"/>
          <w:lang w:val="en-US" w:eastAsia="zh-CN"/>
        </w:rPr>
      </w:pPr>
      <w:r>
        <w:rPr>
          <w:rFonts w:hint="eastAsia"/>
          <w:color w:val="auto"/>
          <w:lang w:val="en-US" w:eastAsia="zh-CN"/>
        </w:rPr>
        <w:t>（12）不断提升市容环境卫生质量。</w:t>
      </w:r>
    </w:p>
    <w:p>
      <w:pPr>
        <w:rPr>
          <w:rFonts w:hint="eastAsia"/>
          <w:b/>
          <w:bCs/>
          <w:color w:val="auto"/>
          <w:highlight w:val="none"/>
          <w:lang w:val="en-US" w:eastAsia="zh-CN"/>
        </w:rPr>
      </w:pPr>
      <w:r>
        <w:rPr>
          <w:rFonts w:hint="eastAsia"/>
          <w:b/>
          <w:bCs/>
          <w:color w:val="auto"/>
          <w:highlight w:val="none"/>
          <w:lang w:val="en-US" w:eastAsia="zh-CN"/>
        </w:rPr>
        <w:t>2、要实现或达成的目标</w:t>
      </w:r>
    </w:p>
    <w:p>
      <w:pPr>
        <w:ind w:firstLine="560"/>
        <w:rPr>
          <w:rFonts w:hint="eastAsia"/>
          <w:color w:val="auto"/>
          <w:lang w:val="en-US" w:eastAsia="zh-CN"/>
        </w:rPr>
      </w:pPr>
      <w:r>
        <w:rPr>
          <w:rFonts w:hint="eastAsia"/>
          <w:color w:val="auto"/>
          <w:lang w:val="en-US" w:eastAsia="zh-CN"/>
        </w:rPr>
        <w:t>（1）“项目支出预算执行率”，目标为达到100%；</w:t>
      </w:r>
    </w:p>
    <w:p>
      <w:pPr>
        <w:ind w:firstLine="560"/>
        <w:rPr>
          <w:rFonts w:hint="eastAsia"/>
          <w:color w:val="auto"/>
          <w:lang w:val="en-US" w:eastAsia="zh-CN"/>
        </w:rPr>
      </w:pPr>
      <w:r>
        <w:rPr>
          <w:rFonts w:hint="eastAsia"/>
          <w:color w:val="auto"/>
          <w:lang w:val="en-US" w:eastAsia="zh-CN"/>
        </w:rPr>
        <w:t>（2）“三公经费”控制率，目标为达到100%；</w:t>
      </w:r>
    </w:p>
    <w:p>
      <w:pPr>
        <w:ind w:firstLine="560"/>
        <w:rPr>
          <w:rFonts w:hint="eastAsia"/>
          <w:color w:val="auto"/>
          <w:lang w:val="en-US" w:eastAsia="zh-CN"/>
        </w:rPr>
      </w:pPr>
      <w:r>
        <w:rPr>
          <w:rFonts w:hint="eastAsia"/>
          <w:color w:val="auto"/>
          <w:lang w:val="en-US" w:eastAsia="zh-CN"/>
        </w:rPr>
        <w:t>（3）“行业领域安全监管和专项整治及时率”，目标为大于等于95%；</w:t>
      </w:r>
    </w:p>
    <w:p>
      <w:pPr>
        <w:ind w:firstLine="560"/>
        <w:rPr>
          <w:rFonts w:hint="eastAsia"/>
          <w:color w:val="auto"/>
          <w:lang w:val="en-US" w:eastAsia="zh-CN"/>
        </w:rPr>
      </w:pPr>
      <w:r>
        <w:rPr>
          <w:rFonts w:hint="eastAsia"/>
          <w:color w:val="auto"/>
          <w:lang w:val="en-US" w:eastAsia="zh-CN"/>
        </w:rPr>
        <w:t>（4）“农村危房改造补助发放及时率”，目标为达到100%；</w:t>
      </w:r>
    </w:p>
    <w:p>
      <w:pPr>
        <w:ind w:firstLine="560"/>
        <w:rPr>
          <w:rFonts w:hint="eastAsia"/>
          <w:color w:val="auto"/>
          <w:lang w:val="en-US" w:eastAsia="zh-CN"/>
        </w:rPr>
      </w:pPr>
      <w:r>
        <w:rPr>
          <w:rFonts w:hint="eastAsia"/>
          <w:color w:val="auto"/>
          <w:lang w:val="en-US" w:eastAsia="zh-CN"/>
        </w:rPr>
        <w:t>（5）“完成市政基础设施建设项目”，目标为大于等于6个；</w:t>
      </w:r>
    </w:p>
    <w:p>
      <w:pPr>
        <w:pStyle w:val="8"/>
        <w:rPr>
          <w:rFonts w:hint="eastAsia"/>
          <w:color w:val="auto"/>
          <w:lang w:val="en-US" w:eastAsia="zh-CN"/>
        </w:rPr>
      </w:pPr>
      <w:r>
        <w:rPr>
          <w:rFonts w:hint="eastAsia"/>
          <w:color w:val="auto"/>
          <w:lang w:val="en-US" w:eastAsia="zh-CN"/>
        </w:rPr>
        <w:t>（6）“完成老旧小区、棚户区改造建设项目”，目标为大于等于4个；</w:t>
      </w:r>
    </w:p>
    <w:p>
      <w:pPr>
        <w:pStyle w:val="8"/>
        <w:rPr>
          <w:rFonts w:hint="eastAsia"/>
          <w:color w:val="auto"/>
          <w:lang w:val="en-US" w:eastAsia="zh-CN"/>
        </w:rPr>
      </w:pPr>
      <w:r>
        <w:rPr>
          <w:rFonts w:hint="eastAsia"/>
          <w:color w:val="auto"/>
          <w:lang w:val="en-US" w:eastAsia="zh-CN"/>
        </w:rPr>
        <w:t>（7）“住建领域监督整改合格率”，目标为达到100%；</w:t>
      </w:r>
    </w:p>
    <w:p>
      <w:pPr>
        <w:pStyle w:val="8"/>
        <w:rPr>
          <w:rFonts w:hint="eastAsia"/>
          <w:color w:val="auto"/>
          <w:lang w:val="en-US" w:eastAsia="zh-CN"/>
        </w:rPr>
      </w:pPr>
      <w:r>
        <w:rPr>
          <w:rFonts w:hint="eastAsia"/>
          <w:color w:val="auto"/>
          <w:lang w:val="en-US" w:eastAsia="zh-CN"/>
        </w:rPr>
        <w:t>（8）“保障安居性住房数量”，目标为大于等于550套；</w:t>
      </w:r>
    </w:p>
    <w:p>
      <w:pPr>
        <w:pStyle w:val="8"/>
        <w:rPr>
          <w:rFonts w:hint="eastAsia"/>
          <w:color w:val="auto"/>
          <w:lang w:val="en-US" w:eastAsia="zh-CN"/>
        </w:rPr>
      </w:pPr>
      <w:r>
        <w:rPr>
          <w:rFonts w:hint="eastAsia"/>
          <w:color w:val="auto"/>
          <w:lang w:val="en-US" w:eastAsia="zh-CN"/>
        </w:rPr>
        <w:t>（9）“提升城区绿化覆盖率”，目标为大于等于45.23%；</w:t>
      </w:r>
    </w:p>
    <w:p>
      <w:pPr>
        <w:pStyle w:val="8"/>
        <w:rPr>
          <w:rFonts w:hint="default"/>
          <w:color w:val="auto"/>
          <w:lang w:val="en-US" w:eastAsia="zh-CN"/>
        </w:rPr>
      </w:pPr>
      <w:r>
        <w:rPr>
          <w:rFonts w:hint="eastAsia"/>
          <w:color w:val="auto"/>
          <w:lang w:val="en-US" w:eastAsia="zh-CN"/>
        </w:rPr>
        <w:t>（10）“受益群众满意度”，目标为大于等于95%。</w:t>
      </w:r>
    </w:p>
    <w:p>
      <w:pPr>
        <w:ind w:firstLine="560"/>
        <w:rPr>
          <w:rFonts w:hint="eastAsia"/>
          <w:b/>
          <w:bCs/>
          <w:color w:val="auto"/>
          <w:highlight w:val="none"/>
          <w:lang w:val="en-US" w:eastAsia="zh-CN"/>
        </w:rPr>
      </w:pPr>
      <w:r>
        <w:rPr>
          <w:rFonts w:hint="eastAsia"/>
          <w:b/>
          <w:bCs/>
          <w:color w:val="auto"/>
          <w:highlight w:val="none"/>
          <w:lang w:val="en-US" w:eastAsia="zh-CN"/>
        </w:rPr>
        <w:t>3、机构人员保障情况</w:t>
      </w:r>
    </w:p>
    <w:p>
      <w:pPr>
        <w:ind w:firstLine="560"/>
        <w:rPr>
          <w:rFonts w:hint="eastAsia" w:cs="Times New Roman"/>
          <w:color w:val="auto"/>
          <w:lang w:val="en-US" w:eastAsia="zh-CN"/>
        </w:rPr>
      </w:pPr>
      <w:r>
        <w:rPr>
          <w:rFonts w:hint="eastAsia"/>
          <w:color w:val="auto"/>
          <w:lang w:val="en-US" w:eastAsia="zh-CN"/>
        </w:rPr>
        <w:t>我单位实有</w:t>
      </w:r>
      <w:r>
        <w:rPr>
          <w:rFonts w:hint="eastAsia" w:cs="Times New Roman"/>
          <w:color w:val="auto"/>
          <w:lang w:val="en-US" w:eastAsia="zh-CN"/>
        </w:rPr>
        <w:t>在职职工153人，共设15个职能部门，主要职责及人员分工如下：</w:t>
      </w:r>
    </w:p>
    <w:p>
      <w:pPr>
        <w:pStyle w:val="8"/>
        <w:numPr>
          <w:ilvl w:val="0"/>
          <w:numId w:val="1"/>
        </w:numPr>
        <w:rPr>
          <w:rFonts w:hint="eastAsia"/>
          <w:color w:val="auto"/>
          <w:highlight w:val="none"/>
          <w:lang w:eastAsia="zh-CN"/>
        </w:rPr>
      </w:pPr>
      <w:r>
        <w:rPr>
          <w:rFonts w:hint="eastAsia"/>
          <w:color w:val="auto"/>
          <w:highlight w:val="none"/>
        </w:rPr>
        <w:t>行政</w:t>
      </w:r>
      <w:r>
        <w:rPr>
          <w:rFonts w:hint="eastAsia"/>
          <w:color w:val="auto"/>
          <w:highlight w:val="none"/>
          <w:lang w:eastAsia="zh-CN"/>
        </w:rPr>
        <w:t>办公室：负责住建领域上级公文接收、任务传达、对外发布通知公告，统筹协调安排单位各业务部门业务开展、</w:t>
      </w:r>
      <w:r>
        <w:rPr>
          <w:rFonts w:hint="eastAsia"/>
          <w:color w:val="auto"/>
          <w:highlight w:val="none"/>
        </w:rPr>
        <w:t>承办县人民政府交办的其他事项。</w:t>
      </w:r>
    </w:p>
    <w:p>
      <w:pPr>
        <w:numPr>
          <w:ilvl w:val="0"/>
          <w:numId w:val="1"/>
        </w:numPr>
        <w:ind w:left="0" w:leftChars="0" w:firstLine="560" w:firstLineChars="200"/>
        <w:rPr>
          <w:rFonts w:hint="eastAsia"/>
          <w:color w:val="auto"/>
          <w:highlight w:val="none"/>
          <w:lang w:val="en-US" w:eastAsia="zh-CN"/>
        </w:rPr>
      </w:pPr>
      <w:r>
        <w:rPr>
          <w:rFonts w:hint="eastAsia"/>
          <w:color w:val="auto"/>
          <w:highlight w:val="none"/>
          <w:lang w:eastAsia="zh-CN"/>
        </w:rPr>
        <w:t>招投标管理办公室</w:t>
      </w:r>
      <w:r>
        <w:rPr>
          <w:rFonts w:hint="eastAsia"/>
          <w:color w:val="auto"/>
          <w:highlight w:val="none"/>
          <w:lang w:val="en-US" w:eastAsia="zh-CN"/>
        </w:rPr>
        <w:t>:负责住房和城乡建设项目的招投标管理工作。</w:t>
      </w:r>
    </w:p>
    <w:p>
      <w:pPr>
        <w:numPr>
          <w:ilvl w:val="0"/>
          <w:numId w:val="1"/>
        </w:numPr>
        <w:ind w:left="0" w:leftChars="0" w:firstLine="560" w:firstLineChars="200"/>
        <w:rPr>
          <w:color w:val="auto"/>
          <w:highlight w:val="none"/>
        </w:rPr>
      </w:pPr>
      <w:r>
        <w:rPr>
          <w:rFonts w:hint="eastAsia"/>
          <w:color w:val="auto"/>
          <w:highlight w:val="none"/>
          <w:lang w:eastAsia="zh-CN"/>
        </w:rPr>
        <w:t>工会（信访办）</w:t>
      </w:r>
      <w:r>
        <w:rPr>
          <w:rFonts w:hint="eastAsia"/>
          <w:color w:val="auto"/>
          <w:highlight w:val="none"/>
          <w:lang w:val="en-US" w:eastAsia="zh-CN"/>
        </w:rPr>
        <w:t>:保障单位职工应有福利，接收处理城乡建设领域的信访工作。</w:t>
      </w:r>
    </w:p>
    <w:p>
      <w:pPr>
        <w:numPr>
          <w:ilvl w:val="0"/>
          <w:numId w:val="1"/>
        </w:numPr>
        <w:ind w:left="0" w:leftChars="0" w:firstLine="560" w:firstLineChars="200"/>
        <w:rPr>
          <w:color w:val="auto"/>
          <w:highlight w:val="none"/>
        </w:rPr>
      </w:pPr>
      <w:r>
        <w:rPr>
          <w:rFonts w:hint="eastAsia"/>
          <w:color w:val="auto"/>
          <w:highlight w:val="none"/>
          <w:lang w:eastAsia="zh-CN"/>
        </w:rPr>
        <w:t>建筑业管理和建设工程质量安全监督办公室</w:t>
      </w:r>
      <w:r>
        <w:rPr>
          <w:rFonts w:hint="eastAsia"/>
          <w:color w:val="auto"/>
          <w:highlight w:val="none"/>
          <w:lang w:val="en-US" w:eastAsia="zh-CN"/>
        </w:rPr>
        <w:t>:</w:t>
      </w:r>
      <w:r>
        <w:rPr>
          <w:rFonts w:hint="eastAsia"/>
          <w:color w:val="auto"/>
          <w:highlight w:val="none"/>
        </w:rPr>
        <w:t>监督管理全县建筑市场、规范各方主体行为。承担建筑工程质量安全监督责任。</w:t>
      </w:r>
    </w:p>
    <w:p>
      <w:pPr>
        <w:numPr>
          <w:ilvl w:val="0"/>
          <w:numId w:val="1"/>
        </w:numPr>
        <w:ind w:left="0" w:leftChars="0" w:firstLine="560" w:firstLineChars="200"/>
        <w:rPr>
          <w:color w:val="auto"/>
          <w:highlight w:val="none"/>
        </w:rPr>
      </w:pPr>
      <w:r>
        <w:rPr>
          <w:rFonts w:hint="eastAsia"/>
          <w:color w:val="auto"/>
          <w:highlight w:val="none"/>
          <w:lang w:eastAsia="zh-CN"/>
        </w:rPr>
        <w:t>住房保障和房产管理办公室</w:t>
      </w:r>
      <w:r>
        <w:rPr>
          <w:rFonts w:hint="eastAsia"/>
          <w:color w:val="auto"/>
          <w:highlight w:val="none"/>
          <w:lang w:val="en-US" w:eastAsia="zh-CN"/>
        </w:rPr>
        <w:t>:</w:t>
      </w:r>
      <w:r>
        <w:rPr>
          <w:rFonts w:hint="eastAsia"/>
          <w:color w:val="auto"/>
          <w:highlight w:val="none"/>
        </w:rPr>
        <w:t>负责保障城镇低收入家庭住房的调查审核责任</w:t>
      </w:r>
      <w:r>
        <w:rPr>
          <w:rFonts w:hint="eastAsia"/>
          <w:color w:val="auto"/>
          <w:highlight w:val="none"/>
          <w:lang w:eastAsia="zh-CN"/>
        </w:rPr>
        <w:t>，</w:t>
      </w:r>
      <w:r>
        <w:rPr>
          <w:rFonts w:hint="eastAsia"/>
          <w:color w:val="auto"/>
          <w:highlight w:val="none"/>
        </w:rPr>
        <w:t>推进住房制度改革的责任</w:t>
      </w:r>
      <w:r>
        <w:rPr>
          <w:rFonts w:hint="eastAsia"/>
          <w:color w:val="auto"/>
          <w:highlight w:val="none"/>
          <w:lang w:eastAsia="zh-CN"/>
        </w:rPr>
        <w:t>，</w:t>
      </w:r>
      <w:r>
        <w:rPr>
          <w:rFonts w:hint="eastAsia"/>
          <w:color w:val="auto"/>
          <w:highlight w:val="none"/>
        </w:rPr>
        <w:t>规范房地产市场秩序、监督管理房地产市场的责任</w:t>
      </w:r>
      <w:r>
        <w:rPr>
          <w:rFonts w:hint="eastAsia"/>
          <w:color w:val="auto"/>
          <w:highlight w:val="none"/>
          <w:lang w:eastAsia="zh-CN"/>
        </w:rPr>
        <w:t>。</w:t>
      </w:r>
    </w:p>
    <w:p>
      <w:pPr>
        <w:numPr>
          <w:ilvl w:val="0"/>
          <w:numId w:val="1"/>
        </w:numPr>
        <w:ind w:left="0" w:leftChars="0" w:firstLine="560" w:firstLineChars="200"/>
        <w:rPr>
          <w:color w:val="auto"/>
          <w:highlight w:val="none"/>
        </w:rPr>
      </w:pPr>
      <w:r>
        <w:rPr>
          <w:rFonts w:hint="eastAsia"/>
          <w:color w:val="auto"/>
          <w:highlight w:val="none"/>
          <w:lang w:eastAsia="zh-CN"/>
        </w:rPr>
        <w:t>城市建设管理办公室</w:t>
      </w:r>
      <w:r>
        <w:rPr>
          <w:rFonts w:hint="eastAsia"/>
          <w:color w:val="auto"/>
          <w:highlight w:val="none"/>
          <w:lang w:val="en-US" w:eastAsia="zh-CN"/>
        </w:rPr>
        <w:t>:</w:t>
      </w:r>
      <w:r>
        <w:rPr>
          <w:rFonts w:hint="eastAsia"/>
          <w:color w:val="auto"/>
          <w:highlight w:val="none"/>
        </w:rPr>
        <w:t xml:space="preserve"> </w:t>
      </w:r>
      <w:r>
        <w:rPr>
          <w:rFonts w:hint="eastAsia"/>
          <w:color w:val="auto"/>
          <w:highlight w:val="none"/>
          <w:lang w:eastAsia="zh-CN"/>
        </w:rPr>
        <w:t>负责制定</w:t>
      </w:r>
      <w:r>
        <w:rPr>
          <w:rFonts w:hint="eastAsia"/>
          <w:color w:val="auto"/>
          <w:highlight w:val="none"/>
        </w:rPr>
        <w:t>城市建设的</w:t>
      </w:r>
      <w:r>
        <w:rPr>
          <w:rFonts w:hint="eastAsia"/>
          <w:color w:val="auto"/>
          <w:highlight w:val="none"/>
          <w:lang w:eastAsia="zh-CN"/>
        </w:rPr>
        <w:t>管理</w:t>
      </w:r>
      <w:r>
        <w:rPr>
          <w:rFonts w:hint="eastAsia"/>
          <w:color w:val="auto"/>
          <w:highlight w:val="none"/>
        </w:rPr>
        <w:t>办法、规划并组织实施。承担推进建筑技能、城镇减排的责任</w:t>
      </w:r>
      <w:r>
        <w:rPr>
          <w:rFonts w:hint="eastAsia"/>
          <w:color w:val="auto"/>
          <w:highlight w:val="none"/>
          <w:lang w:eastAsia="zh-CN"/>
        </w:rPr>
        <w:t>，</w:t>
      </w:r>
      <w:r>
        <w:rPr>
          <w:rFonts w:hint="eastAsia"/>
          <w:color w:val="auto"/>
          <w:highlight w:val="none"/>
        </w:rPr>
        <w:t>县住房制度改革领导小组的日常工作。</w:t>
      </w:r>
    </w:p>
    <w:p>
      <w:pPr>
        <w:numPr>
          <w:ilvl w:val="0"/>
          <w:numId w:val="1"/>
        </w:numPr>
        <w:ind w:left="0" w:leftChars="0" w:firstLine="560" w:firstLineChars="200"/>
        <w:rPr>
          <w:color w:val="auto"/>
          <w:highlight w:val="none"/>
        </w:rPr>
      </w:pPr>
      <w:r>
        <w:rPr>
          <w:rFonts w:hint="eastAsia"/>
          <w:color w:val="auto"/>
          <w:highlight w:val="none"/>
          <w:lang w:eastAsia="zh-CN"/>
        </w:rPr>
        <w:t>项目管理办公室</w:t>
      </w:r>
      <w:r>
        <w:rPr>
          <w:rFonts w:hint="eastAsia"/>
          <w:color w:val="auto"/>
          <w:highlight w:val="none"/>
          <w:lang w:val="en-US" w:eastAsia="zh-CN"/>
        </w:rPr>
        <w:t>:</w:t>
      </w:r>
      <w:r>
        <w:rPr>
          <w:rFonts w:hint="eastAsia"/>
          <w:color w:val="auto"/>
          <w:highlight w:val="none"/>
        </w:rPr>
        <w:t>承办建立科学规范的住房和城乡建设地方标准体系的责任。组织拟定住房和城乡建设的地方性标准、拟订建设项目可行性研究报告平价方法、经济参数建设标准和工程造价的管理制度、拟定公共服务设施 (不含通讯设施) 建设标准并监督执行、指导监督各类工程建设标准定额实施和工程造价计价、组织发布工程造价信息。</w:t>
      </w:r>
    </w:p>
    <w:p>
      <w:pPr>
        <w:numPr>
          <w:ilvl w:val="0"/>
          <w:numId w:val="1"/>
        </w:numPr>
        <w:ind w:left="0" w:leftChars="0" w:firstLine="560" w:firstLineChars="200"/>
        <w:rPr>
          <w:color w:val="auto"/>
          <w:highlight w:val="none"/>
        </w:rPr>
      </w:pPr>
      <w:r>
        <w:rPr>
          <w:rFonts w:hint="eastAsia"/>
          <w:color w:val="auto"/>
          <w:highlight w:val="none"/>
          <w:lang w:eastAsia="zh-CN"/>
        </w:rPr>
        <w:t>人防办业务科：积极响应人民防空要求，完善城市人防工程建设。</w:t>
      </w:r>
    </w:p>
    <w:p>
      <w:pPr>
        <w:numPr>
          <w:ilvl w:val="0"/>
          <w:numId w:val="1"/>
        </w:numPr>
        <w:ind w:left="0" w:leftChars="0" w:firstLine="560" w:firstLineChars="200"/>
        <w:rPr>
          <w:color w:val="auto"/>
          <w:highlight w:val="none"/>
        </w:rPr>
      </w:pPr>
      <w:r>
        <w:rPr>
          <w:rFonts w:hint="eastAsia"/>
          <w:color w:val="auto"/>
          <w:highlight w:val="none"/>
          <w:lang w:eastAsia="zh-CN"/>
        </w:rPr>
        <w:t>城建档案室：保管及管理城市建设项目的文件档案。</w:t>
      </w:r>
    </w:p>
    <w:p>
      <w:pPr>
        <w:numPr>
          <w:ilvl w:val="0"/>
          <w:numId w:val="1"/>
        </w:numPr>
        <w:ind w:left="0" w:leftChars="0" w:firstLine="560" w:firstLineChars="200"/>
        <w:rPr>
          <w:color w:val="auto"/>
          <w:highlight w:val="none"/>
        </w:rPr>
      </w:pPr>
      <w:r>
        <w:rPr>
          <w:rFonts w:hint="eastAsia"/>
          <w:color w:val="auto"/>
          <w:highlight w:val="none"/>
          <w:lang w:eastAsia="zh-CN"/>
        </w:rPr>
        <w:t>村镇办：</w:t>
      </w:r>
      <w:r>
        <w:rPr>
          <w:rFonts w:hint="eastAsia"/>
          <w:color w:val="auto"/>
          <w:highlight w:val="none"/>
        </w:rPr>
        <w:t>负责规范和指导全县村镇建设的责任</w:t>
      </w:r>
      <w:r>
        <w:rPr>
          <w:rFonts w:hint="eastAsia"/>
          <w:color w:val="auto"/>
          <w:highlight w:val="none"/>
          <w:lang w:eastAsia="zh-CN"/>
        </w:rPr>
        <w:t>，</w:t>
      </w:r>
      <w:r>
        <w:rPr>
          <w:rFonts w:hint="eastAsia"/>
          <w:color w:val="auto"/>
          <w:highlight w:val="none"/>
        </w:rPr>
        <w:t>综合管理城乡建设抗震减灾工作。</w:t>
      </w:r>
    </w:p>
    <w:p>
      <w:pPr>
        <w:numPr>
          <w:ilvl w:val="0"/>
          <w:numId w:val="1"/>
        </w:numPr>
        <w:ind w:left="0" w:leftChars="0" w:firstLine="560" w:firstLineChars="200"/>
        <w:rPr>
          <w:color w:val="auto"/>
          <w:highlight w:val="none"/>
        </w:rPr>
      </w:pPr>
      <w:r>
        <w:rPr>
          <w:rFonts w:hint="eastAsia"/>
          <w:color w:val="auto"/>
          <w:highlight w:val="none"/>
        </w:rPr>
        <w:t>环境卫生</w:t>
      </w:r>
      <w:r>
        <w:rPr>
          <w:rFonts w:hint="eastAsia"/>
          <w:color w:val="auto"/>
          <w:highlight w:val="none"/>
          <w:lang w:eastAsia="zh-CN"/>
        </w:rPr>
        <w:t>服务</w:t>
      </w:r>
      <w:r>
        <w:rPr>
          <w:rFonts w:hint="eastAsia"/>
          <w:color w:val="auto"/>
          <w:highlight w:val="none"/>
        </w:rPr>
        <w:t>中心</w:t>
      </w:r>
      <w:r>
        <w:rPr>
          <w:rFonts w:hint="eastAsia"/>
          <w:color w:val="auto"/>
          <w:highlight w:val="none"/>
          <w:lang w:eastAsia="zh-CN"/>
        </w:rPr>
        <w:t>：保障城市环境卫生及市容市貌监督管理。</w:t>
      </w:r>
    </w:p>
    <w:p>
      <w:pPr>
        <w:numPr>
          <w:ilvl w:val="0"/>
          <w:numId w:val="1"/>
        </w:numPr>
        <w:ind w:left="0" w:leftChars="0" w:firstLine="560" w:firstLineChars="200"/>
        <w:rPr>
          <w:color w:val="auto"/>
          <w:highlight w:val="none"/>
        </w:rPr>
      </w:pPr>
      <w:r>
        <w:rPr>
          <w:rFonts w:hint="eastAsia"/>
          <w:color w:val="auto"/>
          <w:highlight w:val="none"/>
        </w:rPr>
        <w:t>园林绿化</w:t>
      </w:r>
      <w:r>
        <w:rPr>
          <w:rFonts w:hint="eastAsia"/>
          <w:color w:val="auto"/>
          <w:highlight w:val="none"/>
          <w:lang w:eastAsia="zh-CN"/>
        </w:rPr>
        <w:t>环境服务</w:t>
      </w:r>
      <w:r>
        <w:rPr>
          <w:rFonts w:hint="eastAsia"/>
          <w:color w:val="auto"/>
          <w:highlight w:val="none"/>
        </w:rPr>
        <w:t>中心</w:t>
      </w:r>
      <w:r>
        <w:rPr>
          <w:rFonts w:hint="eastAsia"/>
          <w:color w:val="auto"/>
          <w:highlight w:val="none"/>
          <w:lang w:eastAsia="zh-CN"/>
        </w:rPr>
        <w:t>：保障城市建设绿化建设。</w:t>
      </w:r>
    </w:p>
    <w:p>
      <w:pPr>
        <w:numPr>
          <w:ilvl w:val="0"/>
          <w:numId w:val="1"/>
        </w:numPr>
        <w:ind w:left="0" w:leftChars="0" w:firstLine="560" w:firstLineChars="200"/>
        <w:rPr>
          <w:color w:val="auto"/>
          <w:highlight w:val="none"/>
        </w:rPr>
      </w:pPr>
      <w:r>
        <w:rPr>
          <w:rFonts w:hint="eastAsia"/>
          <w:color w:val="auto"/>
          <w:highlight w:val="none"/>
        </w:rPr>
        <w:t>房产管理局和国有土地上房屋征收与补偿管理办公室</w:t>
      </w:r>
      <w:r>
        <w:rPr>
          <w:rFonts w:hint="eastAsia"/>
          <w:color w:val="auto"/>
          <w:highlight w:val="none"/>
          <w:lang w:eastAsia="zh-CN"/>
        </w:rPr>
        <w:t>：</w:t>
      </w:r>
      <w:r>
        <w:rPr>
          <w:rFonts w:hint="eastAsia"/>
          <w:color w:val="auto"/>
          <w:highlight w:val="none"/>
        </w:rPr>
        <w:t>增加国有土地上房屋征收与补偿管理职责。</w:t>
      </w:r>
    </w:p>
    <w:p>
      <w:pPr>
        <w:numPr>
          <w:ilvl w:val="0"/>
          <w:numId w:val="1"/>
        </w:numPr>
        <w:ind w:left="0" w:leftChars="0" w:firstLine="560" w:firstLineChars="200"/>
        <w:rPr>
          <w:rFonts w:hint="eastAsia"/>
          <w:color w:val="auto"/>
          <w:highlight w:val="none"/>
          <w:lang w:eastAsia="zh-CN"/>
        </w:rPr>
      </w:pPr>
      <w:r>
        <w:rPr>
          <w:rFonts w:hint="eastAsia"/>
          <w:color w:val="auto"/>
          <w:highlight w:val="none"/>
        </w:rPr>
        <w:t>城乡建设服务中心</w:t>
      </w:r>
      <w:r>
        <w:rPr>
          <w:rFonts w:hint="eastAsia"/>
          <w:color w:val="auto"/>
          <w:highlight w:val="none"/>
          <w:lang w:eastAsia="zh-CN"/>
        </w:rPr>
        <w:t>：</w:t>
      </w:r>
      <w:r>
        <w:rPr>
          <w:rFonts w:hint="eastAsia"/>
          <w:color w:val="auto"/>
          <w:highlight w:val="none"/>
        </w:rPr>
        <w:t>负责规范住房和城乡建设管理秩序的责任。</w:t>
      </w:r>
    </w:p>
    <w:p>
      <w:pPr>
        <w:pStyle w:val="4"/>
        <w:ind w:firstLine="562"/>
        <w:rPr>
          <w:color w:val="auto"/>
          <w:sz w:val="32"/>
          <w:szCs w:val="32"/>
        </w:rPr>
      </w:pPr>
      <w:r>
        <w:rPr>
          <w:rFonts w:hint="eastAsia"/>
          <w:color w:val="auto"/>
          <w:sz w:val="32"/>
          <w:szCs w:val="32"/>
        </w:rPr>
        <w:t>（</w:t>
      </w:r>
      <w:r>
        <w:rPr>
          <w:rFonts w:hint="eastAsia"/>
          <w:color w:val="auto"/>
          <w:sz w:val="32"/>
          <w:szCs w:val="32"/>
          <w:lang w:val="en-US" w:eastAsia="zh-CN"/>
        </w:rPr>
        <w:t>三</w:t>
      </w:r>
      <w:r>
        <w:rPr>
          <w:rFonts w:hint="eastAsia"/>
          <w:color w:val="auto"/>
          <w:sz w:val="32"/>
          <w:szCs w:val="32"/>
        </w:rPr>
        <w:t>）</w:t>
      </w:r>
      <w:r>
        <w:rPr>
          <w:rStyle w:val="18"/>
          <w:rFonts w:hint="eastAsia" w:ascii="楷体" w:hAnsi="楷体" w:eastAsia="楷体" w:cs="楷体"/>
          <w:b/>
          <w:bCs w:val="0"/>
          <w:color w:val="auto"/>
          <w:spacing w:val="-4"/>
          <w:sz w:val="32"/>
          <w:szCs w:val="32"/>
          <w:lang w:val="en-US" w:eastAsia="zh-CN"/>
        </w:rPr>
        <w:t>部门单位整体预算规模及安排情况</w:t>
      </w:r>
    </w:p>
    <w:p>
      <w:pPr>
        <w:pStyle w:val="5"/>
        <w:ind w:firstLine="562"/>
        <w:rPr>
          <w:rFonts w:hint="default" w:cs="Times New Roman"/>
          <w:color w:val="auto"/>
          <w:szCs w:val="28"/>
          <w:highlight w:val="none"/>
          <w:lang w:val="en-US" w:eastAsia="zh-CN"/>
        </w:rPr>
      </w:pPr>
      <w:r>
        <w:rPr>
          <w:rFonts w:hint="eastAsia" w:cs="Times New Roman"/>
          <w:color w:val="auto"/>
          <w:szCs w:val="28"/>
          <w:highlight w:val="none"/>
          <w:lang w:val="en-US" w:eastAsia="zh-CN"/>
        </w:rPr>
        <w:t>1、年初预算安排</w:t>
      </w:r>
    </w:p>
    <w:p>
      <w:pPr>
        <w:bidi w:val="0"/>
        <w:rPr>
          <w:rFonts w:hint="default"/>
          <w:color w:val="auto"/>
          <w:lang w:val="en-US" w:eastAsia="zh-CN"/>
        </w:rPr>
      </w:pPr>
      <w:r>
        <w:rPr>
          <w:rFonts w:hint="eastAsia"/>
          <w:color w:val="auto"/>
          <w:lang w:val="en-US" w:eastAsia="zh-CN"/>
        </w:rPr>
        <w:t>我单位预算编制和分配符合部门职责和任务要求，按照全口径预算的原则，2023年所有收入和支出均纳入单位预算管理。</w:t>
      </w:r>
    </w:p>
    <w:p>
      <w:pPr>
        <w:numPr>
          <w:ilvl w:val="0"/>
          <w:numId w:val="2"/>
        </w:numPr>
        <w:bidi w:val="0"/>
        <w:rPr>
          <w:rFonts w:hint="eastAsia"/>
          <w:color w:val="auto"/>
          <w:lang w:val="en-US" w:eastAsia="zh-CN"/>
        </w:rPr>
      </w:pPr>
      <w:r>
        <w:rPr>
          <w:rFonts w:hint="eastAsia"/>
          <w:color w:val="auto"/>
          <w:lang w:val="en-US" w:eastAsia="zh-CN"/>
        </w:rPr>
        <w:t>年初预算收入安排：2023年我单位年初收入预算为13730.04万元，其中：</w:t>
      </w:r>
      <w:r>
        <w:rPr>
          <w:rFonts w:hint="default"/>
          <w:color w:val="auto"/>
          <w:lang w:val="en-US" w:eastAsia="zh-CN"/>
        </w:rPr>
        <w:t>一般公共预算</w:t>
      </w:r>
      <w:r>
        <w:rPr>
          <w:rFonts w:hint="eastAsia"/>
          <w:color w:val="auto"/>
          <w:lang w:val="en-US" w:eastAsia="zh-CN"/>
        </w:rPr>
        <w:t>财政拨款收入6981.69</w:t>
      </w:r>
      <w:r>
        <w:rPr>
          <w:rFonts w:hint="default"/>
          <w:color w:val="auto"/>
          <w:lang w:val="en-US" w:eastAsia="zh-CN"/>
        </w:rPr>
        <w:t>万元，</w:t>
      </w:r>
      <w:r>
        <w:rPr>
          <w:rFonts w:hint="eastAsia"/>
          <w:color w:val="auto"/>
          <w:lang w:val="en-US" w:eastAsia="zh-CN"/>
        </w:rPr>
        <w:t>占比50.85</w:t>
      </w:r>
      <w:r>
        <w:rPr>
          <w:rFonts w:hint="default"/>
          <w:color w:val="auto"/>
          <w:lang w:val="en-US" w:eastAsia="zh-CN"/>
        </w:rPr>
        <w:t>%</w:t>
      </w:r>
      <w:r>
        <w:rPr>
          <w:rFonts w:hint="eastAsia"/>
          <w:color w:val="auto"/>
          <w:lang w:val="en-US" w:eastAsia="zh-CN"/>
        </w:rPr>
        <w:t>;</w:t>
      </w:r>
      <w:r>
        <w:rPr>
          <w:rFonts w:hint="default"/>
          <w:color w:val="auto"/>
          <w:lang w:val="en-US" w:eastAsia="zh-CN"/>
        </w:rPr>
        <w:t>政府性基金预算</w:t>
      </w:r>
      <w:r>
        <w:rPr>
          <w:rFonts w:hint="eastAsia"/>
          <w:color w:val="auto"/>
          <w:lang w:val="en-US" w:eastAsia="zh-CN"/>
        </w:rPr>
        <w:t>财政拨款收入1848</w:t>
      </w:r>
      <w:r>
        <w:rPr>
          <w:rFonts w:hint="default"/>
          <w:color w:val="auto"/>
          <w:lang w:val="en-US" w:eastAsia="zh-CN"/>
        </w:rPr>
        <w:t>万元，</w:t>
      </w:r>
      <w:r>
        <w:rPr>
          <w:rFonts w:hint="eastAsia"/>
          <w:color w:val="auto"/>
          <w:lang w:val="en-US" w:eastAsia="zh-CN"/>
        </w:rPr>
        <w:t>占比13.46</w:t>
      </w:r>
      <w:r>
        <w:rPr>
          <w:rFonts w:hint="default"/>
          <w:color w:val="auto"/>
          <w:lang w:val="en-US" w:eastAsia="zh-CN"/>
        </w:rPr>
        <w:t>%</w:t>
      </w:r>
      <w:r>
        <w:rPr>
          <w:rFonts w:hint="eastAsia"/>
          <w:color w:val="auto"/>
          <w:lang w:val="en-US" w:eastAsia="zh-CN"/>
        </w:rPr>
        <w:t>，国有资本经营预算未安排预算收入；其他收入205.83万元 ，占比1.5%；年初结转结余4694.52万元，占比34.19%。</w:t>
      </w:r>
    </w:p>
    <w:p>
      <w:pPr>
        <w:pStyle w:val="7"/>
        <w:rPr>
          <w:rFonts w:hint="default"/>
          <w:color w:val="auto"/>
          <w:lang w:val="en-US" w:eastAsia="zh-CN"/>
        </w:rPr>
      </w:pPr>
      <w:r>
        <w:rPr>
          <w:rFonts w:hint="eastAsia"/>
          <w:color w:val="auto"/>
          <w:lang w:val="en-US" w:eastAsia="zh-CN"/>
        </w:rPr>
        <w:t>（2）年初预算支出安排：2023年我单位年初支出预算为13730.04万元，其中：基本支出3164.55万元，占比23.05%；项目支出10565.49万元，占比76.95%。</w:t>
      </w:r>
    </w:p>
    <w:p>
      <w:pPr>
        <w:pStyle w:val="5"/>
        <w:ind w:firstLine="562"/>
        <w:rPr>
          <w:rFonts w:hint="default" w:cs="Times New Roman"/>
          <w:color w:val="auto"/>
          <w:szCs w:val="28"/>
          <w:highlight w:val="none"/>
          <w:lang w:val="en-US" w:eastAsia="zh-CN"/>
        </w:rPr>
      </w:pPr>
      <w:r>
        <w:rPr>
          <w:rFonts w:hint="eastAsia" w:cs="Times New Roman"/>
          <w:color w:val="auto"/>
          <w:szCs w:val="28"/>
          <w:highlight w:val="none"/>
          <w:lang w:val="en-US" w:eastAsia="zh-CN"/>
        </w:rPr>
        <w:t>2、年中调整（追加减）情况</w:t>
      </w:r>
    </w:p>
    <w:p>
      <w:pPr>
        <w:ind w:firstLine="560"/>
        <w:rPr>
          <w:rFonts w:hint="default"/>
          <w:color w:val="auto"/>
          <w:szCs w:val="28"/>
          <w:lang w:val="en-US" w:eastAsia="zh-CN"/>
        </w:rPr>
      </w:pPr>
      <w:r>
        <w:rPr>
          <w:rFonts w:hint="eastAsia"/>
          <w:color w:val="auto"/>
          <w:lang w:val="en-US" w:eastAsia="zh-CN"/>
        </w:rPr>
        <w:t>2023年我单位年初部门整体预算数为13730.04万元，年中调整追加共计60950.69万元，其中：基本支出调整追减209.81万元，主要原因是：人员减少，办公经费支出较上年度减少；项目支出调整追加61160.5万元，主要原因是：化解往年项目欠款支出增加。调整后整体全年预算数为74680.73万元，预算调整率为443.92%</w:t>
      </w:r>
      <w:r>
        <w:rPr>
          <w:rFonts w:hint="eastAsia"/>
          <w:color w:val="auto"/>
          <w:szCs w:val="28"/>
        </w:rPr>
        <w:t>。</w:t>
      </w:r>
    </w:p>
    <w:p>
      <w:pPr>
        <w:pStyle w:val="5"/>
        <w:ind w:firstLine="562"/>
        <w:rPr>
          <w:rFonts w:hint="default" w:cs="Times New Roman"/>
          <w:color w:val="auto"/>
          <w:szCs w:val="28"/>
          <w:highlight w:val="none"/>
          <w:lang w:val="en-US" w:eastAsia="zh-CN"/>
        </w:rPr>
      </w:pPr>
      <w:r>
        <w:rPr>
          <w:rFonts w:hint="eastAsia" w:cs="Times New Roman"/>
          <w:color w:val="auto"/>
          <w:szCs w:val="28"/>
          <w:highlight w:val="none"/>
          <w:lang w:val="en-US" w:eastAsia="zh-CN"/>
        </w:rPr>
        <w:t>3、资金使用主要内容、涉及的范围</w:t>
      </w:r>
    </w:p>
    <w:p>
      <w:pPr>
        <w:bidi w:val="0"/>
        <w:rPr>
          <w:rFonts w:hint="default"/>
          <w:color w:val="auto"/>
          <w:lang w:val="en-US" w:eastAsia="zh-CN"/>
        </w:rPr>
      </w:pPr>
      <w:r>
        <w:rPr>
          <w:rFonts w:hint="eastAsia"/>
          <w:color w:val="auto"/>
          <w:lang w:val="en-US" w:eastAsia="zh-CN"/>
        </w:rPr>
        <w:t>我</w:t>
      </w:r>
      <w:r>
        <w:rPr>
          <w:rFonts w:hint="default"/>
          <w:color w:val="auto"/>
          <w:lang w:val="en-US" w:eastAsia="zh-CN"/>
        </w:rPr>
        <w:t>单位年初根据单位职能及工作计划按照“量入为出、收支平衡”的原则，编制</w:t>
      </w:r>
      <w:r>
        <w:rPr>
          <w:rFonts w:hint="eastAsia"/>
          <w:color w:val="auto"/>
          <w:lang w:val="en-US" w:eastAsia="zh-CN"/>
        </w:rPr>
        <w:t>完成</w:t>
      </w:r>
      <w:r>
        <w:rPr>
          <w:rFonts w:hint="default"/>
          <w:color w:val="auto"/>
          <w:lang w:val="en-US" w:eastAsia="zh-CN"/>
        </w:rPr>
        <w:t>部门预算。</w:t>
      </w:r>
      <w:r>
        <w:rPr>
          <w:rFonts w:hint="eastAsia"/>
          <w:color w:val="auto"/>
          <w:lang w:val="en-US" w:eastAsia="zh-CN"/>
        </w:rPr>
        <w:t>其中：</w:t>
      </w:r>
    </w:p>
    <w:p>
      <w:pPr>
        <w:bidi w:val="0"/>
        <w:rPr>
          <w:rFonts w:hint="default"/>
          <w:color w:val="auto"/>
          <w:lang w:val="en-US" w:eastAsia="zh-CN"/>
        </w:rPr>
      </w:pPr>
      <w:r>
        <w:rPr>
          <w:rFonts w:hint="eastAsia"/>
          <w:color w:val="auto"/>
          <w:lang w:val="en-US" w:eastAsia="zh-CN"/>
        </w:rPr>
        <w:t>（1）</w:t>
      </w:r>
      <w:r>
        <w:rPr>
          <w:rFonts w:hint="default"/>
          <w:color w:val="auto"/>
          <w:lang w:val="en-US" w:eastAsia="zh-CN"/>
        </w:rPr>
        <w:t>基本支出预算包括人员支出、基本公用支出、对个人和家庭的补助支出，人员支出预算包括</w:t>
      </w:r>
      <w:r>
        <w:rPr>
          <w:rFonts w:hint="eastAsia"/>
          <w:color w:val="auto"/>
          <w:lang w:val="en-US" w:eastAsia="zh-CN"/>
        </w:rPr>
        <w:t>基本工资、津贴补贴、奖金、绩效工资、机关事业单位基本养老保险缴费、职业年金缴费、职工基本医疗保险缴费、其他社会保障缴费、住房公积金、其他工资福利支出</w:t>
      </w:r>
      <w:r>
        <w:rPr>
          <w:rFonts w:hint="default"/>
          <w:color w:val="auto"/>
          <w:lang w:val="en-US" w:eastAsia="zh-CN"/>
        </w:rPr>
        <w:t>，按照机构编制人数（实有人数大于编制数，按编制人数；实有人数小于编制数，按实有人数）和国家规定标准计算；基本公用支出包括办公费</w:t>
      </w:r>
      <w:r>
        <w:rPr>
          <w:rFonts w:hint="eastAsia"/>
          <w:color w:val="auto"/>
          <w:lang w:val="en-US" w:eastAsia="zh-CN"/>
        </w:rPr>
        <w:t>、</w:t>
      </w:r>
      <w:r>
        <w:rPr>
          <w:rFonts w:hint="default"/>
          <w:color w:val="auto"/>
          <w:lang w:val="en-US" w:eastAsia="zh-CN"/>
        </w:rPr>
        <w:t>印刷费</w:t>
      </w:r>
      <w:r>
        <w:rPr>
          <w:rFonts w:hint="eastAsia"/>
          <w:color w:val="auto"/>
          <w:lang w:val="en-US" w:eastAsia="zh-CN"/>
        </w:rPr>
        <w:t>、</w:t>
      </w:r>
      <w:r>
        <w:rPr>
          <w:rFonts w:hint="default"/>
          <w:color w:val="auto"/>
          <w:lang w:val="en-US" w:eastAsia="zh-CN"/>
        </w:rPr>
        <w:t>咨询费</w:t>
      </w:r>
      <w:r>
        <w:rPr>
          <w:rFonts w:hint="eastAsia"/>
          <w:color w:val="auto"/>
          <w:lang w:val="en-US" w:eastAsia="zh-CN"/>
        </w:rPr>
        <w:t>、</w:t>
      </w:r>
      <w:r>
        <w:rPr>
          <w:rFonts w:hint="default"/>
          <w:color w:val="auto"/>
          <w:lang w:val="en-US" w:eastAsia="zh-CN"/>
        </w:rPr>
        <w:t>邮电费</w:t>
      </w:r>
      <w:r>
        <w:rPr>
          <w:rFonts w:hint="eastAsia"/>
          <w:color w:val="auto"/>
          <w:lang w:val="en-US" w:eastAsia="zh-CN"/>
        </w:rPr>
        <w:t>、</w:t>
      </w:r>
      <w:r>
        <w:rPr>
          <w:rFonts w:hint="default"/>
          <w:color w:val="auto"/>
          <w:lang w:val="en-US" w:eastAsia="zh-CN"/>
        </w:rPr>
        <w:t>差旅费</w:t>
      </w:r>
      <w:r>
        <w:rPr>
          <w:rFonts w:hint="eastAsia"/>
          <w:color w:val="auto"/>
          <w:lang w:val="en-US" w:eastAsia="zh-CN"/>
        </w:rPr>
        <w:t>、</w:t>
      </w:r>
      <w:r>
        <w:rPr>
          <w:rFonts w:hint="default"/>
          <w:color w:val="auto"/>
          <w:lang w:val="en-US" w:eastAsia="zh-CN"/>
        </w:rPr>
        <w:t>维修</w:t>
      </w:r>
      <w:r>
        <w:rPr>
          <w:rFonts w:hint="eastAsia"/>
          <w:color w:val="auto"/>
          <w:lang w:val="en-US" w:eastAsia="zh-CN"/>
        </w:rPr>
        <w:t>（</w:t>
      </w:r>
      <w:r>
        <w:rPr>
          <w:rFonts w:hint="default"/>
          <w:color w:val="auto"/>
          <w:lang w:val="en-US" w:eastAsia="zh-CN"/>
        </w:rPr>
        <w:t>护）费培训费</w:t>
      </w:r>
      <w:r>
        <w:rPr>
          <w:rFonts w:hint="eastAsia"/>
          <w:color w:val="auto"/>
          <w:lang w:val="en-US" w:eastAsia="zh-CN"/>
        </w:rPr>
        <w:t>、</w:t>
      </w:r>
      <w:r>
        <w:rPr>
          <w:rFonts w:hint="default"/>
          <w:color w:val="auto"/>
          <w:lang w:val="en-US" w:eastAsia="zh-CN"/>
        </w:rPr>
        <w:t>专用材料费</w:t>
      </w:r>
      <w:r>
        <w:rPr>
          <w:rFonts w:hint="eastAsia"/>
          <w:color w:val="auto"/>
          <w:lang w:val="en-US" w:eastAsia="zh-CN"/>
        </w:rPr>
        <w:t>、</w:t>
      </w:r>
      <w:r>
        <w:rPr>
          <w:rFonts w:hint="default"/>
          <w:color w:val="auto"/>
          <w:lang w:val="en-US" w:eastAsia="zh-CN"/>
        </w:rPr>
        <w:t>工会经费</w:t>
      </w:r>
      <w:r>
        <w:rPr>
          <w:rFonts w:hint="eastAsia"/>
          <w:color w:val="auto"/>
          <w:lang w:val="en-US" w:eastAsia="zh-CN"/>
        </w:rPr>
        <w:t>、</w:t>
      </w:r>
      <w:r>
        <w:rPr>
          <w:rFonts w:hint="default"/>
          <w:color w:val="auto"/>
          <w:lang w:val="en-US" w:eastAsia="zh-CN"/>
        </w:rPr>
        <w:t>公务用车运行维护费</w:t>
      </w:r>
      <w:r>
        <w:rPr>
          <w:rFonts w:hint="eastAsia"/>
          <w:color w:val="auto"/>
          <w:lang w:val="en-US" w:eastAsia="zh-CN"/>
        </w:rPr>
        <w:t>、</w:t>
      </w:r>
      <w:r>
        <w:rPr>
          <w:rFonts w:hint="default"/>
          <w:color w:val="auto"/>
          <w:lang w:val="en-US" w:eastAsia="zh-CN"/>
        </w:rPr>
        <w:t>其他交通费用</w:t>
      </w:r>
      <w:r>
        <w:rPr>
          <w:rFonts w:hint="eastAsia"/>
          <w:color w:val="auto"/>
          <w:lang w:val="en-US" w:eastAsia="zh-CN"/>
        </w:rPr>
        <w:t>、</w:t>
      </w:r>
      <w:r>
        <w:rPr>
          <w:rFonts w:hint="default"/>
          <w:color w:val="auto"/>
          <w:lang w:val="en-US" w:eastAsia="zh-CN"/>
        </w:rPr>
        <w:t>其他商品和服务支出，按照国家有关规定和财政部门下达的控制数计算；对个人和家庭的补助支出预算包括退休费</w:t>
      </w:r>
      <w:r>
        <w:rPr>
          <w:rFonts w:hint="eastAsia"/>
          <w:color w:val="auto"/>
          <w:lang w:val="en-US" w:eastAsia="zh-CN"/>
        </w:rPr>
        <w:t>、</w:t>
      </w:r>
      <w:r>
        <w:rPr>
          <w:rFonts w:hint="default"/>
          <w:color w:val="auto"/>
          <w:lang w:val="en-US" w:eastAsia="zh-CN"/>
        </w:rPr>
        <w:t>抚恤金</w:t>
      </w:r>
      <w:r>
        <w:rPr>
          <w:rFonts w:hint="eastAsia"/>
          <w:color w:val="auto"/>
          <w:lang w:val="en-US" w:eastAsia="zh-CN"/>
        </w:rPr>
        <w:t>、</w:t>
      </w:r>
      <w:r>
        <w:rPr>
          <w:rFonts w:hint="default"/>
          <w:color w:val="auto"/>
          <w:lang w:val="en-US" w:eastAsia="zh-CN"/>
        </w:rPr>
        <w:t>生活补助，按照实有人数和国家有关规定计算。</w:t>
      </w:r>
    </w:p>
    <w:p>
      <w:pPr>
        <w:bidi w:val="0"/>
        <w:rPr>
          <w:rFonts w:hint="default"/>
          <w:color w:val="auto"/>
          <w:lang w:val="en-US" w:eastAsia="zh-CN"/>
        </w:rPr>
      </w:pPr>
      <w:r>
        <w:rPr>
          <w:rFonts w:hint="eastAsia"/>
          <w:color w:val="auto"/>
          <w:lang w:val="en-US" w:eastAsia="zh-CN"/>
        </w:rPr>
        <w:t>（2）</w:t>
      </w:r>
      <w:r>
        <w:rPr>
          <w:rFonts w:hint="default"/>
          <w:color w:val="auto"/>
          <w:lang w:val="en-US" w:eastAsia="zh-CN"/>
        </w:rPr>
        <w:t>项目支出预算</w:t>
      </w:r>
      <w:r>
        <w:rPr>
          <w:rFonts w:hint="eastAsia"/>
          <w:color w:val="auto"/>
          <w:lang w:val="en-US" w:eastAsia="zh-CN"/>
        </w:rPr>
        <w:t>按照</w:t>
      </w:r>
      <w:r>
        <w:rPr>
          <w:rFonts w:hint="default"/>
          <w:color w:val="auto"/>
          <w:lang w:val="en-US" w:eastAsia="zh-CN"/>
        </w:rPr>
        <w:t>支出性质分为公共管理事务类项目和发展建设类项目</w:t>
      </w:r>
      <w:r>
        <w:rPr>
          <w:rFonts w:hint="eastAsia"/>
          <w:color w:val="auto"/>
          <w:lang w:val="en-US" w:eastAsia="zh-CN"/>
        </w:rPr>
        <w:t>，</w:t>
      </w:r>
      <w:r>
        <w:rPr>
          <w:rFonts w:hint="default"/>
          <w:color w:val="auto"/>
          <w:lang w:val="en-US" w:eastAsia="zh-CN"/>
        </w:rPr>
        <w:t>公共管理事务类项目反映用于社会管理、公共事业发展、社会保障等方面的项目资金</w:t>
      </w:r>
      <w:r>
        <w:rPr>
          <w:rFonts w:hint="eastAsia"/>
          <w:color w:val="auto"/>
          <w:lang w:val="en-US" w:eastAsia="zh-CN"/>
        </w:rPr>
        <w:t>；</w:t>
      </w:r>
      <w:r>
        <w:rPr>
          <w:rFonts w:hint="default"/>
          <w:color w:val="auto"/>
          <w:lang w:val="en-US" w:eastAsia="zh-CN"/>
        </w:rPr>
        <w:t>发展建设类项目反映用于城乡公共基础设施和社会事业建设与维护等方面的项目资金。财政部门对申报的项目进行审核后，根据项目排序和财力的可能安排预算，并建立项目库，实行项目滚动管理。</w:t>
      </w:r>
    </w:p>
    <w:p>
      <w:pPr>
        <w:bidi w:val="0"/>
        <w:rPr>
          <w:rFonts w:hint="default"/>
          <w:color w:val="auto"/>
          <w:lang w:val="en-US" w:eastAsia="zh-CN"/>
        </w:rPr>
      </w:pPr>
      <w:r>
        <w:rPr>
          <w:rFonts w:hint="eastAsia"/>
          <w:color w:val="auto"/>
          <w:lang w:val="en-US" w:eastAsia="zh-CN"/>
        </w:rPr>
        <w:t>（3）</w:t>
      </w:r>
      <w:r>
        <w:rPr>
          <w:rFonts w:hint="default"/>
          <w:color w:val="auto"/>
          <w:lang w:val="en-US" w:eastAsia="zh-CN"/>
        </w:rPr>
        <w:t>预算批复的项目支出属于政府采购的，严格按照《中华人民共和国政府采购法》、自治区财政部门印发的《地方预算单位政府集中采购目录及标准指引（202</w:t>
      </w:r>
      <w:r>
        <w:rPr>
          <w:rFonts w:hint="eastAsia"/>
          <w:color w:val="auto"/>
          <w:lang w:val="en-US" w:eastAsia="zh-CN"/>
        </w:rPr>
        <w:t>3</w:t>
      </w:r>
      <w:r>
        <w:rPr>
          <w:rFonts w:hint="default"/>
          <w:color w:val="auto"/>
          <w:lang w:val="en-US" w:eastAsia="zh-CN"/>
        </w:rPr>
        <w:t>年版）》规定及本单位内控制度，组织人员制定并申报采购计划，按集中采购目录和</w:t>
      </w:r>
      <w:r>
        <w:rPr>
          <w:rFonts w:hint="eastAsia"/>
          <w:color w:val="auto"/>
          <w:lang w:val="en-US" w:eastAsia="zh-CN"/>
        </w:rPr>
        <w:t>批复的</w:t>
      </w:r>
      <w:r>
        <w:rPr>
          <w:rFonts w:hint="default"/>
          <w:color w:val="auto"/>
          <w:lang w:val="en-US" w:eastAsia="zh-CN"/>
        </w:rPr>
        <w:t>采购计划进行；属于非政府采购的项目，按照“三重一大”制度规定重大项目支出上党组会研究决定</w:t>
      </w:r>
      <w:r>
        <w:rPr>
          <w:rFonts w:hint="eastAsia"/>
          <w:color w:val="auto"/>
          <w:lang w:val="en-US" w:eastAsia="zh-CN"/>
        </w:rPr>
        <w:t>。</w:t>
      </w:r>
    </w:p>
    <w:p>
      <w:pPr>
        <w:pStyle w:val="3"/>
        <w:ind w:firstLine="562"/>
        <w:rPr>
          <w:color w:val="auto"/>
          <w:szCs w:val="28"/>
          <w:highlight w:val="none"/>
        </w:rPr>
      </w:pPr>
      <w:r>
        <w:rPr>
          <w:rFonts w:hint="eastAsia"/>
          <w:color w:val="auto"/>
          <w:szCs w:val="28"/>
          <w:highlight w:val="none"/>
        </w:rPr>
        <w:t>二、部门单位整体支出管理及使用情况</w:t>
      </w:r>
    </w:p>
    <w:p>
      <w:pPr>
        <w:bidi w:val="0"/>
        <w:rPr>
          <w:rFonts w:hint="eastAsia" w:ascii="Cambria" w:hAnsi="Cambria" w:eastAsia="楷体" w:cs="Times New Roman"/>
          <w:b/>
          <w:color w:val="auto"/>
          <w:kern w:val="2"/>
          <w:sz w:val="28"/>
          <w:szCs w:val="28"/>
          <w:highlight w:val="none"/>
          <w:lang w:val="en-US" w:eastAsia="zh-CN" w:bidi="ar-SA"/>
        </w:rPr>
      </w:pPr>
      <w:r>
        <w:rPr>
          <w:rFonts w:hint="eastAsia"/>
          <w:color w:val="auto"/>
          <w:lang w:val="en-US" w:eastAsia="zh-CN"/>
        </w:rPr>
        <w:t>我单位2023年全年预算数为74680.73万元，其中：基本支出2954.74万元，项目支出71725.99万元；截止到2023年12月31日，全年实际预算执行数74680.66万元，其中：基本支出2954.67万元，项目支出71725.99万元，全年预算执行率为100%。</w:t>
      </w:r>
    </w:p>
    <w:p>
      <w:pPr>
        <w:pStyle w:val="4"/>
        <w:ind w:firstLine="562"/>
        <w:rPr>
          <w:rFonts w:hint="eastAsia" w:ascii="Cambria" w:hAnsi="Cambria"/>
          <w:color w:val="auto"/>
          <w:sz w:val="28"/>
          <w:szCs w:val="28"/>
        </w:rPr>
      </w:pPr>
      <w:r>
        <w:rPr>
          <w:rFonts w:hint="eastAsia"/>
          <w:color w:val="auto"/>
          <w:sz w:val="28"/>
          <w:szCs w:val="28"/>
        </w:rPr>
        <w:t>（</w:t>
      </w:r>
      <w:r>
        <w:rPr>
          <w:rFonts w:hint="eastAsia"/>
          <w:color w:val="auto"/>
          <w:sz w:val="28"/>
          <w:szCs w:val="28"/>
          <w:lang w:val="en-US" w:eastAsia="zh-CN"/>
        </w:rPr>
        <w:t>一</w:t>
      </w:r>
      <w:r>
        <w:rPr>
          <w:rFonts w:hint="eastAsia"/>
          <w:color w:val="auto"/>
          <w:sz w:val="28"/>
          <w:szCs w:val="28"/>
        </w:rPr>
        <w:t>）</w:t>
      </w:r>
      <w:r>
        <w:rPr>
          <w:rFonts w:hint="eastAsia" w:ascii="Cambria" w:hAnsi="Cambria"/>
          <w:color w:val="auto"/>
          <w:sz w:val="28"/>
          <w:szCs w:val="28"/>
        </w:rPr>
        <w:t>基本支出</w:t>
      </w:r>
      <w:r>
        <w:rPr>
          <w:rFonts w:hint="eastAsia" w:ascii="Cambria" w:hAnsi="Cambria"/>
          <w:color w:val="auto"/>
          <w:sz w:val="28"/>
          <w:szCs w:val="28"/>
          <w:lang w:val="en-US" w:eastAsia="zh-CN"/>
        </w:rPr>
        <w:t>的</w:t>
      </w:r>
      <w:r>
        <w:rPr>
          <w:rFonts w:hint="eastAsia" w:ascii="Cambria" w:hAnsi="Cambria"/>
          <w:color w:val="auto"/>
          <w:sz w:val="28"/>
          <w:szCs w:val="28"/>
          <w:lang w:eastAsia="zh-CN"/>
        </w:rPr>
        <w:t>投入、</w:t>
      </w:r>
      <w:r>
        <w:rPr>
          <w:rFonts w:hint="eastAsia" w:ascii="Cambria" w:hAnsi="Cambria"/>
          <w:color w:val="auto"/>
          <w:sz w:val="28"/>
          <w:szCs w:val="28"/>
        </w:rPr>
        <w:t>管理和</w:t>
      </w:r>
      <w:r>
        <w:rPr>
          <w:rFonts w:hint="eastAsia" w:ascii="Cambria" w:hAnsi="Cambria"/>
          <w:color w:val="auto"/>
          <w:sz w:val="28"/>
          <w:szCs w:val="28"/>
          <w:lang w:eastAsia="zh-CN"/>
        </w:rPr>
        <w:t>总体实际</w:t>
      </w:r>
      <w:r>
        <w:rPr>
          <w:rFonts w:hint="eastAsia" w:ascii="Cambria" w:hAnsi="Cambria"/>
          <w:color w:val="auto"/>
          <w:sz w:val="28"/>
          <w:szCs w:val="28"/>
        </w:rPr>
        <w:t>使用情况</w:t>
      </w:r>
    </w:p>
    <w:p>
      <w:pPr>
        <w:pStyle w:val="5"/>
        <w:bidi w:val="0"/>
        <w:rPr>
          <w:rFonts w:hint="eastAsia"/>
          <w:color w:val="auto"/>
          <w:sz w:val="28"/>
          <w:szCs w:val="32"/>
          <w:lang w:val="en-US" w:eastAsia="zh-CN"/>
        </w:rPr>
      </w:pPr>
      <w:r>
        <w:rPr>
          <w:rFonts w:hint="eastAsia"/>
          <w:color w:val="auto"/>
          <w:sz w:val="28"/>
          <w:szCs w:val="32"/>
          <w:lang w:val="en-US" w:eastAsia="zh-CN"/>
        </w:rPr>
        <w:t>1.基本支出投入和总体实际使用情况</w:t>
      </w:r>
    </w:p>
    <w:p>
      <w:pPr>
        <w:bidi w:val="0"/>
        <w:rPr>
          <w:rFonts w:hint="eastAsia"/>
          <w:color w:val="auto"/>
        </w:rPr>
      </w:pPr>
      <w:r>
        <w:rPr>
          <w:rFonts w:hint="eastAsia"/>
          <w:color w:val="auto"/>
          <w:lang w:eastAsia="zh-CN"/>
        </w:rPr>
        <w:t>202</w:t>
      </w:r>
      <w:r>
        <w:rPr>
          <w:rFonts w:hint="eastAsia"/>
          <w:color w:val="auto"/>
          <w:lang w:val="en-US" w:eastAsia="zh-CN"/>
        </w:rPr>
        <w:t>3</w:t>
      </w:r>
      <w:r>
        <w:rPr>
          <w:rFonts w:hint="eastAsia"/>
          <w:color w:val="auto"/>
        </w:rPr>
        <w:t>年</w:t>
      </w:r>
      <w:r>
        <w:rPr>
          <w:rFonts w:hint="eastAsia"/>
          <w:color w:val="auto"/>
          <w:lang w:val="en-US" w:eastAsia="zh-CN"/>
        </w:rPr>
        <w:t>本单位</w:t>
      </w:r>
      <w:r>
        <w:rPr>
          <w:rFonts w:hint="eastAsia"/>
          <w:color w:val="auto"/>
        </w:rPr>
        <w:t>基本支出</w:t>
      </w:r>
      <w:r>
        <w:rPr>
          <w:rFonts w:hint="eastAsia"/>
          <w:color w:val="auto"/>
          <w:lang w:val="en-US" w:eastAsia="zh-CN"/>
        </w:rPr>
        <w:t>全年</w:t>
      </w:r>
      <w:r>
        <w:rPr>
          <w:rFonts w:hint="eastAsia"/>
          <w:color w:val="auto"/>
        </w:rPr>
        <w:t>预算</w:t>
      </w:r>
      <w:r>
        <w:rPr>
          <w:rFonts w:hint="eastAsia"/>
          <w:color w:val="auto"/>
          <w:lang w:val="en-US" w:eastAsia="zh-CN"/>
        </w:rPr>
        <w:t>数为2954.74万元</w:t>
      </w:r>
      <w:r>
        <w:rPr>
          <w:rFonts w:hint="eastAsia"/>
          <w:color w:val="auto"/>
        </w:rPr>
        <w:t>，其中</w:t>
      </w:r>
      <w:r>
        <w:rPr>
          <w:rFonts w:hint="eastAsia"/>
          <w:color w:val="auto"/>
          <w:lang w:eastAsia="zh-CN"/>
        </w:rPr>
        <w:t>：</w:t>
      </w:r>
      <w:r>
        <w:rPr>
          <w:rFonts w:hint="eastAsia"/>
          <w:color w:val="auto"/>
        </w:rPr>
        <w:t>人员经费</w:t>
      </w:r>
      <w:r>
        <w:rPr>
          <w:rFonts w:hint="eastAsia"/>
          <w:color w:val="auto"/>
          <w:lang w:val="en-US" w:eastAsia="zh-CN"/>
        </w:rPr>
        <w:t>2844.04</w:t>
      </w:r>
      <w:r>
        <w:rPr>
          <w:rFonts w:hint="eastAsia"/>
          <w:color w:val="auto"/>
        </w:rPr>
        <w:t>万元，公用经费</w:t>
      </w:r>
      <w:r>
        <w:rPr>
          <w:rFonts w:hint="eastAsia"/>
          <w:color w:val="auto"/>
          <w:lang w:val="en-US" w:eastAsia="zh-CN"/>
        </w:rPr>
        <w:t>110.70</w:t>
      </w:r>
      <w:r>
        <w:rPr>
          <w:rFonts w:hint="eastAsia"/>
          <w:color w:val="auto"/>
        </w:rPr>
        <w:t>万元。</w:t>
      </w:r>
      <w:r>
        <w:rPr>
          <w:rFonts w:hint="eastAsia"/>
          <w:color w:val="auto"/>
          <w:lang w:val="en-US" w:eastAsia="zh-CN"/>
        </w:rPr>
        <w:t>截止到2023年12月31日，</w:t>
      </w:r>
      <w:r>
        <w:rPr>
          <w:rFonts w:hint="eastAsia"/>
          <w:color w:val="auto"/>
        </w:rPr>
        <w:t>实际支出</w:t>
      </w:r>
      <w:r>
        <w:rPr>
          <w:rFonts w:hint="eastAsia"/>
          <w:color w:val="auto"/>
          <w:lang w:val="en-US" w:eastAsia="zh-CN"/>
        </w:rPr>
        <w:t>2954.67</w:t>
      </w:r>
      <w:r>
        <w:rPr>
          <w:rFonts w:hint="eastAsia"/>
          <w:color w:val="auto"/>
        </w:rPr>
        <w:t>万元，其中</w:t>
      </w:r>
      <w:r>
        <w:rPr>
          <w:rFonts w:hint="eastAsia"/>
          <w:color w:val="auto"/>
          <w:lang w:eastAsia="zh-CN"/>
        </w:rPr>
        <w:t>：</w:t>
      </w:r>
      <w:r>
        <w:rPr>
          <w:rFonts w:hint="eastAsia"/>
          <w:color w:val="auto"/>
        </w:rPr>
        <w:t>人员经费</w:t>
      </w:r>
      <w:r>
        <w:rPr>
          <w:rFonts w:hint="eastAsia"/>
          <w:color w:val="auto"/>
          <w:lang w:val="en-US" w:eastAsia="zh-CN"/>
        </w:rPr>
        <w:t>支出2844.04</w:t>
      </w:r>
      <w:r>
        <w:rPr>
          <w:rFonts w:hint="eastAsia"/>
          <w:color w:val="auto"/>
        </w:rPr>
        <w:t>万元，公用经费</w:t>
      </w:r>
      <w:r>
        <w:rPr>
          <w:rFonts w:hint="eastAsia"/>
          <w:color w:val="auto"/>
          <w:lang w:val="en-US" w:eastAsia="zh-CN"/>
        </w:rPr>
        <w:t>支出110.63</w:t>
      </w:r>
      <w:r>
        <w:rPr>
          <w:rFonts w:hint="eastAsia"/>
          <w:color w:val="auto"/>
        </w:rPr>
        <w:t>万元</w:t>
      </w:r>
      <w:r>
        <w:rPr>
          <w:rFonts w:hint="eastAsia"/>
          <w:color w:val="auto"/>
          <w:lang w:eastAsia="zh-CN"/>
        </w:rPr>
        <w:t>，</w:t>
      </w:r>
      <w:r>
        <w:rPr>
          <w:rFonts w:hint="eastAsia"/>
          <w:color w:val="auto"/>
          <w:lang w:val="en-US" w:eastAsia="zh-CN"/>
        </w:rPr>
        <w:t>基本支出</w:t>
      </w:r>
      <w:r>
        <w:rPr>
          <w:rFonts w:hint="eastAsia"/>
          <w:color w:val="auto"/>
        </w:rPr>
        <w:t>预算执行率</w:t>
      </w:r>
      <w:r>
        <w:rPr>
          <w:rFonts w:hint="eastAsia"/>
          <w:color w:val="auto"/>
          <w:lang w:val="en-US" w:eastAsia="zh-CN"/>
        </w:rPr>
        <w:t>为100%</w:t>
      </w:r>
      <w:r>
        <w:rPr>
          <w:rFonts w:hint="eastAsia"/>
          <w:color w:val="auto"/>
        </w:rPr>
        <w:t>。</w:t>
      </w:r>
    </w:p>
    <w:p>
      <w:pPr>
        <w:pStyle w:val="5"/>
        <w:bidi w:val="0"/>
        <w:rPr>
          <w:rFonts w:hint="eastAsia"/>
          <w:color w:val="auto"/>
          <w:sz w:val="28"/>
          <w:szCs w:val="32"/>
          <w:lang w:val="en-US" w:eastAsia="zh-CN"/>
        </w:rPr>
      </w:pPr>
      <w:r>
        <w:rPr>
          <w:rFonts w:hint="eastAsia"/>
          <w:color w:val="auto"/>
          <w:sz w:val="28"/>
          <w:szCs w:val="32"/>
          <w:lang w:val="en-US" w:eastAsia="zh-CN"/>
        </w:rPr>
        <w:t>2.基本支出管理情况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jc w:val="left"/>
        <w:textAlignment w:val="auto"/>
        <w:rPr>
          <w:rFonts w:hint="eastAsia"/>
          <w:color w:val="auto"/>
          <w:lang w:val="en-US" w:eastAsia="zh-CN"/>
        </w:rPr>
      </w:pPr>
      <w:r>
        <w:rPr>
          <w:rFonts w:hint="eastAsia"/>
          <w:color w:val="auto"/>
        </w:rPr>
        <w:t>为加强预算管理，强化预算约束</w:t>
      </w:r>
      <w:r>
        <w:rPr>
          <w:rFonts w:hint="eastAsia"/>
          <w:color w:val="auto"/>
          <w:lang w:val="en-US" w:eastAsia="zh-CN"/>
        </w:rPr>
        <w:t>和资金使用合规性</w:t>
      </w:r>
      <w:r>
        <w:rPr>
          <w:rFonts w:hint="eastAsia"/>
          <w:color w:val="auto"/>
        </w:rPr>
        <w:t>，</w:t>
      </w:r>
      <w:r>
        <w:rPr>
          <w:rFonts w:hint="eastAsia"/>
          <w:color w:val="auto"/>
          <w:lang w:val="en-US" w:eastAsia="zh-CN"/>
        </w:rPr>
        <w:t>我单位</w:t>
      </w:r>
      <w:r>
        <w:rPr>
          <w:rFonts w:hint="eastAsia"/>
          <w:color w:val="auto"/>
        </w:rPr>
        <w:t>制定了</w:t>
      </w:r>
      <w:r>
        <w:rPr>
          <w:rFonts w:hint="eastAsia"/>
          <w:color w:val="auto"/>
          <w:highlight w:val="none"/>
          <w:lang w:val="en-US" w:eastAsia="zh-CN"/>
        </w:rPr>
        <w:t>《托克逊县住房和城乡建设局预算管理内部控制制度》《收支业务管理制度》《政府采购业务管理内部控制制度》</w:t>
      </w:r>
      <w:r>
        <w:rPr>
          <w:rFonts w:hint="eastAsia"/>
          <w:color w:val="auto"/>
          <w:lang w:val="en-US" w:eastAsia="zh-CN"/>
        </w:rPr>
        <w:t>等</w:t>
      </w:r>
      <w:r>
        <w:rPr>
          <w:rFonts w:hint="eastAsia"/>
          <w:color w:val="auto"/>
          <w:lang w:eastAsia="zh-CN"/>
        </w:rPr>
        <w:t>管理制度</w:t>
      </w:r>
      <w:r>
        <w:rPr>
          <w:rFonts w:hint="eastAsia"/>
          <w:color w:val="auto"/>
        </w:rPr>
        <w:t>，严格执行预决算编制、经费支出、政府采购、资产管理等各项规定，禁止奢侈浪费，注重资金使用效益。</w:t>
      </w:r>
      <w:r>
        <w:rPr>
          <w:rFonts w:hint="eastAsia"/>
          <w:color w:val="auto"/>
          <w:lang w:val="en-US" w:eastAsia="zh-CN"/>
        </w:rPr>
        <w:t>2023年我单位基本支出主要用于工资福利支出，商品和服务支出，对个人和家庭的补助支出。其中，</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jc w:val="left"/>
        <w:textAlignment w:val="auto"/>
        <w:rPr>
          <w:rFonts w:ascii="仿宋" w:hAnsi="仿宋" w:eastAsia="仿宋" w:cs="仿宋"/>
          <w:i w:val="0"/>
          <w:iCs w:val="0"/>
          <w:caps w:val="0"/>
          <w:color w:val="auto"/>
          <w:spacing w:val="0"/>
          <w:kern w:val="0"/>
          <w:sz w:val="28"/>
          <w:szCs w:val="28"/>
          <w:shd w:val="clear" w:color="auto" w:fill="FFFFFF"/>
          <w:lang w:val="en-US" w:eastAsia="zh-CN" w:bidi="ar"/>
        </w:rPr>
      </w:pPr>
      <w:r>
        <w:rPr>
          <w:rFonts w:ascii="仿宋" w:hAnsi="仿宋" w:eastAsia="仿宋" w:cs="仿宋"/>
          <w:i w:val="0"/>
          <w:iCs w:val="0"/>
          <w:caps w:val="0"/>
          <w:color w:val="auto"/>
          <w:spacing w:val="0"/>
          <w:kern w:val="0"/>
          <w:sz w:val="28"/>
          <w:szCs w:val="28"/>
          <w:shd w:val="clear" w:color="auto" w:fill="FFFFFF"/>
          <w:lang w:val="en-US" w:eastAsia="zh-CN" w:bidi="ar"/>
        </w:rPr>
        <w:t>（1）工资福利支出</w:t>
      </w:r>
      <w:r>
        <w:rPr>
          <w:rFonts w:hint="eastAsia"/>
          <w:color w:val="auto"/>
          <w:sz w:val="28"/>
          <w:szCs w:val="28"/>
          <w:highlight w:val="none"/>
          <w:lang w:val="en-US" w:eastAsia="zh-CN"/>
        </w:rPr>
        <w:t>2663.54</w:t>
      </w:r>
      <w:r>
        <w:rPr>
          <w:rFonts w:ascii="仿宋" w:hAnsi="仿宋" w:eastAsia="仿宋" w:cs="仿宋"/>
          <w:i w:val="0"/>
          <w:iCs w:val="0"/>
          <w:caps w:val="0"/>
          <w:color w:val="auto"/>
          <w:spacing w:val="0"/>
          <w:kern w:val="0"/>
          <w:sz w:val="28"/>
          <w:szCs w:val="28"/>
          <w:shd w:val="clear" w:color="auto" w:fill="FFFFFF"/>
          <w:lang w:val="en-US" w:eastAsia="zh-CN" w:bidi="ar"/>
        </w:rPr>
        <w:t>万元，主要用于</w:t>
      </w:r>
      <w:r>
        <w:rPr>
          <w:rFonts w:hint="eastAsia"/>
          <w:color w:val="auto"/>
          <w:lang w:val="en-US" w:eastAsia="zh-CN"/>
        </w:rPr>
        <w:t>基本工资、津贴补贴、奖金、绩效工资、机关事业单位基本养老保险缴费、职业年金缴费、职工基本医疗保险缴费、其他社会保障缴费、住房公积金、其他工资福利支出</w:t>
      </w:r>
      <w:r>
        <w:rPr>
          <w:rFonts w:hint="eastAsia" w:cs="仿宋"/>
          <w:i w:val="0"/>
          <w:iCs w:val="0"/>
          <w:caps w:val="0"/>
          <w:color w:val="auto"/>
          <w:spacing w:val="0"/>
          <w:kern w:val="0"/>
          <w:sz w:val="28"/>
          <w:szCs w:val="28"/>
          <w:shd w:val="clear" w:color="auto" w:fill="FFFFFF"/>
          <w:lang w:val="en-US" w:eastAsia="zh-CN" w:bidi="ar"/>
        </w:rPr>
        <w:t>等</w:t>
      </w:r>
      <w:r>
        <w:rPr>
          <w:rFonts w:ascii="仿宋" w:hAnsi="仿宋" w:eastAsia="仿宋" w:cs="仿宋"/>
          <w:i w:val="0"/>
          <w:iCs w:val="0"/>
          <w:caps w:val="0"/>
          <w:color w:val="auto"/>
          <w:spacing w:val="0"/>
          <w:kern w:val="0"/>
          <w:sz w:val="28"/>
          <w:szCs w:val="28"/>
          <w:shd w:val="clear" w:color="auto" w:fill="FFFFFF"/>
          <w:lang w:val="en-US" w:eastAsia="zh-CN" w:bidi="ar"/>
        </w:rPr>
        <w:t>方面。</w:t>
      </w:r>
      <w:r>
        <w:rPr>
          <w:rFonts w:hint="eastAsia"/>
          <w:color w:val="auto"/>
          <w:sz w:val="28"/>
          <w:szCs w:val="28"/>
          <w:lang w:val="en-US" w:eastAsia="zh-CN"/>
        </w:rPr>
        <w:t>工资福利支出通过内部审核后，</w:t>
      </w:r>
      <w:r>
        <w:rPr>
          <w:rFonts w:hint="eastAsia"/>
          <w:color w:val="auto"/>
          <w:sz w:val="28"/>
          <w:szCs w:val="28"/>
          <w:lang w:eastAsia="zh-CN"/>
        </w:rPr>
        <w:t>由</w:t>
      </w:r>
      <w:r>
        <w:rPr>
          <w:rFonts w:hint="eastAsia"/>
          <w:color w:val="auto"/>
          <w:sz w:val="28"/>
          <w:szCs w:val="28"/>
          <w:lang w:val="en-US" w:eastAsia="zh-CN"/>
        </w:rPr>
        <w:t>组织部、</w:t>
      </w:r>
      <w:r>
        <w:rPr>
          <w:rFonts w:hint="eastAsia"/>
          <w:color w:val="auto"/>
          <w:sz w:val="28"/>
          <w:szCs w:val="28"/>
          <w:lang w:eastAsia="zh-CN"/>
        </w:rPr>
        <w:t>编办、人社局、社保局、医保局、住房公积金管理办公室及财政局等部门逐个审核，</w:t>
      </w:r>
      <w:r>
        <w:rPr>
          <w:rFonts w:hint="eastAsia"/>
          <w:color w:val="auto"/>
          <w:sz w:val="28"/>
          <w:szCs w:val="28"/>
          <w:lang w:val="en-US" w:eastAsia="zh-CN"/>
        </w:rPr>
        <w:t>按时</w:t>
      </w:r>
      <w:r>
        <w:rPr>
          <w:rFonts w:hint="eastAsia"/>
          <w:color w:val="auto"/>
          <w:sz w:val="28"/>
          <w:szCs w:val="28"/>
          <w:lang w:eastAsia="zh-CN"/>
        </w:rPr>
        <w:t>申报及发放。</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jc w:val="left"/>
        <w:textAlignment w:val="auto"/>
        <w:rPr>
          <w:rFonts w:ascii="微软雅黑" w:hAnsi="微软雅黑" w:eastAsia="微软雅黑" w:cs="微软雅黑"/>
          <w:i w:val="0"/>
          <w:iCs w:val="0"/>
          <w:caps w:val="0"/>
          <w:color w:val="auto"/>
          <w:spacing w:val="0"/>
          <w:sz w:val="28"/>
          <w:szCs w:val="28"/>
        </w:rPr>
      </w:pPr>
      <w:r>
        <w:rPr>
          <w:rFonts w:hint="eastAsia" w:ascii="仿宋" w:hAnsi="仿宋" w:eastAsia="仿宋" w:cs="仿宋"/>
          <w:i w:val="0"/>
          <w:iCs w:val="0"/>
          <w:caps w:val="0"/>
          <w:color w:val="auto"/>
          <w:spacing w:val="0"/>
          <w:kern w:val="0"/>
          <w:sz w:val="28"/>
          <w:szCs w:val="28"/>
          <w:shd w:val="clear" w:color="auto" w:fill="FFFFFF"/>
          <w:lang w:val="en-US" w:eastAsia="zh-CN" w:bidi="ar"/>
        </w:rPr>
        <w:t>（2）商品和服务支出</w:t>
      </w:r>
      <w:r>
        <w:rPr>
          <w:rFonts w:hint="eastAsia"/>
          <w:color w:val="auto"/>
          <w:sz w:val="28"/>
          <w:szCs w:val="28"/>
          <w:highlight w:val="none"/>
          <w:lang w:val="en-US" w:eastAsia="zh-CN"/>
        </w:rPr>
        <w:t>110.63</w:t>
      </w:r>
      <w:r>
        <w:rPr>
          <w:rFonts w:hint="eastAsia" w:ascii="仿宋" w:hAnsi="仿宋" w:eastAsia="仿宋" w:cs="仿宋"/>
          <w:i w:val="0"/>
          <w:iCs w:val="0"/>
          <w:caps w:val="0"/>
          <w:color w:val="auto"/>
          <w:spacing w:val="0"/>
          <w:kern w:val="0"/>
          <w:sz w:val="28"/>
          <w:szCs w:val="28"/>
          <w:shd w:val="clear" w:color="auto" w:fill="FFFFFF"/>
          <w:lang w:val="en-US" w:eastAsia="zh-CN" w:bidi="ar"/>
        </w:rPr>
        <w:t>万元，主要用于保障我</w:t>
      </w:r>
      <w:r>
        <w:rPr>
          <w:rFonts w:hint="eastAsia" w:cs="仿宋"/>
          <w:i w:val="0"/>
          <w:iCs w:val="0"/>
          <w:caps w:val="0"/>
          <w:color w:val="auto"/>
          <w:spacing w:val="0"/>
          <w:kern w:val="0"/>
          <w:sz w:val="28"/>
          <w:szCs w:val="28"/>
          <w:shd w:val="clear" w:color="auto" w:fill="FFFFFF"/>
          <w:lang w:val="en-US" w:eastAsia="zh-CN" w:bidi="ar"/>
        </w:rPr>
        <w:t>单位</w:t>
      </w:r>
      <w:r>
        <w:rPr>
          <w:rFonts w:hint="eastAsia" w:ascii="仿宋" w:hAnsi="仿宋" w:eastAsia="仿宋" w:cs="仿宋"/>
          <w:i w:val="0"/>
          <w:iCs w:val="0"/>
          <w:caps w:val="0"/>
          <w:color w:val="auto"/>
          <w:spacing w:val="0"/>
          <w:kern w:val="0"/>
          <w:sz w:val="28"/>
          <w:szCs w:val="28"/>
          <w:shd w:val="clear" w:color="auto" w:fill="FFFFFF"/>
          <w:lang w:val="en-US" w:eastAsia="zh-CN" w:bidi="ar"/>
        </w:rPr>
        <w:t>正常运转、完成日常工作任务而发生的支出，包括</w:t>
      </w:r>
      <w:r>
        <w:rPr>
          <w:rFonts w:hint="default"/>
          <w:color w:val="auto"/>
          <w:lang w:val="en-US" w:eastAsia="zh-CN"/>
        </w:rPr>
        <w:t>办公费</w:t>
      </w:r>
      <w:r>
        <w:rPr>
          <w:rFonts w:hint="eastAsia"/>
          <w:color w:val="auto"/>
          <w:lang w:val="en-US" w:eastAsia="zh-CN"/>
        </w:rPr>
        <w:t>、</w:t>
      </w:r>
      <w:r>
        <w:rPr>
          <w:rFonts w:hint="default"/>
          <w:color w:val="auto"/>
          <w:lang w:val="en-US" w:eastAsia="zh-CN"/>
        </w:rPr>
        <w:t>印刷费</w:t>
      </w:r>
      <w:r>
        <w:rPr>
          <w:rFonts w:hint="eastAsia"/>
          <w:color w:val="auto"/>
          <w:lang w:val="en-US" w:eastAsia="zh-CN"/>
        </w:rPr>
        <w:t>、</w:t>
      </w:r>
      <w:r>
        <w:rPr>
          <w:rFonts w:hint="default"/>
          <w:color w:val="auto"/>
          <w:lang w:val="en-US" w:eastAsia="zh-CN"/>
        </w:rPr>
        <w:t>咨询费</w:t>
      </w:r>
      <w:r>
        <w:rPr>
          <w:rFonts w:hint="eastAsia"/>
          <w:color w:val="auto"/>
          <w:lang w:val="en-US" w:eastAsia="zh-CN"/>
        </w:rPr>
        <w:t>、</w:t>
      </w:r>
      <w:r>
        <w:rPr>
          <w:rFonts w:hint="default"/>
          <w:color w:val="auto"/>
          <w:lang w:val="en-US" w:eastAsia="zh-CN"/>
        </w:rPr>
        <w:t>邮电费</w:t>
      </w:r>
      <w:r>
        <w:rPr>
          <w:rFonts w:hint="eastAsia"/>
          <w:color w:val="auto"/>
          <w:lang w:val="en-US" w:eastAsia="zh-CN"/>
        </w:rPr>
        <w:t>、</w:t>
      </w:r>
      <w:r>
        <w:rPr>
          <w:rFonts w:hint="default"/>
          <w:color w:val="auto"/>
          <w:lang w:val="en-US" w:eastAsia="zh-CN"/>
        </w:rPr>
        <w:t>差旅费</w:t>
      </w:r>
      <w:r>
        <w:rPr>
          <w:rFonts w:hint="eastAsia"/>
          <w:color w:val="auto"/>
          <w:lang w:val="en-US" w:eastAsia="zh-CN"/>
        </w:rPr>
        <w:t>、</w:t>
      </w:r>
      <w:r>
        <w:rPr>
          <w:rFonts w:hint="default"/>
          <w:color w:val="auto"/>
          <w:lang w:val="en-US" w:eastAsia="zh-CN"/>
        </w:rPr>
        <w:t>维修</w:t>
      </w:r>
      <w:r>
        <w:rPr>
          <w:rFonts w:hint="eastAsia"/>
          <w:color w:val="auto"/>
          <w:lang w:val="en-US" w:eastAsia="zh-CN"/>
        </w:rPr>
        <w:t>（</w:t>
      </w:r>
      <w:r>
        <w:rPr>
          <w:rFonts w:hint="default"/>
          <w:color w:val="auto"/>
          <w:lang w:val="en-US" w:eastAsia="zh-CN"/>
        </w:rPr>
        <w:t>护）费培训费</w:t>
      </w:r>
      <w:r>
        <w:rPr>
          <w:rFonts w:hint="eastAsia"/>
          <w:color w:val="auto"/>
          <w:lang w:val="en-US" w:eastAsia="zh-CN"/>
        </w:rPr>
        <w:t>、</w:t>
      </w:r>
      <w:r>
        <w:rPr>
          <w:rFonts w:hint="default"/>
          <w:color w:val="auto"/>
          <w:lang w:val="en-US" w:eastAsia="zh-CN"/>
        </w:rPr>
        <w:t>专用材料费</w:t>
      </w:r>
      <w:r>
        <w:rPr>
          <w:rFonts w:hint="eastAsia"/>
          <w:color w:val="auto"/>
          <w:lang w:val="en-US" w:eastAsia="zh-CN"/>
        </w:rPr>
        <w:t>、</w:t>
      </w:r>
      <w:r>
        <w:rPr>
          <w:rFonts w:hint="default"/>
          <w:color w:val="auto"/>
          <w:lang w:val="en-US" w:eastAsia="zh-CN"/>
        </w:rPr>
        <w:t>工会经费</w:t>
      </w:r>
      <w:r>
        <w:rPr>
          <w:rFonts w:hint="eastAsia"/>
          <w:color w:val="auto"/>
          <w:lang w:val="en-US" w:eastAsia="zh-CN"/>
        </w:rPr>
        <w:t>、</w:t>
      </w:r>
      <w:r>
        <w:rPr>
          <w:rFonts w:hint="default"/>
          <w:color w:val="auto"/>
          <w:lang w:val="en-US" w:eastAsia="zh-CN"/>
        </w:rPr>
        <w:t>公务用车运行维护费</w:t>
      </w:r>
      <w:r>
        <w:rPr>
          <w:rFonts w:hint="eastAsia"/>
          <w:color w:val="auto"/>
          <w:lang w:val="en-US" w:eastAsia="zh-CN"/>
        </w:rPr>
        <w:t>、</w:t>
      </w:r>
      <w:r>
        <w:rPr>
          <w:rFonts w:hint="default"/>
          <w:color w:val="auto"/>
          <w:lang w:val="en-US" w:eastAsia="zh-CN"/>
        </w:rPr>
        <w:t>其他交通费用</w:t>
      </w:r>
      <w:r>
        <w:rPr>
          <w:rFonts w:hint="eastAsia"/>
          <w:color w:val="auto"/>
          <w:lang w:val="en-US" w:eastAsia="zh-CN"/>
        </w:rPr>
        <w:t>、</w:t>
      </w:r>
      <w:r>
        <w:rPr>
          <w:rFonts w:hint="default"/>
          <w:color w:val="auto"/>
          <w:lang w:val="en-US" w:eastAsia="zh-CN"/>
        </w:rPr>
        <w:t>其他商品和服务支出</w:t>
      </w:r>
      <w:r>
        <w:rPr>
          <w:rFonts w:hint="eastAsia" w:ascii="仿宋" w:hAnsi="仿宋" w:eastAsia="仿宋" w:cs="仿宋"/>
          <w:i w:val="0"/>
          <w:iCs w:val="0"/>
          <w:caps w:val="0"/>
          <w:color w:val="auto"/>
          <w:spacing w:val="0"/>
          <w:kern w:val="0"/>
          <w:sz w:val="28"/>
          <w:szCs w:val="28"/>
          <w:shd w:val="clear" w:color="auto" w:fill="FFFFFF"/>
          <w:lang w:val="en-US" w:eastAsia="zh-CN" w:bidi="ar"/>
        </w:rPr>
        <w:t>等日常公用经费。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jc w:val="left"/>
        <w:textAlignment w:val="auto"/>
        <w:rPr>
          <w:rFonts w:hint="default" w:ascii="仿宋" w:hAnsi="仿宋" w:eastAsia="仿宋" w:cs="仿宋"/>
          <w:i w:val="0"/>
          <w:iCs w:val="0"/>
          <w:caps w:val="0"/>
          <w:color w:val="auto"/>
          <w:spacing w:val="0"/>
          <w:kern w:val="0"/>
          <w:sz w:val="28"/>
          <w:szCs w:val="28"/>
          <w:shd w:val="clear" w:color="auto" w:fill="FFFFFF"/>
          <w:lang w:val="en-US" w:eastAsia="zh-CN" w:bidi="ar"/>
        </w:rPr>
      </w:pPr>
      <w:r>
        <w:rPr>
          <w:rFonts w:hint="eastAsia" w:ascii="仿宋" w:hAnsi="仿宋" w:eastAsia="仿宋" w:cs="仿宋"/>
          <w:i w:val="0"/>
          <w:iCs w:val="0"/>
          <w:caps w:val="0"/>
          <w:color w:val="auto"/>
          <w:spacing w:val="0"/>
          <w:kern w:val="0"/>
          <w:sz w:val="28"/>
          <w:szCs w:val="28"/>
          <w:shd w:val="clear" w:color="auto" w:fill="FFFFFF"/>
          <w:lang w:val="en-US" w:eastAsia="zh-CN" w:bidi="ar"/>
        </w:rPr>
        <w:t>（3）对个人和家庭补助支出</w:t>
      </w:r>
      <w:r>
        <w:rPr>
          <w:rFonts w:hint="eastAsia"/>
          <w:color w:val="auto"/>
          <w:sz w:val="28"/>
          <w:szCs w:val="28"/>
          <w:highlight w:val="none"/>
          <w:lang w:val="en-US" w:eastAsia="zh-CN"/>
        </w:rPr>
        <w:t>180.50</w:t>
      </w:r>
      <w:r>
        <w:rPr>
          <w:rFonts w:hint="eastAsia" w:ascii="仿宋" w:hAnsi="仿宋" w:eastAsia="仿宋" w:cs="仿宋"/>
          <w:i w:val="0"/>
          <w:iCs w:val="0"/>
          <w:caps w:val="0"/>
          <w:color w:val="auto"/>
          <w:spacing w:val="0"/>
          <w:kern w:val="0"/>
          <w:sz w:val="28"/>
          <w:szCs w:val="28"/>
          <w:shd w:val="clear" w:color="auto" w:fill="FFFFFF"/>
          <w:lang w:val="en-US" w:eastAsia="zh-CN" w:bidi="ar"/>
        </w:rPr>
        <w:t>万元。主要</w:t>
      </w:r>
      <w:r>
        <w:rPr>
          <w:rFonts w:hint="eastAsia" w:cs="仿宋"/>
          <w:i w:val="0"/>
          <w:iCs w:val="0"/>
          <w:caps w:val="0"/>
          <w:color w:val="auto"/>
          <w:spacing w:val="0"/>
          <w:kern w:val="0"/>
          <w:sz w:val="28"/>
          <w:szCs w:val="28"/>
          <w:shd w:val="clear" w:color="auto" w:fill="FFFFFF"/>
          <w:lang w:val="en-US" w:eastAsia="zh-CN" w:bidi="ar"/>
        </w:rPr>
        <w:t>用于</w:t>
      </w:r>
      <w:r>
        <w:rPr>
          <w:rFonts w:hint="default"/>
          <w:color w:val="auto"/>
          <w:lang w:val="en-US" w:eastAsia="zh-CN"/>
        </w:rPr>
        <w:t>退休费</w:t>
      </w:r>
      <w:r>
        <w:rPr>
          <w:rFonts w:hint="eastAsia"/>
          <w:color w:val="auto"/>
          <w:lang w:val="en-US" w:eastAsia="zh-CN"/>
        </w:rPr>
        <w:t>、</w:t>
      </w:r>
      <w:r>
        <w:rPr>
          <w:rFonts w:hint="default"/>
          <w:color w:val="auto"/>
          <w:lang w:val="en-US" w:eastAsia="zh-CN"/>
        </w:rPr>
        <w:t>抚恤金</w:t>
      </w:r>
      <w:r>
        <w:rPr>
          <w:rFonts w:hint="eastAsia"/>
          <w:color w:val="auto"/>
          <w:lang w:val="en-US" w:eastAsia="zh-CN"/>
        </w:rPr>
        <w:t>、</w:t>
      </w:r>
      <w:r>
        <w:rPr>
          <w:rFonts w:hint="default"/>
          <w:color w:val="auto"/>
          <w:lang w:val="en-US" w:eastAsia="zh-CN"/>
        </w:rPr>
        <w:t>生活补助</w:t>
      </w:r>
      <w:r>
        <w:rPr>
          <w:rFonts w:hint="eastAsia" w:ascii="仿宋" w:hAnsi="仿宋" w:eastAsia="仿宋" w:cs="仿宋"/>
          <w:i w:val="0"/>
          <w:iCs w:val="0"/>
          <w:caps w:val="0"/>
          <w:color w:val="auto"/>
          <w:spacing w:val="0"/>
          <w:kern w:val="0"/>
          <w:sz w:val="28"/>
          <w:szCs w:val="28"/>
          <w:shd w:val="clear" w:color="auto" w:fill="FFFFFF"/>
          <w:lang w:val="en-US" w:eastAsia="zh-CN" w:bidi="ar"/>
        </w:rPr>
        <w:t>等开支。</w:t>
      </w:r>
    </w:p>
    <w:p>
      <w:pPr>
        <w:keepNext w:val="0"/>
        <w:keepLines w:val="0"/>
        <w:pageBreakBefore w:val="0"/>
        <w:kinsoku/>
        <w:wordWrap/>
        <w:overflowPunct/>
        <w:topLinePunct w:val="0"/>
        <w:autoSpaceDE/>
        <w:autoSpaceDN/>
        <w:bidi w:val="0"/>
        <w:adjustRightInd/>
        <w:snapToGrid/>
        <w:spacing w:line="560" w:lineRule="exact"/>
        <w:textAlignment w:val="auto"/>
        <w:rPr>
          <w:rFonts w:hint="eastAsia"/>
          <w:color w:val="auto"/>
          <w:lang w:val="en-US" w:eastAsia="zh-CN"/>
        </w:rPr>
      </w:pPr>
      <w:r>
        <w:rPr>
          <w:rFonts w:hint="eastAsia"/>
          <w:color w:val="auto"/>
          <w:lang w:val="en-US" w:eastAsia="zh-CN"/>
        </w:rPr>
        <w:t>单位各项</w:t>
      </w:r>
      <w:r>
        <w:rPr>
          <w:rFonts w:hint="default"/>
          <w:color w:val="auto"/>
          <w:highlight w:val="none"/>
          <w:lang w:val="en-US" w:eastAsia="zh-CN"/>
        </w:rPr>
        <w:t>资金支出规范，资金管理、费用标准、</w:t>
      </w:r>
      <w:r>
        <w:rPr>
          <w:rFonts w:hint="eastAsia"/>
          <w:color w:val="auto"/>
          <w:highlight w:val="none"/>
          <w:lang w:val="en-US" w:eastAsia="zh-CN"/>
        </w:rPr>
        <w:t>资金</w:t>
      </w:r>
      <w:r>
        <w:rPr>
          <w:rFonts w:hint="default"/>
          <w:color w:val="auto"/>
          <w:highlight w:val="none"/>
          <w:lang w:val="en-US" w:eastAsia="zh-CN"/>
        </w:rPr>
        <w:t>支付均符合有关制度规定，不存在超范围、超标准支出、虚列支出、截留、挤占、挪用资金以及其他不符合制度规定支出的情况。</w:t>
      </w:r>
    </w:p>
    <w:p>
      <w:pPr>
        <w:pStyle w:val="4"/>
        <w:ind w:firstLine="562"/>
        <w:rPr>
          <w:color w:val="auto"/>
          <w:sz w:val="28"/>
          <w:szCs w:val="28"/>
        </w:rPr>
      </w:pPr>
      <w:r>
        <w:rPr>
          <w:rFonts w:hint="eastAsia"/>
          <w:color w:val="auto"/>
          <w:sz w:val="28"/>
          <w:szCs w:val="28"/>
        </w:rPr>
        <w:t>（</w:t>
      </w:r>
      <w:r>
        <w:rPr>
          <w:rFonts w:hint="eastAsia"/>
          <w:color w:val="auto"/>
          <w:sz w:val="28"/>
          <w:szCs w:val="28"/>
          <w:lang w:val="en-US" w:eastAsia="zh-CN"/>
        </w:rPr>
        <w:t>二</w:t>
      </w:r>
      <w:r>
        <w:rPr>
          <w:rFonts w:hint="eastAsia"/>
          <w:color w:val="auto"/>
          <w:sz w:val="28"/>
          <w:szCs w:val="28"/>
        </w:rPr>
        <w:t>）</w:t>
      </w:r>
      <w:r>
        <w:rPr>
          <w:rFonts w:hint="eastAsia"/>
          <w:color w:val="auto"/>
          <w:sz w:val="28"/>
          <w:szCs w:val="28"/>
          <w:lang w:val="en-US" w:eastAsia="zh-CN"/>
        </w:rPr>
        <w:t>政策、</w:t>
      </w:r>
      <w:r>
        <w:rPr>
          <w:rFonts w:hint="eastAsia"/>
          <w:color w:val="auto"/>
          <w:sz w:val="28"/>
          <w:szCs w:val="28"/>
        </w:rPr>
        <w:t>项目</w:t>
      </w:r>
      <w:r>
        <w:rPr>
          <w:rFonts w:hint="eastAsia"/>
          <w:color w:val="auto"/>
          <w:sz w:val="28"/>
          <w:szCs w:val="28"/>
          <w:lang w:val="en-US" w:eastAsia="zh-CN"/>
        </w:rPr>
        <w:t>专项</w:t>
      </w:r>
      <w:r>
        <w:rPr>
          <w:rFonts w:hint="eastAsia"/>
          <w:color w:val="auto"/>
          <w:sz w:val="28"/>
          <w:szCs w:val="28"/>
        </w:rPr>
        <w:t>支出</w:t>
      </w:r>
      <w:r>
        <w:rPr>
          <w:rFonts w:hint="eastAsia"/>
          <w:color w:val="auto"/>
          <w:sz w:val="28"/>
          <w:szCs w:val="28"/>
          <w:lang w:val="en-US" w:eastAsia="zh-CN"/>
        </w:rPr>
        <w:t>的</w:t>
      </w:r>
      <w:r>
        <w:rPr>
          <w:rFonts w:hint="eastAsia" w:ascii="Cambria" w:hAnsi="Cambria"/>
          <w:color w:val="auto"/>
          <w:sz w:val="28"/>
          <w:szCs w:val="28"/>
          <w:lang w:eastAsia="zh-CN"/>
        </w:rPr>
        <w:t>投入、</w:t>
      </w:r>
      <w:r>
        <w:rPr>
          <w:rFonts w:hint="eastAsia" w:ascii="Cambria" w:hAnsi="Cambria"/>
          <w:color w:val="auto"/>
          <w:sz w:val="28"/>
          <w:szCs w:val="28"/>
        </w:rPr>
        <w:t>管理和</w:t>
      </w:r>
      <w:r>
        <w:rPr>
          <w:rFonts w:hint="eastAsia" w:ascii="Cambria" w:hAnsi="Cambria"/>
          <w:color w:val="auto"/>
          <w:sz w:val="28"/>
          <w:szCs w:val="28"/>
          <w:lang w:eastAsia="zh-CN"/>
        </w:rPr>
        <w:t>总体实际</w:t>
      </w:r>
      <w:r>
        <w:rPr>
          <w:rFonts w:hint="eastAsia" w:ascii="Cambria" w:hAnsi="Cambria"/>
          <w:color w:val="auto"/>
          <w:sz w:val="28"/>
          <w:szCs w:val="28"/>
        </w:rPr>
        <w:t>使用情况</w:t>
      </w:r>
    </w:p>
    <w:p>
      <w:pPr>
        <w:pStyle w:val="5"/>
        <w:bidi w:val="0"/>
        <w:rPr>
          <w:rFonts w:hint="eastAsia"/>
          <w:color w:val="auto"/>
          <w:lang w:val="en-US" w:eastAsia="zh-CN"/>
        </w:rPr>
      </w:pPr>
      <w:r>
        <w:rPr>
          <w:rFonts w:hint="eastAsia"/>
          <w:color w:val="auto"/>
          <w:lang w:val="en-US" w:eastAsia="zh-CN"/>
        </w:rPr>
        <w:t>1.政策、项目专项支出投入情况</w:t>
      </w:r>
    </w:p>
    <w:p>
      <w:pPr>
        <w:bidi w:val="0"/>
        <w:rPr>
          <w:rFonts w:hint="eastAsia"/>
          <w:color w:val="auto"/>
          <w:lang w:eastAsia="zh-CN"/>
        </w:rPr>
      </w:pPr>
      <w:r>
        <w:rPr>
          <w:rFonts w:hint="eastAsia"/>
          <w:color w:val="auto"/>
          <w:lang w:eastAsia="zh-CN"/>
        </w:rPr>
        <w:t>202</w:t>
      </w:r>
      <w:r>
        <w:rPr>
          <w:rFonts w:hint="eastAsia"/>
          <w:color w:val="auto"/>
          <w:lang w:val="en-US" w:eastAsia="zh-CN"/>
        </w:rPr>
        <w:t>3</w:t>
      </w:r>
      <w:r>
        <w:rPr>
          <w:rFonts w:hint="eastAsia"/>
          <w:color w:val="auto"/>
        </w:rPr>
        <w:t>年</w:t>
      </w:r>
      <w:r>
        <w:rPr>
          <w:rFonts w:hint="eastAsia"/>
          <w:color w:val="auto"/>
          <w:lang w:val="en-US" w:eastAsia="zh-CN"/>
        </w:rPr>
        <w:t>我单位</w:t>
      </w:r>
      <w:r>
        <w:rPr>
          <w:rFonts w:hint="eastAsia"/>
          <w:color w:val="auto"/>
        </w:rPr>
        <w:t>共</w:t>
      </w:r>
      <w:r>
        <w:rPr>
          <w:rFonts w:hint="eastAsia"/>
          <w:color w:val="auto"/>
          <w:lang w:val="en-US" w:eastAsia="zh-CN"/>
        </w:rPr>
        <w:t>安排34</w:t>
      </w:r>
      <w:r>
        <w:rPr>
          <w:rFonts w:hint="eastAsia"/>
          <w:color w:val="auto"/>
          <w:shd w:val="clear" w:color="auto" w:fill="auto"/>
        </w:rPr>
        <w:t>个</w:t>
      </w:r>
      <w:r>
        <w:rPr>
          <w:rFonts w:hint="eastAsia"/>
          <w:color w:val="auto"/>
        </w:rPr>
        <w:t>项目，</w:t>
      </w:r>
      <w:r>
        <w:rPr>
          <w:rFonts w:hint="eastAsia"/>
          <w:color w:val="auto"/>
          <w:lang w:val="en-US" w:eastAsia="zh-CN"/>
        </w:rPr>
        <w:t>全部属于经常性项目，当年无新增项目，全年共</w:t>
      </w:r>
      <w:r>
        <w:rPr>
          <w:rFonts w:hint="eastAsia"/>
          <w:color w:val="auto"/>
          <w:lang w:eastAsia="zh-CN"/>
        </w:rPr>
        <w:t>安排</w:t>
      </w:r>
      <w:r>
        <w:rPr>
          <w:rFonts w:hint="eastAsia"/>
          <w:color w:val="auto"/>
          <w:lang w:val="en-US" w:eastAsia="zh-CN"/>
        </w:rPr>
        <w:t>项目</w:t>
      </w:r>
      <w:r>
        <w:rPr>
          <w:rFonts w:hint="eastAsia"/>
          <w:color w:val="auto"/>
          <w:lang w:eastAsia="zh-CN"/>
        </w:rPr>
        <w:t>专项资金71725</w:t>
      </w:r>
      <w:r>
        <w:rPr>
          <w:rFonts w:hint="eastAsia"/>
          <w:color w:val="auto"/>
          <w:lang w:val="en-US" w:eastAsia="zh-CN"/>
        </w:rPr>
        <w:t>.</w:t>
      </w:r>
      <w:r>
        <w:rPr>
          <w:rFonts w:hint="eastAsia"/>
          <w:color w:val="auto"/>
          <w:lang w:eastAsia="zh-CN"/>
        </w:rPr>
        <w:t>9</w:t>
      </w:r>
      <w:r>
        <w:rPr>
          <w:rFonts w:hint="eastAsia"/>
          <w:color w:val="auto"/>
          <w:lang w:val="en-US" w:eastAsia="zh-CN"/>
        </w:rPr>
        <w:t>9</w:t>
      </w:r>
      <w:r>
        <w:rPr>
          <w:rFonts w:hint="eastAsia"/>
          <w:color w:val="auto"/>
          <w:lang w:eastAsia="zh-CN"/>
        </w:rPr>
        <w:t>万元，实际</w:t>
      </w:r>
      <w:r>
        <w:rPr>
          <w:rFonts w:hint="eastAsia"/>
          <w:color w:val="auto"/>
          <w:lang w:val="en-US" w:eastAsia="zh-CN"/>
        </w:rPr>
        <w:t>到位资金</w:t>
      </w:r>
      <w:r>
        <w:rPr>
          <w:rFonts w:hint="eastAsia"/>
          <w:color w:val="auto"/>
          <w:lang w:eastAsia="zh-CN"/>
        </w:rPr>
        <w:t>71725</w:t>
      </w:r>
      <w:r>
        <w:rPr>
          <w:rFonts w:hint="eastAsia"/>
          <w:color w:val="auto"/>
          <w:lang w:val="en-US" w:eastAsia="zh-CN"/>
        </w:rPr>
        <w:t>.</w:t>
      </w:r>
      <w:r>
        <w:rPr>
          <w:rFonts w:hint="eastAsia"/>
          <w:color w:val="auto"/>
          <w:lang w:eastAsia="zh-CN"/>
        </w:rPr>
        <w:t>9</w:t>
      </w:r>
      <w:r>
        <w:rPr>
          <w:rFonts w:hint="eastAsia"/>
          <w:color w:val="auto"/>
          <w:lang w:val="en-US" w:eastAsia="zh-CN"/>
        </w:rPr>
        <w:t>9</w:t>
      </w:r>
      <w:r>
        <w:rPr>
          <w:rFonts w:hint="eastAsia"/>
          <w:color w:val="auto"/>
          <w:lang w:eastAsia="zh-CN"/>
        </w:rPr>
        <w:t>万元，</w:t>
      </w:r>
      <w:r>
        <w:rPr>
          <w:rFonts w:hint="eastAsia"/>
          <w:color w:val="auto"/>
          <w:lang w:val="en-US" w:eastAsia="zh-CN"/>
        </w:rPr>
        <w:t>资金到位率为100%</w:t>
      </w:r>
      <w:r>
        <w:rPr>
          <w:rFonts w:hint="eastAsia"/>
          <w:color w:val="auto"/>
          <w:lang w:eastAsia="zh-CN"/>
        </w:rPr>
        <w:t>。</w:t>
      </w:r>
    </w:p>
    <w:p>
      <w:pPr>
        <w:pStyle w:val="5"/>
        <w:bidi w:val="0"/>
        <w:rPr>
          <w:rFonts w:hint="eastAsia"/>
          <w:color w:val="auto"/>
          <w:highlight w:val="none"/>
          <w:lang w:val="en-US" w:eastAsia="zh-CN"/>
        </w:rPr>
      </w:pPr>
      <w:r>
        <w:rPr>
          <w:rFonts w:hint="eastAsia"/>
          <w:color w:val="auto"/>
          <w:highlight w:val="none"/>
          <w:lang w:val="en-US" w:eastAsia="zh-CN"/>
        </w:rPr>
        <w:t>2.政策、项目专项支出总体实际使用情况</w:t>
      </w:r>
    </w:p>
    <w:p>
      <w:pPr>
        <w:bidi w:val="0"/>
        <w:rPr>
          <w:rFonts w:hint="eastAsia"/>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3</w:t>
      </w:r>
      <w:r>
        <w:rPr>
          <w:rFonts w:hint="eastAsia"/>
          <w:color w:val="auto"/>
          <w:highlight w:val="none"/>
          <w:lang w:eastAsia="zh-CN"/>
        </w:rPr>
        <w:t>年</w:t>
      </w:r>
      <w:r>
        <w:rPr>
          <w:rFonts w:hint="eastAsia"/>
          <w:color w:val="auto"/>
          <w:highlight w:val="none"/>
          <w:lang w:val="en-US" w:eastAsia="zh-CN"/>
        </w:rPr>
        <w:t>我单位全年实际</w:t>
      </w:r>
      <w:r>
        <w:rPr>
          <w:rFonts w:hint="eastAsia"/>
          <w:color w:val="auto"/>
          <w:highlight w:val="none"/>
        </w:rPr>
        <w:t>完成</w:t>
      </w:r>
      <w:r>
        <w:rPr>
          <w:rFonts w:hint="eastAsia"/>
          <w:color w:val="auto"/>
          <w:highlight w:val="none"/>
          <w:lang w:eastAsia="zh-CN"/>
        </w:rPr>
        <w:t>了</w:t>
      </w:r>
      <w:r>
        <w:rPr>
          <w:rFonts w:hint="eastAsia"/>
          <w:color w:val="auto"/>
          <w:highlight w:val="none"/>
          <w:lang w:val="en-US" w:eastAsia="zh-CN"/>
        </w:rPr>
        <w:t>31</w:t>
      </w:r>
      <w:r>
        <w:rPr>
          <w:rFonts w:hint="eastAsia"/>
          <w:color w:val="auto"/>
          <w:highlight w:val="none"/>
        </w:rPr>
        <w:t>个项目、未完成</w:t>
      </w:r>
      <w:r>
        <w:rPr>
          <w:rFonts w:hint="eastAsia"/>
          <w:color w:val="auto"/>
          <w:highlight w:val="none"/>
          <w:lang w:val="en-US" w:eastAsia="zh-CN"/>
        </w:rPr>
        <w:t>3</w:t>
      </w:r>
      <w:r>
        <w:rPr>
          <w:rFonts w:hint="eastAsia"/>
          <w:color w:val="auto"/>
          <w:highlight w:val="none"/>
        </w:rPr>
        <w:t>个项目</w:t>
      </w:r>
      <w:r>
        <w:rPr>
          <w:rFonts w:hint="eastAsia"/>
          <w:color w:val="auto"/>
          <w:highlight w:val="none"/>
          <w:lang w:eastAsia="zh-CN"/>
        </w:rPr>
        <w:t>。</w:t>
      </w:r>
      <w:r>
        <w:rPr>
          <w:rFonts w:hint="eastAsia"/>
          <w:color w:val="auto"/>
          <w:highlight w:val="none"/>
          <w:lang w:val="en-US" w:eastAsia="zh-CN"/>
        </w:rPr>
        <w:t>截止到2023年12月31日，项目</w:t>
      </w:r>
      <w:r>
        <w:rPr>
          <w:rFonts w:hint="eastAsia"/>
          <w:color w:val="auto"/>
          <w:highlight w:val="none"/>
          <w:lang w:eastAsia="zh-CN"/>
        </w:rPr>
        <w:t>专项资金实际</w:t>
      </w:r>
      <w:r>
        <w:rPr>
          <w:rFonts w:hint="eastAsia"/>
          <w:color w:val="auto"/>
          <w:highlight w:val="none"/>
          <w:lang w:val="en-US" w:eastAsia="zh-CN"/>
        </w:rPr>
        <w:t>支出</w:t>
      </w:r>
      <w:r>
        <w:rPr>
          <w:rFonts w:hint="eastAsia"/>
          <w:color w:val="auto"/>
          <w:highlight w:val="none"/>
          <w:lang w:eastAsia="zh-CN"/>
        </w:rPr>
        <w:t>71725</w:t>
      </w:r>
      <w:r>
        <w:rPr>
          <w:rFonts w:hint="eastAsia"/>
          <w:color w:val="auto"/>
          <w:highlight w:val="none"/>
          <w:lang w:val="en-US" w:eastAsia="zh-CN"/>
        </w:rPr>
        <w:t>.</w:t>
      </w:r>
      <w:r>
        <w:rPr>
          <w:rFonts w:hint="eastAsia"/>
          <w:color w:val="auto"/>
          <w:highlight w:val="none"/>
          <w:lang w:eastAsia="zh-CN"/>
        </w:rPr>
        <w:t>9</w:t>
      </w:r>
      <w:r>
        <w:rPr>
          <w:rFonts w:hint="eastAsia"/>
          <w:color w:val="auto"/>
          <w:highlight w:val="none"/>
          <w:lang w:val="en-US" w:eastAsia="zh-CN"/>
        </w:rPr>
        <w:t>9</w:t>
      </w:r>
      <w:r>
        <w:rPr>
          <w:rFonts w:hint="eastAsia"/>
          <w:color w:val="auto"/>
          <w:highlight w:val="none"/>
          <w:lang w:eastAsia="zh-CN"/>
        </w:rPr>
        <w:t>万元,</w:t>
      </w:r>
      <w:r>
        <w:rPr>
          <w:rFonts w:hint="eastAsia"/>
          <w:color w:val="auto"/>
          <w:highlight w:val="none"/>
          <w:lang w:val="en-US" w:eastAsia="zh-CN"/>
        </w:rPr>
        <w:t>专项支出</w:t>
      </w:r>
      <w:r>
        <w:rPr>
          <w:rFonts w:hint="eastAsia"/>
          <w:color w:val="auto"/>
          <w:highlight w:val="none"/>
        </w:rPr>
        <w:t>预算执行率</w:t>
      </w:r>
      <w:r>
        <w:rPr>
          <w:rFonts w:hint="eastAsia"/>
          <w:color w:val="auto"/>
          <w:highlight w:val="none"/>
          <w:lang w:val="en-US" w:eastAsia="zh-CN"/>
        </w:rPr>
        <w:t>为100%</w:t>
      </w:r>
      <w:r>
        <w:rPr>
          <w:rFonts w:hint="eastAsia"/>
          <w:color w:val="auto"/>
          <w:highlight w:val="none"/>
          <w:lang w:eastAsia="zh-CN"/>
        </w:rPr>
        <w:t>。</w:t>
      </w:r>
    </w:p>
    <w:p>
      <w:pPr>
        <w:pStyle w:val="5"/>
        <w:bidi w:val="0"/>
        <w:rPr>
          <w:rFonts w:hint="eastAsia"/>
          <w:color w:val="auto"/>
          <w:lang w:val="en-US" w:eastAsia="zh-CN"/>
        </w:rPr>
      </w:pPr>
      <w:r>
        <w:rPr>
          <w:rFonts w:hint="eastAsia"/>
          <w:color w:val="auto"/>
          <w:lang w:val="en-US" w:eastAsia="zh-CN"/>
        </w:rPr>
        <w:t>3.政策、项目专项支出管理情况</w:t>
      </w:r>
    </w:p>
    <w:p>
      <w:pPr>
        <w:bidi w:val="0"/>
        <w:rPr>
          <w:rFonts w:hint="eastAsia"/>
          <w:color w:val="auto"/>
          <w:szCs w:val="28"/>
          <w:lang w:eastAsia="zh-CN"/>
        </w:rPr>
      </w:pPr>
      <w:r>
        <w:rPr>
          <w:rFonts w:hint="eastAsia" w:ascii="仿宋_GB2312" w:hAnsi="仿宋_GB2312" w:eastAsia="仿宋_GB2312" w:cs="仿宋_GB2312"/>
          <w:b w:val="0"/>
          <w:bCs/>
          <w:color w:val="auto"/>
          <w:sz w:val="28"/>
          <w:szCs w:val="22"/>
          <w:lang w:val="en-US" w:eastAsia="zh-CN"/>
        </w:rPr>
        <w:t>我单位根据政策、项目专项资金的使用范围和要求，合理安排资金计划，按时完成了专项资金项目绩效目标及执行情况的跟踪评价，严格遵循</w:t>
      </w:r>
      <w:r>
        <w:rPr>
          <w:rFonts w:hint="eastAsia" w:ascii="仿宋_GB2312" w:hAnsi="仿宋_GB2312" w:eastAsia="仿宋_GB2312" w:cs="仿宋_GB2312"/>
          <w:b w:val="0"/>
          <w:bCs/>
          <w:color w:val="auto"/>
          <w:sz w:val="28"/>
          <w:szCs w:val="22"/>
        </w:rPr>
        <w:t>国家法规和财务管理制度</w:t>
      </w:r>
      <w:r>
        <w:rPr>
          <w:rFonts w:hint="eastAsia" w:ascii="仿宋_GB2312" w:hAnsi="仿宋_GB2312" w:eastAsia="仿宋_GB2312" w:cs="仿宋_GB2312"/>
          <w:b w:val="0"/>
          <w:bCs/>
          <w:color w:val="auto"/>
          <w:sz w:val="28"/>
          <w:szCs w:val="22"/>
          <w:lang w:val="en-US" w:eastAsia="zh-CN"/>
        </w:rPr>
        <w:t>合法合规使用</w:t>
      </w:r>
      <w:r>
        <w:rPr>
          <w:rFonts w:hint="eastAsia" w:ascii="仿宋_GB2312" w:hAnsi="仿宋_GB2312" w:eastAsia="仿宋_GB2312" w:cs="仿宋_GB2312"/>
          <w:b w:val="0"/>
          <w:bCs/>
          <w:color w:val="auto"/>
          <w:sz w:val="28"/>
          <w:szCs w:val="22"/>
        </w:rPr>
        <w:t>专项资金，</w:t>
      </w:r>
      <w:r>
        <w:rPr>
          <w:rFonts w:hint="default" w:ascii="仿宋_GB2312" w:hAnsi="仿宋_GB2312" w:eastAsia="仿宋_GB2312" w:cs="仿宋_GB2312"/>
          <w:b w:val="0"/>
          <w:bCs/>
          <w:color w:val="auto"/>
          <w:sz w:val="28"/>
          <w:szCs w:val="22"/>
          <w:lang w:val="en-US" w:eastAsia="zh-CN"/>
        </w:rPr>
        <w:t>重大项目支出经过评估论证和必要</w:t>
      </w:r>
      <w:r>
        <w:rPr>
          <w:rFonts w:hint="eastAsia" w:ascii="仿宋_GB2312" w:hAnsi="仿宋_GB2312" w:eastAsia="仿宋_GB2312" w:cs="仿宋_GB2312"/>
          <w:b w:val="0"/>
          <w:bCs/>
          <w:color w:val="auto"/>
          <w:sz w:val="28"/>
          <w:szCs w:val="22"/>
          <w:lang w:val="en-US" w:eastAsia="zh-CN"/>
        </w:rPr>
        <w:t>的集体</w:t>
      </w:r>
      <w:r>
        <w:rPr>
          <w:rFonts w:hint="default" w:ascii="仿宋_GB2312" w:hAnsi="仿宋_GB2312" w:eastAsia="仿宋_GB2312" w:cs="仿宋_GB2312"/>
          <w:b w:val="0"/>
          <w:bCs/>
          <w:color w:val="auto"/>
          <w:sz w:val="28"/>
          <w:szCs w:val="22"/>
          <w:lang w:val="en-US" w:eastAsia="zh-CN"/>
        </w:rPr>
        <w:t>决策程序</w:t>
      </w:r>
      <w:r>
        <w:rPr>
          <w:rFonts w:hint="eastAsia" w:ascii="仿宋_GB2312" w:hAnsi="仿宋_GB2312" w:eastAsia="仿宋_GB2312" w:cs="仿宋_GB2312"/>
          <w:b w:val="0"/>
          <w:bCs/>
          <w:color w:val="auto"/>
          <w:sz w:val="28"/>
          <w:szCs w:val="22"/>
          <w:lang w:val="en-US" w:eastAsia="zh-CN"/>
        </w:rPr>
        <w:t>，保证了</w:t>
      </w:r>
      <w:r>
        <w:rPr>
          <w:rFonts w:hint="eastAsia" w:ascii="仿宋_GB2312" w:hAnsi="仿宋_GB2312" w:eastAsia="仿宋_GB2312" w:cs="仿宋_GB2312"/>
          <w:b w:val="0"/>
          <w:bCs/>
          <w:color w:val="auto"/>
          <w:sz w:val="28"/>
          <w:szCs w:val="22"/>
        </w:rPr>
        <w:t>资金拨付有完整的审批程序和手续，符合项目预算批复或合同规定的用途，不存在截留、挤占、挪用、虚列支出等情况。</w:t>
      </w:r>
    </w:p>
    <w:p>
      <w:pPr>
        <w:pStyle w:val="3"/>
        <w:numPr>
          <w:ilvl w:val="0"/>
          <w:numId w:val="3"/>
        </w:numPr>
        <w:ind w:firstLine="562"/>
        <w:rPr>
          <w:color w:val="auto"/>
        </w:rPr>
      </w:pPr>
      <w:r>
        <w:rPr>
          <w:rFonts w:hint="eastAsia" w:ascii="黑体" w:hAnsi="黑体" w:eastAsia="黑体" w:cs="黑体"/>
          <w:b w:val="0"/>
          <w:bCs w:val="0"/>
          <w:color w:val="auto"/>
          <w:kern w:val="2"/>
          <w:sz w:val="28"/>
          <w:szCs w:val="28"/>
          <w:lang w:val="en-US" w:eastAsia="zh-CN" w:bidi="ar-SA"/>
        </w:rPr>
        <w:t>部门单位整体支出绩效分析</w:t>
      </w:r>
    </w:p>
    <w:p>
      <w:pPr>
        <w:spacing w:line="540" w:lineRule="exact"/>
        <w:ind w:firstLine="494" w:firstLineChars="181"/>
        <w:rPr>
          <w:rStyle w:val="18"/>
          <w:rFonts w:hint="eastAsia" w:ascii="仿宋_GB2312" w:hAnsi="仿宋_GB2312" w:eastAsia="仿宋_GB2312" w:cs="仿宋_GB2312"/>
          <w:b/>
          <w:bCs w:val="0"/>
          <w:color w:val="auto"/>
          <w:spacing w:val="-4"/>
          <w:sz w:val="28"/>
          <w:szCs w:val="28"/>
          <w:lang w:val="en-US" w:eastAsia="zh-CN"/>
        </w:rPr>
      </w:pPr>
      <w:r>
        <w:rPr>
          <w:rStyle w:val="18"/>
          <w:rFonts w:hint="eastAsia" w:ascii="仿宋_GB2312" w:hAnsi="仿宋_GB2312" w:eastAsia="仿宋_GB2312" w:cs="仿宋_GB2312"/>
          <w:b/>
          <w:bCs w:val="0"/>
          <w:color w:val="auto"/>
          <w:spacing w:val="-4"/>
          <w:sz w:val="28"/>
          <w:szCs w:val="28"/>
          <w:lang w:val="en-US" w:eastAsia="zh-CN"/>
        </w:rPr>
        <w:t>（一）指标一：</w:t>
      </w:r>
    </w:p>
    <w:p>
      <w:pPr>
        <w:spacing w:line="540" w:lineRule="exact"/>
        <w:rPr>
          <w:rFonts w:hint="default" w:eastAsia="仿宋_GB2312"/>
          <w:color w:val="auto"/>
          <w:lang w:val="en-US" w:eastAsia="zh-CN"/>
        </w:rPr>
      </w:pPr>
      <w:r>
        <w:rPr>
          <w:rFonts w:hint="eastAsia" w:ascii="仿宋_GB2312" w:hAnsi="仿宋_GB2312" w:eastAsia="仿宋_GB2312" w:cs="仿宋_GB2312"/>
          <w:color w:val="auto"/>
        </w:rPr>
        <w:t>“项目支出预算执行率”指标</w:t>
      </w:r>
      <w:r>
        <w:rPr>
          <w:rFonts w:hint="eastAsia"/>
          <w:color w:val="auto"/>
        </w:rPr>
        <w:t>预期指标值</w:t>
      </w:r>
      <w:r>
        <w:rPr>
          <w:rFonts w:hint="eastAsia"/>
          <w:color w:val="auto"/>
          <w:lang w:eastAsia="zh-CN"/>
        </w:rPr>
        <w:t>为</w:t>
      </w:r>
      <w:r>
        <w:rPr>
          <w:rFonts w:hint="eastAsia"/>
          <w:color w:val="auto"/>
          <w:lang w:val="en-US" w:eastAsia="zh-CN"/>
        </w:rPr>
        <w:t>100%</w:t>
      </w:r>
      <w:r>
        <w:rPr>
          <w:rFonts w:hint="eastAsia"/>
          <w:color w:val="auto"/>
        </w:rPr>
        <w:t>，</w:t>
      </w:r>
      <w:r>
        <w:rPr>
          <w:rStyle w:val="18"/>
          <w:rFonts w:hint="eastAsia" w:ascii="仿宋_GB2312" w:hAnsi="仿宋_GB2312" w:eastAsia="仿宋_GB2312" w:cs="仿宋_GB2312"/>
          <w:b w:val="0"/>
          <w:color w:val="auto"/>
          <w:spacing w:val="-4"/>
          <w:sz w:val="28"/>
          <w:szCs w:val="28"/>
          <w:lang w:val="en-US" w:eastAsia="zh-CN"/>
        </w:rPr>
        <w:t>年中绩效运行监控完成值为49.6%，按照序时进度指标完成率为49.6%；本次评价</w:t>
      </w:r>
      <w:r>
        <w:rPr>
          <w:rFonts w:hint="eastAsia"/>
          <w:color w:val="auto"/>
        </w:rPr>
        <w:t>实际完成指标值为</w:t>
      </w:r>
      <w:r>
        <w:rPr>
          <w:rStyle w:val="18"/>
          <w:rFonts w:hint="eastAsia" w:ascii="仿宋_GB2312" w:hAnsi="仿宋_GB2312" w:eastAsia="仿宋_GB2312" w:cs="仿宋_GB2312"/>
          <w:b w:val="0"/>
          <w:color w:val="auto"/>
          <w:spacing w:val="-4"/>
          <w:sz w:val="28"/>
          <w:szCs w:val="28"/>
          <w:lang w:val="en-US" w:eastAsia="zh-CN"/>
        </w:rPr>
        <w:t>100%</w:t>
      </w:r>
      <w:r>
        <w:rPr>
          <w:rFonts w:hint="eastAsia"/>
          <w:color w:val="auto"/>
          <w:lang w:val="en-US" w:eastAsia="zh-CN"/>
        </w:rPr>
        <w:t>，该</w:t>
      </w:r>
      <w:r>
        <w:rPr>
          <w:rFonts w:hint="eastAsia"/>
          <w:color w:val="auto"/>
        </w:rPr>
        <w:t>指标完成率为</w:t>
      </w:r>
      <w:r>
        <w:rPr>
          <w:rFonts w:hint="eastAsia"/>
          <w:color w:val="auto"/>
          <w:lang w:val="en-US" w:eastAsia="zh-CN"/>
        </w:rPr>
        <w:t>100</w:t>
      </w:r>
      <w:r>
        <w:rPr>
          <w:rFonts w:hint="eastAsia"/>
          <w:color w:val="auto"/>
        </w:rPr>
        <w:t>%，</w:t>
      </w:r>
      <w:r>
        <w:rPr>
          <w:rFonts w:hint="eastAsia"/>
          <w:color w:val="auto"/>
          <w:lang w:val="en-US" w:eastAsia="zh-CN"/>
        </w:rPr>
        <w:t>无偏差。</w:t>
      </w:r>
    </w:p>
    <w:p>
      <w:pPr>
        <w:spacing w:line="540" w:lineRule="exact"/>
        <w:rPr>
          <w:rFonts w:hint="eastAsia"/>
          <w:color w:val="auto"/>
          <w:lang w:val="en-US" w:eastAsia="zh-CN"/>
        </w:rPr>
      </w:pPr>
      <w:r>
        <w:rPr>
          <w:rFonts w:hint="eastAsia" w:eastAsia="仿宋_GB2312"/>
          <w:color w:val="auto"/>
          <w:lang w:eastAsia="zh-CN"/>
        </w:rPr>
        <w:t>完成情况及成效分析：</w:t>
      </w:r>
      <w:r>
        <w:rPr>
          <w:rFonts w:hint="eastAsia"/>
          <w:color w:val="auto"/>
          <w:lang w:eastAsia="zh-CN"/>
        </w:rPr>
        <w:t>202</w:t>
      </w:r>
      <w:r>
        <w:rPr>
          <w:rFonts w:hint="eastAsia"/>
          <w:color w:val="auto"/>
          <w:lang w:val="en-US" w:eastAsia="zh-CN"/>
        </w:rPr>
        <w:t>3</w:t>
      </w:r>
      <w:r>
        <w:rPr>
          <w:rFonts w:hint="eastAsia"/>
          <w:color w:val="auto"/>
        </w:rPr>
        <w:t>年</w:t>
      </w:r>
      <w:r>
        <w:rPr>
          <w:rFonts w:hint="eastAsia"/>
          <w:color w:val="auto"/>
          <w:lang w:val="en-US" w:eastAsia="zh-CN"/>
        </w:rPr>
        <w:t>我单位</w:t>
      </w:r>
      <w:r>
        <w:rPr>
          <w:rFonts w:hint="eastAsia"/>
          <w:color w:val="auto"/>
        </w:rPr>
        <w:t>共</w:t>
      </w:r>
      <w:r>
        <w:rPr>
          <w:rFonts w:hint="eastAsia"/>
          <w:color w:val="auto"/>
          <w:lang w:val="en-US" w:eastAsia="zh-CN"/>
        </w:rPr>
        <w:t>安排34</w:t>
      </w:r>
      <w:r>
        <w:rPr>
          <w:rFonts w:hint="eastAsia"/>
          <w:color w:val="auto"/>
          <w:shd w:val="clear" w:color="auto" w:fill="auto"/>
        </w:rPr>
        <w:t>个</w:t>
      </w:r>
      <w:r>
        <w:rPr>
          <w:rFonts w:hint="eastAsia"/>
          <w:color w:val="auto"/>
        </w:rPr>
        <w:t>项目，</w:t>
      </w:r>
      <w:r>
        <w:rPr>
          <w:rFonts w:hint="eastAsia"/>
          <w:color w:val="auto"/>
          <w:lang w:eastAsia="zh-CN"/>
        </w:rPr>
        <w:t>分别为：</w:t>
      </w:r>
      <w:r>
        <w:rPr>
          <w:rFonts w:hint="eastAsia"/>
          <w:color w:val="auto"/>
          <w:lang w:val="en-US" w:eastAsia="zh-CN"/>
        </w:rPr>
        <w:t>2023年南疆人员工资社保项目、2018年至2022年期间涉及农用地转化的12宗地进行耕地占用税申报资金项目、托克逊县丝路驿站物流园道路建设项目土地补偿费用项目、托克逊县工业园区绿化养护工程项目、托克逊县绿色小区片区老旧小区配套基础设施改造项目吐市财综[2020]10号、托克逊县高管局家属院片区改造及配套附属设施建设项目吐市财综[2019]35号、2022-2023年绿化机井使用水资源费、2023年城市公共设施综合业务经费、2023年部分拆迁户拆迁款和过渡费、2023年农业转移人口市民化奖励资金托财预[2023]6号、2022年度人民防空易地建设费、2020年人防易地建设费吐市财建[2020]64号、新疆吐鲁番市托克逊县煤改电工程二期中央补助资金吐市财建[2023]27号、托克逊县基础设施建设项目（迎宾路建设、立体式停车场、应急避险停车场、地下通道、道路路灯采购前期费城区友好路、振兴路绿化提升改造及工业园区绿化养护工程）、托克逊县2017年棚户区改造源泉花苑小区二期及配套基础设施建设项目工程款、2022年友好路、解放路、南湖路供水基础设施建设项目、城北区集中供热管网及配套设施建设项目、新疆吐鲁番市托克逊县2022年城市燃气管道等老化更新改造项目、托克逊县环城生态修复综合建设项目及往年绿化工程苗木采购欠款及绿化管网设施维修和养护费用、吐鲁番市托克逊县城市地下通道及附属设施建设建设项目托财预[2023]2号托财预[2023]5号、吐鲁番市托克逊县城区基础设施综合提升建设项目托财预[2023]2号托财预[2023]5号、托克逊县养路段小区老旧小区外改造配套基础设施建设项目前期费用吐市财建[2021]25号、吐鲁番市托克逊县幸福社区集中供热管网建设项目吐市财建[2021]17号、托克逊县银泉路片区棚户区改造小区外配套基础设施建设项目吐市财建[2020]29号、托克逊县国税局家属院片区内外改造配套基础设施建设项目吐市财建[2019]65号、托克逊县2017年西大桥西侧棚户区改造（小区外）建设项目吐市财建[2019]30号、托克逊县2017年团结路城中村棚户区改造（江南水苑二期）附属建设项目吐市财建[2018]66号、托克逊县棚户区（城中村）改造项目、2016年托克逊县白杨河河道综合治理项目、2023年自治区第九批地方专项债券托财预[2023]17号、2023年中央财政农村危房改造补助资金吐市财社[2022]107号、2023年中央财政农村危房改造补助资金吐市财社[2022]61号、2023年度公积金增值收益用于公共租赁住房建设项目资金（吐市财建[2023]9号、托克逊县2023年中央财政城镇保障性安居工程专项资金项目[保障性租赁住房项目]吐市财综[2023]9号、托克逊九龙小区棚户区改造配套基础设施建设项目（小区内）吐市财建[2019]14号、托克逊县2017年润园小区及配套基础设施建设项目（小区外）吐市财建[2019]29号、托克逊县城中村棚户区改造润园小区配套基础设施建设项目吐市财建[2019]29号、2023年城市燃气管道等老化更新改造和保障性安居工程专项吐市财建[2023]31号、吐鲁番市托克逊县市政老旧设施更新改造项目托财预[2023]1号、调整专项债券项目用于化债资金-2015年棚户区改造一、二托财预[2023]17号。</w:t>
      </w:r>
    </w:p>
    <w:p>
      <w:pPr>
        <w:spacing w:line="540" w:lineRule="exact"/>
        <w:rPr>
          <w:rFonts w:hint="eastAsia"/>
          <w:color w:val="auto"/>
          <w:lang w:val="en-US" w:eastAsia="zh-CN"/>
        </w:rPr>
      </w:pPr>
      <w:r>
        <w:rPr>
          <w:rFonts w:hint="eastAsia"/>
          <w:color w:val="auto"/>
          <w:lang w:val="en-US" w:eastAsia="zh-CN"/>
        </w:rPr>
        <w:t>项目支出全年预算数为</w:t>
      </w:r>
      <w:r>
        <w:rPr>
          <w:rFonts w:hint="eastAsia"/>
          <w:color w:val="auto"/>
          <w:lang w:eastAsia="zh-CN"/>
        </w:rPr>
        <w:t>71725</w:t>
      </w:r>
      <w:r>
        <w:rPr>
          <w:rFonts w:hint="eastAsia"/>
          <w:color w:val="auto"/>
          <w:lang w:val="en-US" w:eastAsia="zh-CN"/>
        </w:rPr>
        <w:t>.</w:t>
      </w:r>
      <w:r>
        <w:rPr>
          <w:rFonts w:hint="eastAsia"/>
          <w:color w:val="auto"/>
          <w:lang w:eastAsia="zh-CN"/>
        </w:rPr>
        <w:t>9</w:t>
      </w:r>
      <w:r>
        <w:rPr>
          <w:rFonts w:hint="eastAsia"/>
          <w:color w:val="auto"/>
          <w:lang w:val="en-US" w:eastAsia="zh-CN"/>
        </w:rPr>
        <w:t>9</w:t>
      </w:r>
      <w:r>
        <w:rPr>
          <w:rFonts w:hint="eastAsia"/>
          <w:color w:val="auto"/>
          <w:lang w:eastAsia="zh-CN"/>
        </w:rPr>
        <w:t>万元，实际</w:t>
      </w:r>
      <w:r>
        <w:rPr>
          <w:rFonts w:hint="eastAsia"/>
          <w:color w:val="auto"/>
          <w:lang w:val="en-US" w:eastAsia="zh-CN"/>
        </w:rPr>
        <w:t>支出资金</w:t>
      </w:r>
      <w:r>
        <w:rPr>
          <w:rFonts w:hint="eastAsia"/>
          <w:color w:val="auto"/>
          <w:lang w:eastAsia="zh-CN"/>
        </w:rPr>
        <w:t>71725</w:t>
      </w:r>
      <w:r>
        <w:rPr>
          <w:rFonts w:hint="eastAsia"/>
          <w:color w:val="auto"/>
          <w:lang w:val="en-US" w:eastAsia="zh-CN"/>
        </w:rPr>
        <w:t>.</w:t>
      </w:r>
      <w:r>
        <w:rPr>
          <w:rFonts w:hint="eastAsia"/>
          <w:color w:val="auto"/>
          <w:lang w:eastAsia="zh-CN"/>
        </w:rPr>
        <w:t>9</w:t>
      </w:r>
      <w:r>
        <w:rPr>
          <w:rFonts w:hint="eastAsia"/>
          <w:color w:val="auto"/>
          <w:lang w:val="en-US" w:eastAsia="zh-CN"/>
        </w:rPr>
        <w:t>9</w:t>
      </w:r>
      <w:r>
        <w:rPr>
          <w:rFonts w:hint="eastAsia"/>
          <w:color w:val="auto"/>
          <w:lang w:eastAsia="zh-CN"/>
        </w:rPr>
        <w:t>万元，</w:t>
      </w:r>
      <w:r>
        <w:rPr>
          <w:rFonts w:hint="eastAsia"/>
          <w:color w:val="auto"/>
          <w:lang w:val="en-US" w:eastAsia="zh-CN"/>
        </w:rPr>
        <w:t>项目支出预算执行率为100%</w:t>
      </w:r>
      <w:r>
        <w:rPr>
          <w:rFonts w:hint="eastAsia"/>
          <w:color w:val="auto"/>
          <w:lang w:eastAsia="zh-CN"/>
        </w:rPr>
        <w:t>。</w:t>
      </w:r>
      <w:r>
        <w:rPr>
          <w:rFonts w:hint="eastAsia"/>
          <w:color w:val="auto"/>
          <w:lang w:val="en-US" w:eastAsia="zh-CN"/>
        </w:rPr>
        <w:t>2023年开展的项目均已按计划开展实施，且项目资金由上级和本级财政预算资金都按进度支付到位，项目进度都已达计划要求。</w:t>
      </w:r>
    </w:p>
    <w:p>
      <w:pPr>
        <w:spacing w:line="540" w:lineRule="exact"/>
        <w:rPr>
          <w:rStyle w:val="18"/>
          <w:rFonts w:hint="default" w:ascii="仿宋_GB2312" w:hAnsi="仿宋_GB2312" w:eastAsia="仿宋" w:cs="仿宋_GB2312"/>
          <w:b w:val="0"/>
          <w:color w:val="auto"/>
          <w:spacing w:val="-4"/>
          <w:sz w:val="28"/>
          <w:szCs w:val="28"/>
          <w:lang w:val="en-US" w:eastAsia="zh-CN"/>
        </w:rPr>
      </w:pPr>
      <w:r>
        <w:rPr>
          <w:rFonts w:hint="eastAsia"/>
          <w:color w:val="auto"/>
          <w:lang w:val="en-US" w:eastAsia="zh-CN"/>
        </w:rPr>
        <w:t>综上所述，该指标权重分值10分，该指标得分为10分。</w:t>
      </w:r>
    </w:p>
    <w:p>
      <w:pPr>
        <w:spacing w:line="540" w:lineRule="exact"/>
        <w:ind w:firstLine="494" w:firstLineChars="181"/>
        <w:rPr>
          <w:rStyle w:val="18"/>
          <w:rFonts w:hint="eastAsia" w:ascii="仿宋_GB2312" w:hAnsi="仿宋_GB2312" w:eastAsia="仿宋_GB2312" w:cs="仿宋_GB2312"/>
          <w:b/>
          <w:bCs w:val="0"/>
          <w:color w:val="auto"/>
          <w:spacing w:val="-4"/>
          <w:sz w:val="28"/>
          <w:szCs w:val="28"/>
          <w:lang w:val="en-US" w:eastAsia="zh-CN"/>
        </w:rPr>
      </w:pPr>
      <w:r>
        <w:rPr>
          <w:rStyle w:val="18"/>
          <w:rFonts w:hint="eastAsia" w:ascii="仿宋_GB2312" w:hAnsi="仿宋_GB2312" w:eastAsia="仿宋_GB2312" w:cs="仿宋_GB2312"/>
          <w:b/>
          <w:bCs w:val="0"/>
          <w:color w:val="auto"/>
          <w:spacing w:val="-4"/>
          <w:sz w:val="28"/>
          <w:szCs w:val="28"/>
          <w:lang w:val="en-US" w:eastAsia="zh-CN"/>
        </w:rPr>
        <w:t>（二）指标二：</w:t>
      </w:r>
    </w:p>
    <w:p>
      <w:pPr>
        <w:spacing w:line="540" w:lineRule="exact"/>
        <w:rPr>
          <w:rFonts w:hint="eastAsia"/>
          <w:color w:val="auto"/>
          <w:lang w:eastAsia="zh-CN"/>
        </w:rPr>
      </w:pPr>
      <w:r>
        <w:rPr>
          <w:rFonts w:hint="eastAsia" w:ascii="仿宋_GB2312" w:hAnsi="仿宋_GB2312" w:eastAsia="仿宋_GB2312" w:cs="仿宋_GB2312"/>
          <w:color w:val="auto"/>
        </w:rPr>
        <w:t>“</w:t>
      </w:r>
      <w:r>
        <w:rPr>
          <w:rFonts w:hint="default" w:ascii="仿宋_GB2312" w:hAnsi="仿宋_GB2312" w:eastAsia="仿宋_GB2312" w:cs="仿宋_GB2312"/>
          <w:color w:val="auto"/>
          <w:lang w:val="en-US" w:eastAsia="zh-CN"/>
        </w:rPr>
        <w:t>‘</w:t>
      </w:r>
      <w:r>
        <w:rPr>
          <w:rFonts w:hint="eastAsia" w:ascii="仿宋_GB2312" w:hAnsi="仿宋_GB2312" w:eastAsia="仿宋_GB2312" w:cs="仿宋_GB2312"/>
          <w:color w:val="auto"/>
        </w:rPr>
        <w:t>三公经费</w:t>
      </w:r>
      <w:r>
        <w:rPr>
          <w:rFonts w:hint="default" w:ascii="仿宋_GB2312" w:hAnsi="仿宋_GB2312" w:eastAsia="仿宋_GB2312" w:cs="仿宋_GB2312"/>
          <w:color w:val="auto"/>
          <w:lang w:val="en-US" w:eastAsia="zh-CN"/>
        </w:rPr>
        <w:t>’</w:t>
      </w:r>
      <w:r>
        <w:rPr>
          <w:rFonts w:hint="eastAsia" w:ascii="仿宋_GB2312" w:hAnsi="仿宋_GB2312" w:eastAsia="仿宋_GB2312" w:cs="仿宋_GB2312"/>
          <w:color w:val="auto"/>
        </w:rPr>
        <w:t>控制率”指标</w:t>
      </w:r>
      <w:r>
        <w:rPr>
          <w:rFonts w:hint="eastAsia"/>
          <w:color w:val="auto"/>
        </w:rPr>
        <w:t>预期指标值</w:t>
      </w:r>
      <w:r>
        <w:rPr>
          <w:rFonts w:hint="eastAsia"/>
          <w:color w:val="auto"/>
          <w:lang w:eastAsia="zh-CN"/>
        </w:rPr>
        <w:t>为</w:t>
      </w:r>
      <w:r>
        <w:rPr>
          <w:rFonts w:hint="eastAsia"/>
          <w:color w:val="auto"/>
          <w:lang w:val="en-US" w:eastAsia="zh-CN"/>
        </w:rPr>
        <w:t>100%</w:t>
      </w:r>
      <w:r>
        <w:rPr>
          <w:rFonts w:hint="eastAsia"/>
          <w:color w:val="auto"/>
        </w:rPr>
        <w:t>，</w:t>
      </w:r>
      <w:r>
        <w:rPr>
          <w:rStyle w:val="18"/>
          <w:rFonts w:hint="eastAsia" w:ascii="仿宋_GB2312" w:hAnsi="仿宋_GB2312" w:eastAsia="仿宋_GB2312" w:cs="仿宋_GB2312"/>
          <w:b w:val="0"/>
          <w:color w:val="auto"/>
          <w:spacing w:val="-4"/>
          <w:sz w:val="28"/>
          <w:szCs w:val="28"/>
          <w:lang w:val="en-US" w:eastAsia="zh-CN"/>
        </w:rPr>
        <w:t>年中绩效运行监控完成值为100%，按照序时进度指标完成率为50%；本次评价</w:t>
      </w:r>
      <w:r>
        <w:rPr>
          <w:rFonts w:hint="eastAsia"/>
          <w:color w:val="auto"/>
        </w:rPr>
        <w:t>实际完成指标值为</w:t>
      </w:r>
      <w:r>
        <w:rPr>
          <w:rFonts w:hint="eastAsia"/>
          <w:color w:val="auto"/>
          <w:lang w:val="en-US" w:eastAsia="zh-CN"/>
        </w:rPr>
        <w:t>100%</w:t>
      </w:r>
      <w:r>
        <w:rPr>
          <w:rFonts w:hint="eastAsia"/>
          <w:color w:val="auto"/>
          <w:lang w:eastAsia="zh-CN"/>
        </w:rPr>
        <w:t>。</w:t>
      </w:r>
      <w:r>
        <w:rPr>
          <w:rFonts w:hint="eastAsia"/>
          <w:color w:val="auto"/>
          <w:lang w:val="en-US" w:eastAsia="zh-CN"/>
        </w:rPr>
        <w:t>该</w:t>
      </w:r>
      <w:r>
        <w:rPr>
          <w:rFonts w:hint="eastAsia"/>
          <w:color w:val="auto"/>
        </w:rPr>
        <w:t>指标完成率为</w:t>
      </w:r>
      <w:r>
        <w:rPr>
          <w:rFonts w:hint="eastAsia"/>
          <w:color w:val="auto"/>
          <w:lang w:val="en-US" w:eastAsia="zh-CN"/>
        </w:rPr>
        <w:t>100</w:t>
      </w:r>
      <w:r>
        <w:rPr>
          <w:rFonts w:hint="eastAsia"/>
          <w:color w:val="auto"/>
        </w:rPr>
        <w:t>%，</w:t>
      </w:r>
      <w:r>
        <w:rPr>
          <w:rFonts w:hint="eastAsia"/>
          <w:color w:val="auto"/>
          <w:lang w:val="en-US" w:eastAsia="zh-CN"/>
        </w:rPr>
        <w:t>无偏差。</w:t>
      </w:r>
    </w:p>
    <w:p>
      <w:pPr>
        <w:spacing w:line="540" w:lineRule="exact"/>
        <w:rPr>
          <w:rFonts w:hint="eastAsia"/>
          <w:color w:val="auto"/>
          <w:lang w:val="en-US" w:eastAsia="zh-CN"/>
        </w:rPr>
      </w:pPr>
      <w:r>
        <w:rPr>
          <w:rFonts w:hint="eastAsia" w:eastAsia="仿宋_GB2312"/>
          <w:color w:val="auto"/>
          <w:lang w:eastAsia="zh-CN"/>
        </w:rPr>
        <w:t>完成情况及成效分析：我单位</w:t>
      </w:r>
      <w:r>
        <w:rPr>
          <w:rFonts w:hint="eastAsia"/>
          <w:color w:val="auto"/>
          <w:highlight w:val="none"/>
          <w:lang w:val="en-US" w:eastAsia="zh-CN"/>
        </w:rPr>
        <w:t>2023年</w:t>
      </w:r>
      <w:r>
        <w:rPr>
          <w:rFonts w:hint="eastAsia"/>
          <w:color w:val="auto"/>
          <w:lang w:val="en-US" w:eastAsia="zh-CN"/>
        </w:rPr>
        <w:t>“三公经费”年初预算为5万元整，截止2023年年底“三公经费”实际支出为2.500125万元用于单位公务车辆运行，单位“三公经费”支出得到有效控制，指标完达到预期值</w:t>
      </w:r>
      <w:r>
        <w:rPr>
          <w:rFonts w:hint="eastAsia"/>
          <w:color w:val="auto"/>
          <w:highlight w:val="none"/>
          <w:lang w:val="en-US" w:eastAsia="zh-CN"/>
        </w:rPr>
        <w:t>。</w:t>
      </w:r>
    </w:p>
    <w:p>
      <w:pPr>
        <w:spacing w:line="540" w:lineRule="exact"/>
        <w:rPr>
          <w:rStyle w:val="18"/>
          <w:rFonts w:hint="default" w:ascii="仿宋_GB2312" w:hAnsi="仿宋_GB2312" w:eastAsia="仿宋" w:cs="仿宋_GB2312"/>
          <w:b w:val="0"/>
          <w:color w:val="auto"/>
          <w:spacing w:val="-4"/>
          <w:sz w:val="28"/>
          <w:szCs w:val="28"/>
          <w:lang w:val="en-US" w:eastAsia="zh-CN"/>
        </w:rPr>
      </w:pPr>
      <w:r>
        <w:rPr>
          <w:rFonts w:hint="eastAsia"/>
          <w:color w:val="auto"/>
          <w:lang w:val="en-US" w:eastAsia="zh-CN"/>
        </w:rPr>
        <w:t>综上所述，该指标权重分值10分，该指标得分为10分。</w:t>
      </w:r>
    </w:p>
    <w:p>
      <w:pPr>
        <w:spacing w:line="540" w:lineRule="exact"/>
        <w:ind w:firstLine="494" w:firstLineChars="181"/>
        <w:rPr>
          <w:rStyle w:val="18"/>
          <w:rFonts w:hint="eastAsia" w:ascii="仿宋_GB2312" w:hAnsi="仿宋_GB2312" w:eastAsia="仿宋_GB2312" w:cs="仿宋_GB2312"/>
          <w:b/>
          <w:bCs w:val="0"/>
          <w:color w:val="auto"/>
          <w:spacing w:val="-4"/>
          <w:sz w:val="28"/>
          <w:szCs w:val="28"/>
          <w:lang w:val="en-US" w:eastAsia="zh-CN"/>
        </w:rPr>
      </w:pPr>
      <w:r>
        <w:rPr>
          <w:rStyle w:val="18"/>
          <w:rFonts w:hint="eastAsia" w:ascii="仿宋_GB2312" w:hAnsi="仿宋_GB2312" w:eastAsia="仿宋_GB2312" w:cs="仿宋_GB2312"/>
          <w:b/>
          <w:bCs w:val="0"/>
          <w:color w:val="auto"/>
          <w:spacing w:val="-4"/>
          <w:sz w:val="28"/>
          <w:szCs w:val="28"/>
          <w:lang w:val="en-US" w:eastAsia="zh-CN"/>
        </w:rPr>
        <w:t>（三）指标三：</w:t>
      </w:r>
    </w:p>
    <w:p>
      <w:pPr>
        <w:spacing w:line="540" w:lineRule="exact"/>
        <w:rPr>
          <w:rFonts w:hint="eastAsia" w:eastAsia="仿宋_GB2312"/>
          <w:color w:val="auto"/>
          <w:lang w:eastAsia="zh-CN"/>
        </w:rPr>
      </w:pPr>
      <w:r>
        <w:rPr>
          <w:rFonts w:hint="eastAsia" w:ascii="仿宋_GB2312" w:hAnsi="仿宋_GB2312" w:eastAsia="仿宋_GB2312" w:cs="仿宋_GB2312"/>
          <w:color w:val="auto"/>
        </w:rPr>
        <w:t>“行业领域安全监管和专项整治及时率”指标</w:t>
      </w:r>
      <w:r>
        <w:rPr>
          <w:rFonts w:hint="eastAsia"/>
          <w:color w:val="auto"/>
        </w:rPr>
        <w:t>预期指标值为</w:t>
      </w:r>
      <w:r>
        <w:rPr>
          <w:rFonts w:hint="eastAsia"/>
          <w:color w:val="auto"/>
          <w:lang w:val="en-US" w:eastAsia="zh-CN"/>
        </w:rPr>
        <w:t>大于等于95%</w:t>
      </w:r>
      <w:r>
        <w:rPr>
          <w:rFonts w:hint="eastAsia"/>
          <w:color w:val="auto"/>
        </w:rPr>
        <w:t>，</w:t>
      </w:r>
      <w:r>
        <w:rPr>
          <w:rStyle w:val="18"/>
          <w:rFonts w:hint="eastAsia" w:ascii="仿宋_GB2312" w:hAnsi="仿宋_GB2312" w:eastAsia="仿宋_GB2312" w:cs="仿宋_GB2312"/>
          <w:b w:val="0"/>
          <w:color w:val="auto"/>
          <w:spacing w:val="-4"/>
          <w:sz w:val="28"/>
          <w:szCs w:val="28"/>
          <w:lang w:val="en-US" w:eastAsia="zh-CN"/>
        </w:rPr>
        <w:t>年中绩效运行监控完成值为95%，按照序时进度指标完成率为50%；本次评价</w:t>
      </w:r>
      <w:r>
        <w:rPr>
          <w:rFonts w:hint="eastAsia"/>
          <w:color w:val="auto"/>
        </w:rPr>
        <w:t>实际完成指标值为</w:t>
      </w:r>
      <w:r>
        <w:rPr>
          <w:rStyle w:val="18"/>
          <w:rFonts w:hint="eastAsia" w:ascii="仿宋_GB2312" w:hAnsi="仿宋_GB2312" w:eastAsia="仿宋_GB2312" w:cs="仿宋_GB2312"/>
          <w:b w:val="0"/>
          <w:color w:val="auto"/>
          <w:spacing w:val="-4"/>
          <w:sz w:val="28"/>
          <w:szCs w:val="28"/>
          <w:lang w:val="en-US" w:eastAsia="zh-CN"/>
        </w:rPr>
        <w:t>95%</w:t>
      </w:r>
      <w:r>
        <w:rPr>
          <w:rFonts w:hint="eastAsia"/>
          <w:color w:val="auto"/>
          <w:lang w:val="en-US" w:eastAsia="zh-CN"/>
        </w:rPr>
        <w:t>，该</w:t>
      </w:r>
      <w:r>
        <w:rPr>
          <w:rFonts w:hint="eastAsia" w:cs="Times New Roman"/>
          <w:color w:val="auto"/>
          <w:highlight w:val="none"/>
          <w:lang w:val="en-US" w:eastAsia="zh-CN"/>
        </w:rPr>
        <w:t>指标</w:t>
      </w:r>
      <w:r>
        <w:rPr>
          <w:rFonts w:hint="eastAsia"/>
          <w:color w:val="auto"/>
        </w:rPr>
        <w:t>完成率为</w:t>
      </w:r>
      <w:r>
        <w:rPr>
          <w:rFonts w:hint="eastAsia"/>
          <w:color w:val="auto"/>
          <w:lang w:val="en-US" w:eastAsia="zh-CN"/>
        </w:rPr>
        <w:t>100</w:t>
      </w:r>
      <w:r>
        <w:rPr>
          <w:rFonts w:hint="eastAsia"/>
          <w:color w:val="auto"/>
        </w:rPr>
        <w:t>%，</w:t>
      </w:r>
      <w:r>
        <w:rPr>
          <w:rFonts w:hint="eastAsia"/>
          <w:color w:val="auto"/>
          <w:lang w:val="en-US" w:eastAsia="zh-CN"/>
        </w:rPr>
        <w:t>无偏差</w:t>
      </w:r>
      <w:r>
        <w:rPr>
          <w:rFonts w:hint="eastAsia" w:eastAsia="仿宋_GB2312"/>
          <w:color w:val="auto"/>
          <w:lang w:eastAsia="zh-CN"/>
        </w:rPr>
        <w:t>。</w:t>
      </w:r>
    </w:p>
    <w:p>
      <w:pPr>
        <w:spacing w:line="540" w:lineRule="exact"/>
        <w:rPr>
          <w:rFonts w:hint="eastAsia"/>
          <w:color w:val="auto"/>
          <w:lang w:val="en-US" w:eastAsia="zh-CN"/>
        </w:rPr>
      </w:pPr>
      <w:r>
        <w:rPr>
          <w:rFonts w:hint="eastAsia" w:eastAsia="仿宋_GB2312"/>
          <w:color w:val="auto"/>
          <w:lang w:eastAsia="zh-CN"/>
        </w:rPr>
        <w:t>完成情况及成效分析：</w:t>
      </w:r>
      <w:r>
        <w:rPr>
          <w:rFonts w:hint="eastAsia" w:cs="Times New Roman"/>
          <w:color w:val="auto"/>
          <w:lang w:val="en-US" w:eastAsia="zh-CN"/>
        </w:rPr>
        <w:t>2023年我单位职能部门制定且开展了加强建筑施工安全监督管理，建立健全并严格执行安全生产规章制度，落实安全生产负责制，明确各施工企业对施工现场的管理责任，进一步加强建筑安全的巡查检查工作，规范了建设项目的施工安全评价工作，以评价促管理。实施</w:t>
      </w:r>
      <w:r>
        <w:rPr>
          <w:rFonts w:hint="eastAsia" w:cs="Times New Roman"/>
          <w:color w:val="auto"/>
        </w:rPr>
        <w:t>行业领域安全监管和专项整治</w:t>
      </w:r>
      <w:r>
        <w:rPr>
          <w:rFonts w:hint="eastAsia" w:cs="Times New Roman"/>
          <w:color w:val="auto"/>
          <w:lang w:eastAsia="zh-CN"/>
        </w:rPr>
        <w:t>工作，全面性、系统性的按照发现的安全风险问题进行逐项监督整改治理，截止到年底均已整治完毕，</w:t>
      </w:r>
      <w:r>
        <w:rPr>
          <w:rFonts w:hint="eastAsia"/>
          <w:color w:val="auto"/>
          <w:lang w:val="en-US" w:eastAsia="zh-CN"/>
        </w:rPr>
        <w:t>项目进度都已达计划要求</w:t>
      </w:r>
      <w:r>
        <w:rPr>
          <w:rFonts w:hint="eastAsia"/>
          <w:color w:val="auto"/>
          <w:highlight w:val="none"/>
          <w:lang w:val="en-US" w:eastAsia="zh-CN"/>
        </w:rPr>
        <w:t>。</w:t>
      </w:r>
    </w:p>
    <w:p>
      <w:pPr>
        <w:spacing w:line="540" w:lineRule="exact"/>
        <w:rPr>
          <w:rFonts w:hint="eastAsia"/>
          <w:color w:val="auto"/>
          <w:lang w:val="en-US" w:eastAsia="zh-CN"/>
        </w:rPr>
      </w:pPr>
      <w:r>
        <w:rPr>
          <w:rFonts w:hint="eastAsia"/>
          <w:color w:val="auto"/>
          <w:lang w:val="en-US" w:eastAsia="zh-CN"/>
        </w:rPr>
        <w:t>综上所述，该指标权重分值5分，该指标得分为5分。</w:t>
      </w:r>
    </w:p>
    <w:p>
      <w:pPr>
        <w:spacing w:line="540" w:lineRule="exact"/>
        <w:ind w:firstLine="494" w:firstLineChars="181"/>
        <w:rPr>
          <w:rStyle w:val="18"/>
          <w:rFonts w:hint="eastAsia" w:ascii="仿宋_GB2312" w:hAnsi="仿宋_GB2312" w:eastAsia="仿宋_GB2312" w:cs="仿宋_GB2312"/>
          <w:b/>
          <w:bCs w:val="0"/>
          <w:color w:val="auto"/>
          <w:spacing w:val="-4"/>
          <w:sz w:val="28"/>
          <w:szCs w:val="28"/>
          <w:lang w:val="en-US" w:eastAsia="zh-CN"/>
        </w:rPr>
      </w:pPr>
      <w:r>
        <w:rPr>
          <w:rStyle w:val="18"/>
          <w:rFonts w:hint="eastAsia" w:ascii="仿宋_GB2312" w:hAnsi="仿宋_GB2312" w:eastAsia="仿宋_GB2312" w:cs="仿宋_GB2312"/>
          <w:b/>
          <w:bCs w:val="0"/>
          <w:color w:val="auto"/>
          <w:spacing w:val="-4"/>
          <w:sz w:val="28"/>
          <w:szCs w:val="28"/>
          <w:lang w:val="en-US" w:eastAsia="zh-CN"/>
        </w:rPr>
        <w:t>（四）指标四：</w:t>
      </w:r>
    </w:p>
    <w:p>
      <w:pPr>
        <w:spacing w:line="540" w:lineRule="exact"/>
        <w:rPr>
          <w:rFonts w:hint="eastAsia"/>
          <w:color w:val="auto"/>
          <w:lang w:eastAsia="zh-CN"/>
        </w:rPr>
      </w:pPr>
      <w:r>
        <w:rPr>
          <w:rFonts w:hint="eastAsia" w:ascii="仿宋_GB2312" w:hAnsi="仿宋_GB2312" w:eastAsia="仿宋_GB2312" w:cs="仿宋_GB2312"/>
          <w:color w:val="auto"/>
        </w:rPr>
        <w:t>“农村危房改造补助发放及时率”指标</w:t>
      </w:r>
      <w:r>
        <w:rPr>
          <w:rFonts w:hint="eastAsia"/>
          <w:color w:val="auto"/>
        </w:rPr>
        <w:t>预期指标值</w:t>
      </w:r>
      <w:r>
        <w:rPr>
          <w:rFonts w:hint="eastAsia"/>
          <w:color w:val="auto"/>
          <w:lang w:eastAsia="zh-CN"/>
        </w:rPr>
        <w:t>为</w:t>
      </w:r>
      <w:r>
        <w:rPr>
          <w:rFonts w:hint="eastAsia"/>
          <w:color w:val="auto"/>
          <w:lang w:val="en-US" w:eastAsia="zh-CN"/>
        </w:rPr>
        <w:t>100%</w:t>
      </w:r>
      <w:r>
        <w:rPr>
          <w:rFonts w:hint="eastAsia"/>
          <w:color w:val="auto"/>
        </w:rPr>
        <w:t>，</w:t>
      </w:r>
      <w:r>
        <w:rPr>
          <w:rStyle w:val="18"/>
          <w:rFonts w:hint="eastAsia" w:ascii="仿宋_GB2312" w:hAnsi="仿宋_GB2312" w:eastAsia="仿宋_GB2312" w:cs="仿宋_GB2312"/>
          <w:b w:val="0"/>
          <w:color w:val="auto"/>
          <w:spacing w:val="-4"/>
          <w:sz w:val="28"/>
          <w:szCs w:val="28"/>
          <w:lang w:val="en-US" w:eastAsia="zh-CN"/>
        </w:rPr>
        <w:t>年中绩效运行监控完成值为100%，按照序时进度指标完成率为100%；本次评价</w:t>
      </w:r>
      <w:r>
        <w:rPr>
          <w:rFonts w:hint="eastAsia"/>
          <w:color w:val="auto"/>
        </w:rPr>
        <w:t>实际完成指标值为</w:t>
      </w:r>
      <w:r>
        <w:rPr>
          <w:rFonts w:hint="eastAsia"/>
          <w:color w:val="auto"/>
          <w:lang w:val="en-US" w:eastAsia="zh-CN"/>
        </w:rPr>
        <w:t>100%，该</w:t>
      </w:r>
      <w:r>
        <w:rPr>
          <w:rFonts w:hint="eastAsia"/>
          <w:color w:val="auto"/>
        </w:rPr>
        <w:t>指标完成率为</w:t>
      </w:r>
      <w:r>
        <w:rPr>
          <w:rFonts w:hint="eastAsia"/>
          <w:color w:val="auto"/>
          <w:lang w:val="en-US" w:eastAsia="zh-CN"/>
        </w:rPr>
        <w:t>100</w:t>
      </w:r>
      <w:r>
        <w:rPr>
          <w:rFonts w:hint="eastAsia"/>
          <w:color w:val="auto"/>
        </w:rPr>
        <w:t>%，</w:t>
      </w:r>
      <w:r>
        <w:rPr>
          <w:rFonts w:hint="eastAsia"/>
          <w:color w:val="auto"/>
          <w:lang w:val="en-US" w:eastAsia="zh-CN"/>
        </w:rPr>
        <w:t>无偏差</w:t>
      </w:r>
      <w:r>
        <w:rPr>
          <w:rFonts w:hint="eastAsia"/>
          <w:color w:val="auto"/>
          <w:lang w:eastAsia="zh-CN"/>
        </w:rPr>
        <w:t>。</w:t>
      </w:r>
    </w:p>
    <w:p>
      <w:pPr>
        <w:spacing w:line="540" w:lineRule="exact"/>
        <w:rPr>
          <w:rFonts w:hint="eastAsia"/>
          <w:color w:val="auto"/>
          <w:lang w:val="en-US" w:eastAsia="zh-CN"/>
        </w:rPr>
      </w:pPr>
      <w:r>
        <w:rPr>
          <w:rFonts w:hint="eastAsia" w:eastAsia="仿宋_GB2312"/>
          <w:color w:val="auto"/>
          <w:lang w:eastAsia="zh-CN"/>
        </w:rPr>
        <w:t>完成情况及成效分析：</w:t>
      </w:r>
      <w:r>
        <w:rPr>
          <w:rFonts w:hint="eastAsia"/>
          <w:color w:val="auto"/>
          <w:highlight w:val="none"/>
          <w:lang w:val="en-US" w:eastAsia="zh-CN"/>
        </w:rPr>
        <w:t>2023年</w:t>
      </w:r>
      <w:r>
        <w:rPr>
          <w:rFonts w:hint="eastAsia" w:ascii="仿宋_GB2312" w:hAnsi="仿宋_GB2312" w:eastAsia="仿宋_GB2312" w:cs="仿宋_GB2312"/>
          <w:color w:val="auto"/>
        </w:rPr>
        <w:t>农村危房改造补助</w:t>
      </w:r>
      <w:r>
        <w:rPr>
          <w:rFonts w:hint="eastAsia" w:ascii="仿宋_GB2312" w:hAnsi="仿宋_GB2312" w:eastAsia="仿宋_GB2312" w:cs="仿宋_GB2312"/>
          <w:color w:val="auto"/>
          <w:lang w:eastAsia="zh-CN"/>
        </w:rPr>
        <w:t>在财政预算到位后并按照进度由财政一卡通代发账户</w:t>
      </w:r>
      <w:r>
        <w:rPr>
          <w:rFonts w:hint="eastAsia" w:ascii="仿宋_GB2312" w:hAnsi="仿宋_GB2312" w:eastAsia="仿宋_GB2312" w:cs="仿宋_GB2312"/>
          <w:color w:val="auto"/>
        </w:rPr>
        <w:t>发放</w:t>
      </w:r>
      <w:r>
        <w:rPr>
          <w:rFonts w:hint="eastAsia" w:ascii="仿宋_GB2312" w:hAnsi="仿宋_GB2312" w:eastAsia="仿宋_GB2312" w:cs="仿宋_GB2312"/>
          <w:color w:val="auto"/>
          <w:lang w:eastAsia="zh-CN"/>
        </w:rPr>
        <w:t>的需要补贴的危房改造农户手中，农村危房改造</w:t>
      </w:r>
      <w:r>
        <w:rPr>
          <w:rFonts w:hint="eastAsia"/>
          <w:color w:val="auto"/>
          <w:lang w:val="en-US" w:eastAsia="zh-CN"/>
        </w:rPr>
        <w:t>工作顺利开展，</w:t>
      </w:r>
      <w:r>
        <w:rPr>
          <w:rFonts w:hint="eastAsia" w:cs="Times New Roman"/>
          <w:color w:val="auto"/>
          <w:lang w:val="en-US" w:eastAsia="zh-CN"/>
        </w:rPr>
        <w:t>落实抗震防灾工程建设。我县2023年抗震防灾工程建设任务是16户（六类人员家庭，民政部门审核提名），已开工16户，开工率100%、竣工16户、竣工率100%，</w:t>
      </w:r>
      <w:r>
        <w:rPr>
          <w:rFonts w:hint="eastAsia"/>
          <w:color w:val="auto"/>
          <w:lang w:val="en-US" w:eastAsia="zh-CN"/>
        </w:rPr>
        <w:t>项目进度都已达计划要求</w:t>
      </w:r>
      <w:r>
        <w:rPr>
          <w:rFonts w:hint="eastAsia"/>
          <w:color w:val="auto"/>
          <w:highlight w:val="none"/>
          <w:lang w:val="en-US" w:eastAsia="zh-CN"/>
        </w:rPr>
        <w:t>。</w:t>
      </w:r>
    </w:p>
    <w:p>
      <w:pPr>
        <w:spacing w:line="540" w:lineRule="exact"/>
        <w:rPr>
          <w:rFonts w:hint="eastAsia"/>
          <w:color w:val="auto"/>
          <w:lang w:val="en-US" w:eastAsia="zh-CN"/>
        </w:rPr>
      </w:pPr>
      <w:r>
        <w:rPr>
          <w:rFonts w:hint="eastAsia"/>
          <w:color w:val="auto"/>
          <w:lang w:val="en-US" w:eastAsia="zh-CN"/>
        </w:rPr>
        <w:t>综上所述，该指标权重分值5分，该指标得分为5分。</w:t>
      </w:r>
    </w:p>
    <w:p>
      <w:pPr>
        <w:spacing w:line="540" w:lineRule="exact"/>
        <w:ind w:firstLine="494" w:firstLineChars="181"/>
        <w:rPr>
          <w:rStyle w:val="18"/>
          <w:rFonts w:hint="eastAsia" w:ascii="仿宋_GB2312" w:hAnsi="仿宋_GB2312" w:eastAsia="仿宋_GB2312" w:cs="仿宋_GB2312"/>
          <w:b/>
          <w:bCs w:val="0"/>
          <w:color w:val="auto"/>
          <w:spacing w:val="-4"/>
          <w:sz w:val="28"/>
          <w:szCs w:val="28"/>
          <w:lang w:val="en-US" w:eastAsia="zh-CN"/>
        </w:rPr>
      </w:pPr>
      <w:r>
        <w:rPr>
          <w:rStyle w:val="18"/>
          <w:rFonts w:hint="eastAsia" w:ascii="仿宋_GB2312" w:hAnsi="仿宋_GB2312" w:eastAsia="仿宋_GB2312" w:cs="仿宋_GB2312"/>
          <w:b/>
          <w:bCs w:val="0"/>
          <w:color w:val="auto"/>
          <w:spacing w:val="-4"/>
          <w:sz w:val="28"/>
          <w:szCs w:val="28"/>
          <w:lang w:val="en-US" w:eastAsia="zh-CN"/>
        </w:rPr>
        <w:t>（五）指标五：</w:t>
      </w:r>
    </w:p>
    <w:p>
      <w:pPr>
        <w:spacing w:line="540" w:lineRule="exact"/>
        <w:rPr>
          <w:rFonts w:hint="eastAsia"/>
          <w:color w:val="auto"/>
          <w:lang w:eastAsia="zh-CN"/>
        </w:rPr>
      </w:pPr>
      <w:r>
        <w:rPr>
          <w:rFonts w:hint="eastAsia" w:ascii="仿宋_GB2312" w:hAnsi="仿宋_GB2312" w:eastAsia="仿宋_GB2312" w:cs="仿宋_GB2312"/>
          <w:color w:val="auto"/>
        </w:rPr>
        <w:t>“完成市政基础设施建设项目”指标</w:t>
      </w:r>
      <w:r>
        <w:rPr>
          <w:rFonts w:hint="eastAsia"/>
          <w:color w:val="auto"/>
        </w:rPr>
        <w:t>预期指标值为</w:t>
      </w:r>
      <w:r>
        <w:rPr>
          <w:rFonts w:hint="eastAsia"/>
          <w:color w:val="auto"/>
          <w:lang w:val="en-US" w:eastAsia="zh-CN"/>
        </w:rPr>
        <w:t>大于等于6个</w:t>
      </w:r>
      <w:r>
        <w:rPr>
          <w:rFonts w:hint="eastAsia"/>
          <w:color w:val="auto"/>
        </w:rPr>
        <w:t>，</w:t>
      </w:r>
      <w:r>
        <w:rPr>
          <w:rStyle w:val="18"/>
          <w:rFonts w:hint="eastAsia" w:ascii="仿宋_GB2312" w:hAnsi="仿宋_GB2312" w:eastAsia="仿宋_GB2312" w:cs="仿宋_GB2312"/>
          <w:b w:val="0"/>
          <w:color w:val="auto"/>
          <w:spacing w:val="-4"/>
          <w:sz w:val="28"/>
          <w:szCs w:val="28"/>
          <w:lang w:val="en-US" w:eastAsia="zh-CN"/>
        </w:rPr>
        <w:t>年中绩效运行监控完成值为未达监控节点；本次评价</w:t>
      </w:r>
      <w:r>
        <w:rPr>
          <w:rFonts w:hint="eastAsia"/>
          <w:color w:val="auto"/>
        </w:rPr>
        <w:t>实际完成指标值为</w:t>
      </w:r>
      <w:r>
        <w:rPr>
          <w:rFonts w:hint="eastAsia"/>
          <w:color w:val="auto"/>
          <w:lang w:val="en-US" w:eastAsia="zh-CN"/>
        </w:rPr>
        <w:t>6个，该</w:t>
      </w:r>
      <w:r>
        <w:rPr>
          <w:rFonts w:hint="eastAsia"/>
          <w:color w:val="auto"/>
        </w:rPr>
        <w:t>指标完成率为</w:t>
      </w:r>
      <w:r>
        <w:rPr>
          <w:rFonts w:hint="eastAsia"/>
          <w:color w:val="auto"/>
          <w:lang w:val="en-US" w:eastAsia="zh-CN"/>
        </w:rPr>
        <w:t>100</w:t>
      </w:r>
      <w:r>
        <w:rPr>
          <w:rFonts w:hint="eastAsia"/>
          <w:color w:val="auto"/>
        </w:rPr>
        <w:t>%，</w:t>
      </w:r>
      <w:r>
        <w:rPr>
          <w:rFonts w:hint="eastAsia"/>
          <w:color w:val="auto"/>
          <w:lang w:eastAsia="zh-CN"/>
        </w:rPr>
        <w:t>无</w:t>
      </w:r>
      <w:r>
        <w:rPr>
          <w:rFonts w:hint="eastAsia"/>
          <w:color w:val="auto"/>
        </w:rPr>
        <w:t>偏差</w:t>
      </w:r>
      <w:r>
        <w:rPr>
          <w:rFonts w:hint="eastAsia"/>
          <w:color w:val="auto"/>
          <w:lang w:eastAsia="zh-CN"/>
        </w:rPr>
        <w:t>。</w:t>
      </w:r>
    </w:p>
    <w:p>
      <w:pPr>
        <w:spacing w:line="540" w:lineRule="exact"/>
        <w:rPr>
          <w:rFonts w:hint="eastAsia"/>
          <w:color w:val="auto"/>
          <w:lang w:val="en-US" w:eastAsia="zh-CN"/>
        </w:rPr>
      </w:pPr>
      <w:r>
        <w:rPr>
          <w:rFonts w:hint="eastAsia" w:eastAsia="仿宋_GB2312"/>
          <w:color w:val="auto"/>
          <w:lang w:eastAsia="zh-CN"/>
        </w:rPr>
        <w:t>完成情况及成效分析：</w:t>
      </w:r>
      <w:r>
        <w:rPr>
          <w:rFonts w:hint="eastAsia"/>
          <w:color w:val="auto"/>
          <w:highlight w:val="none"/>
          <w:lang w:val="en-US" w:eastAsia="zh-CN"/>
        </w:rPr>
        <w:t>2023年积极开展</w:t>
      </w:r>
      <w:r>
        <w:rPr>
          <w:rFonts w:hint="eastAsia"/>
          <w:color w:val="auto"/>
          <w:lang w:val="en-US" w:eastAsia="zh-CN"/>
        </w:rPr>
        <w:t>市政基础设施建设工作</w:t>
      </w:r>
      <w:r>
        <w:rPr>
          <w:rStyle w:val="18"/>
          <w:rFonts w:hint="eastAsia" w:ascii="仿宋_GB2312" w:hAnsi="仿宋_GB2312" w:eastAsia="仿宋_GB2312" w:cs="仿宋_GB2312"/>
          <w:b w:val="0"/>
          <w:color w:val="auto"/>
          <w:spacing w:val="-4"/>
          <w:sz w:val="28"/>
          <w:szCs w:val="28"/>
          <w:lang w:val="en-US" w:eastAsia="zh-CN"/>
        </w:rPr>
        <w:t>。一是完成规划一路、友好路、幸福路等7条道路的建设，合计5.53公里，目前已通车；纬一丝路、纬二丝路、经五丝路、经六丝路、经七丝路路面已完工，正在安装路灯；红旗路（红旗路桥梁至S202）二标段招投标工作已完成，正在办理施工许可证；经三路桥梁（桥梁长17米，跨径12米）主体已完工，油面已铺设完成，正在安装红绿灯，12月通车；红旗路桥梁（全桥总宽度36米、长90米）桥梁柱基已完工，现场箱梁预制台座已建筑完成；二是吐鲁番市托克逊县燃气管网及配套附属设施建设项目，该项目已完成19.8公里燃气管线铺设，完成实物总工程量的95%；2022年燃气管网老化更新改造建设项目－户内燃气设施更新改造任务户数19750户，该项目已完成设备采购19750户，完成户内安装9800余户；三是新建两个地下人行通道，建筑面积：1849㎡，剪力墙结构，建筑高度3.6m，地上1层、地下1层，目前一小通道（建筑面积：1125.05㎡）已投入使用；二中通道（ 建筑面积：723.95㎡）主体已完工，道路已恢复通车，正在做室内铺装，计划11月中旬投入使用，11月底前完成竣工验收；深入优化市政公用服务建设。一是加快我县城市容貌建设，完善城市功能，推进城市亮化进程，做好市政公用设施管理建设工作，今年以来维修破损路面及人行道11000余㎡、更换原有红绿灯信号线840米、维护红绿灯指示牌3个、更换道路中央护栏12节，维护更换各类井盖140余个；维修安装道路路灯180余盏，维修安装红绿灯50余次，维修安装配电柜20余次，更换老旧电缆1850余米、安装穿线管1850余米及其他附属配件。为提升城市品质，规范交通秩序，打造平安、有序、规范的托克逊，今年来完成城区道路护栏安装12千米，完成新农村道路太阳能路灯安装449盏；二是托克逊县现有城镇燃气经营企业14家，民用气3家；天然气母站1座，燃气汽车加气站21个，液化石油气站1家。今年来审批燃气经营许可证4个，其中，初次申领1个（托克逊县银河能源投资建设有限公司银河加气站），延续审批7个，天然气居民用户总户数20570户，商业用户490户，公共用户31户；安装报警器10700户，报警器安装率52%；其中天然气餐饮等公共场所安装报警器314户，报警器安装率100%；液化气石油气餐饮等公共场安装报警器207户，报警器安装率100%；三是托克逊县始昌热力公司有限责任公司承担全县城区供暖任务，采用热电联产形式向全县居民用户实施集中供暖。截至目前全县总采暖建筑面积292万平方米，总清洁取暖面积292万平方米，清洁取暖率达到100%，供热管网总长度70千米。今年以来完成全县45座换热站板式换热器的清洗，排查检修热力管网75公里、管道阀门464个，完成管道阀门更换173处，完成老旧管网更换286米，完成各类电机保养284台；四是托克逊县风城水务有限公司</w:t>
      </w:r>
      <w:r>
        <w:rPr>
          <w:rStyle w:val="18"/>
          <w:rFonts w:hint="default" w:ascii="仿宋_GB2312" w:hAnsi="仿宋_GB2312" w:eastAsia="仿宋_GB2312" w:cs="仿宋_GB2312"/>
          <w:b w:val="0"/>
          <w:color w:val="auto"/>
          <w:spacing w:val="-4"/>
          <w:sz w:val="28"/>
          <w:szCs w:val="28"/>
          <w:lang w:val="en-US" w:eastAsia="zh-CN"/>
        </w:rPr>
        <w:t>负责</w:t>
      </w:r>
      <w:r>
        <w:rPr>
          <w:rStyle w:val="18"/>
          <w:rFonts w:hint="eastAsia" w:ascii="仿宋_GB2312" w:hAnsi="仿宋_GB2312" w:eastAsia="仿宋_GB2312" w:cs="仿宋_GB2312"/>
          <w:b w:val="0"/>
          <w:color w:val="auto"/>
          <w:spacing w:val="-4"/>
          <w:sz w:val="28"/>
          <w:szCs w:val="28"/>
          <w:lang w:val="en-US" w:eastAsia="zh-CN"/>
        </w:rPr>
        <w:t>全县城区</w:t>
      </w:r>
      <w:r>
        <w:rPr>
          <w:rStyle w:val="18"/>
          <w:rFonts w:hint="default" w:ascii="仿宋_GB2312" w:hAnsi="仿宋_GB2312" w:eastAsia="仿宋_GB2312" w:cs="仿宋_GB2312"/>
          <w:b w:val="0"/>
          <w:color w:val="auto"/>
          <w:spacing w:val="-4"/>
          <w:sz w:val="28"/>
          <w:szCs w:val="28"/>
          <w:lang w:val="en-US" w:eastAsia="zh-CN"/>
        </w:rPr>
        <w:t>供水</w:t>
      </w:r>
      <w:r>
        <w:rPr>
          <w:rStyle w:val="18"/>
          <w:rFonts w:hint="eastAsia" w:ascii="仿宋_GB2312" w:hAnsi="仿宋_GB2312" w:eastAsia="仿宋_GB2312" w:cs="仿宋_GB2312"/>
          <w:b w:val="0"/>
          <w:color w:val="auto"/>
          <w:spacing w:val="-4"/>
          <w:sz w:val="28"/>
          <w:szCs w:val="28"/>
          <w:lang w:val="en-US" w:eastAsia="zh-CN"/>
        </w:rPr>
        <w:t>任务，城区水厂2座，供水管网总长172公里，日供水能力2.5万米，日出水量1.5万方。目前我县城区共有用水用户31198户，其中居民用水26949户，商业用水4121户，单位用水128户；今年以来，完成供水量444万立方，其中一水厂153万立方，二水厂291万立方；完成售水量297万立方。为确保饮用水水质的安全，水厂化验人员每日对出厂水、管网水的色度、pH值、细菌总数、大肠杆菌、余氯等10项检测项目进行检测；同时每季度（今年4月份以后改为每月检测）、每年一次委托有专业检测资质的第三方对出厂水、管网水以及末梢水水质39个检测项目以及107项（年检）检测项目进行检测分析，并出具相关检测报告，上报县政府网站和公司上级主管部门，接受群众监督。今年以来完成城区供水管网抢修531余次，疏通排水管道82次，水厂检修35次；五是托克逊县城镇污水处理厂，位于托克逊县夏镇工尚村棉花厂南部，今年以来累计处理生活污水243.3513亿吨，日均处理量约为8913.96吨，最高日处理量为11813吨。产生污泥约3243.50吨，日均处理量约为11.88吨，最高日处理量为19.3吨。为进一步提高城镇污水厂处理能力和处理标准，今年来持续对托克逊县城镇污水处理厂进行提标改造，截至目前，该项目已完成工程总量的80%，计划2023年12月底前完成投入使用，项目建设后，污水处理厂处理规模将达到 20000方/日。</w:t>
      </w:r>
      <w:r>
        <w:rPr>
          <w:rFonts w:hint="eastAsia"/>
          <w:color w:val="auto"/>
          <w:lang w:val="en-US" w:eastAsia="zh-CN"/>
        </w:rPr>
        <w:t>项目进度都已达计划要求</w:t>
      </w:r>
      <w:r>
        <w:rPr>
          <w:rFonts w:hint="eastAsia"/>
          <w:color w:val="auto"/>
          <w:highlight w:val="none"/>
          <w:lang w:val="en-US" w:eastAsia="zh-CN"/>
        </w:rPr>
        <w:t>。</w:t>
      </w:r>
    </w:p>
    <w:p>
      <w:pPr>
        <w:rPr>
          <w:rFonts w:hint="eastAsia"/>
          <w:color w:val="auto"/>
          <w:lang w:val="en-US" w:eastAsia="zh-CN"/>
        </w:rPr>
      </w:pPr>
      <w:r>
        <w:rPr>
          <w:rFonts w:hint="eastAsia"/>
          <w:color w:val="auto"/>
          <w:lang w:val="en-US" w:eastAsia="zh-CN"/>
        </w:rPr>
        <w:t>综上所述，该指标权重分值10分，该指标得分为10分。</w:t>
      </w:r>
    </w:p>
    <w:p>
      <w:pPr>
        <w:numPr>
          <w:ilvl w:val="0"/>
          <w:numId w:val="4"/>
        </w:numPr>
        <w:spacing w:line="540" w:lineRule="exact"/>
        <w:ind w:firstLine="494" w:firstLineChars="181"/>
        <w:rPr>
          <w:rStyle w:val="18"/>
          <w:rFonts w:hint="eastAsia" w:ascii="仿宋_GB2312" w:hAnsi="仿宋_GB2312" w:eastAsia="仿宋_GB2312" w:cs="仿宋_GB2312"/>
          <w:b/>
          <w:bCs w:val="0"/>
          <w:color w:val="auto"/>
          <w:spacing w:val="-4"/>
          <w:sz w:val="28"/>
          <w:szCs w:val="28"/>
          <w:lang w:val="en-US" w:eastAsia="zh-CN"/>
        </w:rPr>
      </w:pPr>
      <w:r>
        <w:rPr>
          <w:rStyle w:val="18"/>
          <w:rFonts w:hint="eastAsia" w:ascii="仿宋_GB2312" w:hAnsi="仿宋_GB2312" w:eastAsia="仿宋_GB2312" w:cs="仿宋_GB2312"/>
          <w:b/>
          <w:bCs w:val="0"/>
          <w:color w:val="auto"/>
          <w:spacing w:val="-4"/>
          <w:sz w:val="28"/>
          <w:szCs w:val="28"/>
          <w:lang w:val="en-US" w:eastAsia="zh-CN"/>
        </w:rPr>
        <w:t>指标六：</w:t>
      </w:r>
    </w:p>
    <w:p>
      <w:pPr>
        <w:spacing w:line="540" w:lineRule="exact"/>
        <w:rPr>
          <w:rFonts w:hint="eastAsia"/>
          <w:color w:val="auto"/>
          <w:highlight w:val="yellow"/>
          <w:lang w:eastAsia="zh-CN"/>
        </w:rPr>
      </w:pPr>
      <w:r>
        <w:rPr>
          <w:rFonts w:hint="eastAsia" w:ascii="仿宋_GB2312" w:hAnsi="仿宋_GB2312" w:eastAsia="仿宋_GB2312" w:cs="仿宋_GB2312"/>
          <w:color w:val="auto"/>
        </w:rPr>
        <w:t>“完成老旧小区、棚户区改造建设项目”指标</w:t>
      </w:r>
      <w:r>
        <w:rPr>
          <w:rFonts w:hint="eastAsia"/>
          <w:color w:val="auto"/>
        </w:rPr>
        <w:t>预期指标值为</w:t>
      </w:r>
      <w:r>
        <w:rPr>
          <w:rFonts w:hint="eastAsia"/>
          <w:color w:val="auto"/>
          <w:lang w:eastAsia="zh-CN"/>
        </w:rPr>
        <w:t>大于等于</w:t>
      </w:r>
      <w:r>
        <w:rPr>
          <w:rFonts w:hint="eastAsia"/>
          <w:color w:val="auto"/>
          <w:lang w:val="en-US" w:eastAsia="zh-CN"/>
        </w:rPr>
        <w:t>4个</w:t>
      </w:r>
      <w:r>
        <w:rPr>
          <w:rFonts w:hint="eastAsia"/>
          <w:color w:val="auto"/>
        </w:rPr>
        <w:t>，</w:t>
      </w:r>
      <w:r>
        <w:rPr>
          <w:rStyle w:val="18"/>
          <w:rFonts w:hint="eastAsia" w:ascii="仿宋_GB2312" w:hAnsi="仿宋_GB2312" w:eastAsia="仿宋_GB2312" w:cs="仿宋_GB2312"/>
          <w:b w:val="0"/>
          <w:color w:val="auto"/>
          <w:spacing w:val="-4"/>
          <w:sz w:val="28"/>
          <w:szCs w:val="28"/>
          <w:lang w:val="en-US" w:eastAsia="zh-CN"/>
        </w:rPr>
        <w:t>年中绩效运行监控完成值为未达监控节点；本次评价</w:t>
      </w:r>
      <w:r>
        <w:rPr>
          <w:rFonts w:hint="eastAsia"/>
          <w:color w:val="auto"/>
        </w:rPr>
        <w:t>实际完成指标值为</w:t>
      </w:r>
      <w:r>
        <w:rPr>
          <w:rFonts w:hint="eastAsia"/>
          <w:color w:val="auto"/>
          <w:lang w:val="en-US" w:eastAsia="zh-CN"/>
        </w:rPr>
        <w:t>4个，该</w:t>
      </w:r>
      <w:r>
        <w:rPr>
          <w:rFonts w:hint="eastAsia"/>
          <w:color w:val="auto"/>
        </w:rPr>
        <w:t>指标完成率为</w:t>
      </w:r>
      <w:r>
        <w:rPr>
          <w:rFonts w:hint="eastAsia"/>
          <w:color w:val="auto"/>
          <w:lang w:val="en-US" w:eastAsia="zh-CN"/>
        </w:rPr>
        <w:t>100</w:t>
      </w:r>
      <w:r>
        <w:rPr>
          <w:rFonts w:hint="eastAsia"/>
          <w:color w:val="auto"/>
        </w:rPr>
        <w:t>%，</w:t>
      </w:r>
      <w:r>
        <w:rPr>
          <w:rFonts w:hint="eastAsia"/>
          <w:color w:val="auto"/>
          <w:lang w:eastAsia="zh-CN"/>
        </w:rPr>
        <w:t>无</w:t>
      </w:r>
      <w:r>
        <w:rPr>
          <w:rFonts w:hint="eastAsia"/>
          <w:color w:val="auto"/>
        </w:rPr>
        <w:t>偏差</w:t>
      </w:r>
      <w:r>
        <w:rPr>
          <w:rFonts w:hint="eastAsia"/>
          <w:color w:val="auto"/>
          <w:lang w:eastAsia="zh-CN"/>
        </w:rPr>
        <w:t>。</w:t>
      </w:r>
    </w:p>
    <w:p>
      <w:pPr>
        <w:spacing w:line="540" w:lineRule="exact"/>
        <w:rPr>
          <w:rFonts w:hint="eastAsia"/>
          <w:color w:val="auto"/>
          <w:highlight w:val="none"/>
          <w:lang w:val="en-US" w:eastAsia="zh-CN"/>
        </w:rPr>
      </w:pPr>
      <w:r>
        <w:rPr>
          <w:rFonts w:hint="eastAsia" w:eastAsia="仿宋_GB2312"/>
          <w:color w:val="auto"/>
          <w:highlight w:val="none"/>
          <w:lang w:eastAsia="zh-CN"/>
        </w:rPr>
        <w:t>完成情况及成效分析：</w:t>
      </w:r>
      <w:r>
        <w:rPr>
          <w:rFonts w:hint="eastAsia"/>
          <w:color w:val="auto"/>
          <w:highlight w:val="none"/>
          <w:lang w:val="en-US" w:eastAsia="zh-CN"/>
        </w:rPr>
        <w:t>2023年</w:t>
      </w:r>
      <w:r>
        <w:rPr>
          <w:rFonts w:hint="eastAsia" w:ascii="仿宋_GB2312" w:hAnsi="仿宋_GB2312" w:eastAsia="仿宋_GB2312" w:cs="仿宋_GB2312"/>
          <w:color w:val="auto"/>
          <w:highlight w:val="none"/>
        </w:rPr>
        <w:t>完成老旧小区、棚户区改造建设项目</w:t>
      </w:r>
      <w:r>
        <w:rPr>
          <w:rFonts w:hint="eastAsia" w:ascii="仿宋_GB2312" w:hAnsi="仿宋_GB2312" w:eastAsia="仿宋_GB2312" w:cs="仿宋_GB2312"/>
          <w:color w:val="auto"/>
          <w:highlight w:val="none"/>
          <w:lang w:eastAsia="zh-CN"/>
        </w:rPr>
        <w:t>共计</w:t>
      </w:r>
      <w:r>
        <w:rPr>
          <w:rFonts w:hint="eastAsia" w:ascii="仿宋_GB2312" w:hAnsi="仿宋_GB2312" w:eastAsia="仿宋_GB2312" w:cs="仿宋_GB2312"/>
          <w:color w:val="auto"/>
          <w:highlight w:val="none"/>
          <w:lang w:val="en-US" w:eastAsia="zh-CN"/>
        </w:rPr>
        <w:t>4个，分别为：1、棚户区改造实施开展续建吐鲁番市托克逊县2020年城南片区棚户区（城中村）改造建设项目-源泉花苑三期；2、吐鲁番市托克逊县2020年城北片区棚户区（城中村）改造建设项目-湖畔学府小区；3、吐鲁番市托克逊县2020年城南片区棚户区（城中村）改造建设项目-润泽华府；4、吐鲁番市托克逊县2020年城北片区棚户区（城中村）改造建设项目-友好花园，4个</w:t>
      </w:r>
      <w:r>
        <w:rPr>
          <w:rFonts w:hint="eastAsia"/>
          <w:color w:val="auto"/>
          <w:highlight w:val="none"/>
          <w:lang w:val="en-US" w:eastAsia="zh-CN"/>
        </w:rPr>
        <w:t>项目均已完成建设，达到验收标准。</w:t>
      </w:r>
    </w:p>
    <w:p>
      <w:pPr>
        <w:rPr>
          <w:rFonts w:hint="eastAsia"/>
          <w:color w:val="auto"/>
          <w:lang w:val="en-US" w:eastAsia="zh-CN"/>
        </w:rPr>
      </w:pPr>
      <w:r>
        <w:rPr>
          <w:rFonts w:hint="eastAsia"/>
          <w:color w:val="auto"/>
          <w:highlight w:val="none"/>
          <w:lang w:val="en-US" w:eastAsia="zh-CN"/>
        </w:rPr>
        <w:t>综上所述，该指标权重分值10分，该指标得分为10分</w:t>
      </w:r>
      <w:r>
        <w:rPr>
          <w:rFonts w:hint="eastAsia"/>
          <w:color w:val="auto"/>
          <w:lang w:val="en-US" w:eastAsia="zh-CN"/>
        </w:rPr>
        <w:t>。</w:t>
      </w:r>
    </w:p>
    <w:p>
      <w:pPr>
        <w:numPr>
          <w:ilvl w:val="0"/>
          <w:numId w:val="4"/>
        </w:numPr>
        <w:spacing w:line="540" w:lineRule="exact"/>
        <w:ind w:firstLine="494" w:firstLineChars="181"/>
        <w:rPr>
          <w:rStyle w:val="18"/>
          <w:rFonts w:hint="eastAsia" w:ascii="仿宋_GB2312" w:hAnsi="仿宋_GB2312" w:eastAsia="仿宋_GB2312" w:cs="仿宋_GB2312"/>
          <w:b/>
          <w:bCs w:val="0"/>
          <w:color w:val="auto"/>
          <w:spacing w:val="-4"/>
          <w:sz w:val="28"/>
          <w:szCs w:val="28"/>
          <w:lang w:val="en-US" w:eastAsia="zh-CN"/>
        </w:rPr>
      </w:pPr>
      <w:r>
        <w:rPr>
          <w:rStyle w:val="18"/>
          <w:rFonts w:hint="eastAsia" w:ascii="仿宋_GB2312" w:hAnsi="仿宋_GB2312" w:eastAsia="仿宋_GB2312" w:cs="仿宋_GB2312"/>
          <w:b/>
          <w:bCs w:val="0"/>
          <w:color w:val="auto"/>
          <w:spacing w:val="-4"/>
          <w:sz w:val="28"/>
          <w:szCs w:val="28"/>
          <w:lang w:val="en-US" w:eastAsia="zh-CN"/>
        </w:rPr>
        <w:t>指标七：</w:t>
      </w:r>
    </w:p>
    <w:p>
      <w:pPr>
        <w:spacing w:line="540" w:lineRule="exact"/>
        <w:rPr>
          <w:rFonts w:hint="eastAsia"/>
          <w:color w:val="auto"/>
          <w:lang w:eastAsia="zh-CN"/>
        </w:rPr>
      </w:pPr>
      <w:r>
        <w:rPr>
          <w:rFonts w:hint="eastAsia" w:ascii="仿宋_GB2312" w:hAnsi="仿宋_GB2312" w:eastAsia="仿宋_GB2312" w:cs="仿宋_GB2312"/>
          <w:color w:val="auto"/>
        </w:rPr>
        <w:t>“住建领域监督整改合格率”指标</w:t>
      </w:r>
      <w:r>
        <w:rPr>
          <w:rFonts w:hint="eastAsia"/>
          <w:color w:val="auto"/>
        </w:rPr>
        <w:t>预期指标值为</w:t>
      </w:r>
      <w:r>
        <w:rPr>
          <w:rFonts w:hint="eastAsia"/>
          <w:color w:val="auto"/>
          <w:lang w:val="en-US" w:eastAsia="zh-CN"/>
        </w:rPr>
        <w:t>100%</w:t>
      </w:r>
      <w:r>
        <w:rPr>
          <w:rFonts w:hint="eastAsia"/>
          <w:color w:val="auto"/>
        </w:rPr>
        <w:t>，</w:t>
      </w:r>
      <w:r>
        <w:rPr>
          <w:rStyle w:val="18"/>
          <w:rFonts w:hint="eastAsia" w:ascii="仿宋_GB2312" w:hAnsi="仿宋_GB2312" w:eastAsia="仿宋_GB2312" w:cs="仿宋_GB2312"/>
          <w:b w:val="0"/>
          <w:color w:val="auto"/>
          <w:spacing w:val="-4"/>
          <w:sz w:val="28"/>
          <w:szCs w:val="28"/>
          <w:lang w:val="en-US" w:eastAsia="zh-CN"/>
        </w:rPr>
        <w:t>年中绩效运行监控完成</w:t>
      </w:r>
      <w:bookmarkStart w:id="0" w:name="_GoBack"/>
      <w:bookmarkEnd w:id="0"/>
      <w:r>
        <w:rPr>
          <w:rStyle w:val="18"/>
          <w:rFonts w:hint="eastAsia" w:ascii="仿宋_GB2312" w:hAnsi="仿宋_GB2312" w:eastAsia="仿宋_GB2312" w:cs="仿宋_GB2312"/>
          <w:b w:val="0"/>
          <w:color w:val="auto"/>
          <w:spacing w:val="-4"/>
          <w:sz w:val="28"/>
          <w:szCs w:val="28"/>
          <w:lang w:val="en-US" w:eastAsia="zh-CN"/>
        </w:rPr>
        <w:t>值为未达监控节点；本次评价</w:t>
      </w:r>
      <w:r>
        <w:rPr>
          <w:rFonts w:hint="eastAsia"/>
          <w:color w:val="auto"/>
        </w:rPr>
        <w:t>实际完成指标值为</w:t>
      </w:r>
      <w:r>
        <w:rPr>
          <w:rFonts w:hint="eastAsia"/>
          <w:color w:val="auto"/>
          <w:lang w:val="en-US" w:eastAsia="zh-CN"/>
        </w:rPr>
        <w:t>100%</w:t>
      </w:r>
      <w:r>
        <w:rPr>
          <w:rFonts w:hint="eastAsia"/>
          <w:color w:val="auto"/>
          <w:lang w:eastAsia="zh-CN"/>
        </w:rPr>
        <w:t>。</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ind w:firstLine="544" w:firstLineChars="200"/>
        <w:jc w:val="both"/>
        <w:textAlignment w:val="auto"/>
        <w:outlineLvl w:val="9"/>
        <w:rPr>
          <w:rFonts w:hint="eastAsia"/>
          <w:color w:val="auto"/>
          <w:lang w:val="en-US" w:eastAsia="zh-CN"/>
        </w:rPr>
      </w:pPr>
      <w:r>
        <w:rPr>
          <w:rStyle w:val="18"/>
          <w:rFonts w:hint="eastAsia" w:ascii="仿宋_GB2312" w:hAnsi="仿宋_GB2312" w:eastAsia="仿宋_GB2312" w:cs="仿宋_GB2312"/>
          <w:b w:val="0"/>
          <w:color w:val="auto"/>
          <w:spacing w:val="-4"/>
          <w:sz w:val="28"/>
          <w:szCs w:val="28"/>
          <w:lang w:val="en-US" w:eastAsia="zh-CN"/>
        </w:rPr>
        <w:t>完成情况及成效分析：2023年开展了加强建筑施工安全监督管理。建立健全并严格执行安全生产规章制度，落实安全生产负责制，明确各施工企业对施工现场的管理责任，进一步加强建筑安全的巡查检查工作，规范建设项目的施工安全评价工作，以评价促管理。今年以来，督查检查组共计出动1200人次，检查点位2011个，发现问题安全隐患1059条，立查立改133条，限期整改926条，整改率100%，下发安全整改通知书129份，检查记录表188份；发现质量隐患问题80条，立查立改10条，限期整改70条，整改率100%，下发质量整改通知书22份，检查记录表136份。截至目前，全县房屋建筑和市政基础设施建设工程项目领域安全生产形势总体平稳，未发生安全生产事故。强化安全生产意识，提高管理水平，组织开展安全生产培训，定期不定期开展演练，增强职工安全防范意识和应急处置能力，将安全生产工作纳入年底考核，切实增强安全生产意识。今年以来完成企业应急预案备案4家，检查市政企业130余次，下发整改通知书64份，发现问题268条，已整改268条，整改率100%。</w:t>
      </w:r>
      <w:r>
        <w:rPr>
          <w:rFonts w:hint="eastAsia"/>
          <w:color w:val="auto"/>
          <w:lang w:val="en-US" w:eastAsia="zh-CN"/>
        </w:rPr>
        <w:t>项目进度都已达计划要求</w:t>
      </w:r>
      <w:r>
        <w:rPr>
          <w:rFonts w:hint="eastAsia"/>
          <w:color w:val="auto"/>
          <w:highlight w:val="none"/>
          <w:lang w:val="en-US" w:eastAsia="zh-CN"/>
        </w:rPr>
        <w:t>。</w:t>
      </w:r>
    </w:p>
    <w:p>
      <w:pPr>
        <w:rPr>
          <w:rFonts w:hint="eastAsia"/>
          <w:color w:val="auto"/>
          <w:lang w:val="en-US" w:eastAsia="zh-CN"/>
        </w:rPr>
      </w:pPr>
      <w:r>
        <w:rPr>
          <w:rFonts w:hint="eastAsia"/>
          <w:color w:val="auto"/>
          <w:lang w:val="en-US" w:eastAsia="zh-CN"/>
        </w:rPr>
        <w:t>综上所述，该指标权重分值10分，该指标得分为10分。</w:t>
      </w:r>
    </w:p>
    <w:p>
      <w:pPr>
        <w:numPr>
          <w:ilvl w:val="0"/>
          <w:numId w:val="4"/>
        </w:numPr>
        <w:spacing w:line="540" w:lineRule="exact"/>
        <w:ind w:firstLine="494" w:firstLineChars="181"/>
        <w:rPr>
          <w:rStyle w:val="18"/>
          <w:rFonts w:hint="eastAsia" w:ascii="仿宋_GB2312" w:hAnsi="仿宋_GB2312" w:eastAsia="仿宋_GB2312" w:cs="仿宋_GB2312"/>
          <w:b/>
          <w:bCs w:val="0"/>
          <w:color w:val="auto"/>
          <w:spacing w:val="-4"/>
          <w:sz w:val="28"/>
          <w:szCs w:val="28"/>
          <w:lang w:val="en-US" w:eastAsia="zh-CN"/>
        </w:rPr>
      </w:pPr>
      <w:r>
        <w:rPr>
          <w:rStyle w:val="18"/>
          <w:rFonts w:hint="eastAsia" w:ascii="仿宋_GB2312" w:hAnsi="仿宋_GB2312" w:eastAsia="仿宋_GB2312" w:cs="仿宋_GB2312"/>
          <w:b/>
          <w:bCs w:val="0"/>
          <w:color w:val="auto"/>
          <w:spacing w:val="-4"/>
          <w:sz w:val="28"/>
          <w:szCs w:val="28"/>
          <w:lang w:val="en-US" w:eastAsia="zh-CN"/>
        </w:rPr>
        <w:t>指标八：</w:t>
      </w:r>
    </w:p>
    <w:p>
      <w:pPr>
        <w:spacing w:line="540" w:lineRule="exact"/>
        <w:rPr>
          <w:rFonts w:hint="eastAsia"/>
          <w:color w:val="auto"/>
          <w:lang w:eastAsia="zh-CN"/>
        </w:rPr>
      </w:pPr>
      <w:r>
        <w:rPr>
          <w:rFonts w:hint="eastAsia" w:ascii="仿宋_GB2312" w:hAnsi="仿宋_GB2312" w:eastAsia="仿宋_GB2312" w:cs="仿宋_GB2312"/>
          <w:color w:val="auto"/>
        </w:rPr>
        <w:t>“</w:t>
      </w:r>
      <w:r>
        <w:rPr>
          <w:rFonts w:hint="eastAsia" w:ascii="仿宋_GB2312" w:hAnsi="仿宋_GB2312" w:eastAsia="仿宋_GB2312" w:cs="仿宋_GB2312"/>
          <w:color w:val="auto"/>
          <w:lang w:eastAsia="zh-CN"/>
        </w:rPr>
        <w:t>保障安居性住房数量</w:t>
      </w:r>
      <w:r>
        <w:rPr>
          <w:rFonts w:hint="eastAsia" w:ascii="仿宋_GB2312" w:hAnsi="仿宋_GB2312" w:eastAsia="仿宋_GB2312" w:cs="仿宋_GB2312"/>
          <w:color w:val="auto"/>
        </w:rPr>
        <w:t>”指标</w:t>
      </w:r>
      <w:r>
        <w:rPr>
          <w:rFonts w:hint="eastAsia"/>
          <w:color w:val="auto"/>
        </w:rPr>
        <w:t>预期指标值为</w:t>
      </w:r>
      <w:r>
        <w:rPr>
          <w:rFonts w:hint="eastAsia"/>
          <w:color w:val="auto"/>
          <w:lang w:eastAsia="zh-CN"/>
        </w:rPr>
        <w:t>大于等于</w:t>
      </w:r>
      <w:r>
        <w:rPr>
          <w:rFonts w:hint="eastAsia"/>
          <w:color w:val="auto"/>
          <w:lang w:val="en-US" w:eastAsia="zh-CN"/>
        </w:rPr>
        <w:t>550套</w:t>
      </w:r>
      <w:r>
        <w:rPr>
          <w:rFonts w:hint="eastAsia"/>
          <w:color w:val="auto"/>
        </w:rPr>
        <w:t>，</w:t>
      </w:r>
      <w:r>
        <w:rPr>
          <w:rStyle w:val="18"/>
          <w:rFonts w:hint="eastAsia" w:ascii="仿宋_GB2312" w:hAnsi="仿宋_GB2312" w:eastAsia="仿宋_GB2312" w:cs="仿宋_GB2312"/>
          <w:b w:val="0"/>
          <w:color w:val="auto"/>
          <w:spacing w:val="-4"/>
          <w:sz w:val="28"/>
          <w:szCs w:val="28"/>
          <w:lang w:val="en-US" w:eastAsia="zh-CN"/>
        </w:rPr>
        <w:t>年中绩效运行监控完成值为460套，按照序时进度指标完成率为83.64%；本次评价</w:t>
      </w:r>
      <w:r>
        <w:rPr>
          <w:rFonts w:hint="eastAsia"/>
          <w:color w:val="auto"/>
        </w:rPr>
        <w:t>实际完成指标值为</w:t>
      </w:r>
      <w:r>
        <w:rPr>
          <w:rFonts w:hint="eastAsia"/>
          <w:color w:val="auto"/>
          <w:lang w:val="en-US" w:eastAsia="zh-CN"/>
        </w:rPr>
        <w:t>592套，该</w:t>
      </w:r>
      <w:r>
        <w:rPr>
          <w:rFonts w:hint="eastAsia"/>
          <w:color w:val="auto"/>
        </w:rPr>
        <w:t>指标完成率为</w:t>
      </w:r>
      <w:r>
        <w:rPr>
          <w:rFonts w:hint="eastAsia"/>
          <w:color w:val="auto"/>
          <w:lang w:val="en-US" w:eastAsia="zh-CN"/>
        </w:rPr>
        <w:t>107.64</w:t>
      </w:r>
      <w:r>
        <w:rPr>
          <w:rFonts w:hint="eastAsia"/>
          <w:color w:val="auto"/>
        </w:rPr>
        <w:t>%，偏差</w:t>
      </w:r>
      <w:r>
        <w:rPr>
          <w:rFonts w:hint="eastAsia"/>
          <w:color w:val="auto"/>
          <w:lang w:eastAsia="zh-CN"/>
        </w:rPr>
        <w:t>率为</w:t>
      </w:r>
      <w:r>
        <w:rPr>
          <w:rFonts w:hint="eastAsia"/>
          <w:color w:val="auto"/>
          <w:lang w:val="en-US" w:eastAsia="zh-CN"/>
        </w:rPr>
        <w:t>7.64%</w:t>
      </w:r>
      <w:r>
        <w:rPr>
          <w:rFonts w:hint="eastAsia"/>
          <w:color w:val="auto"/>
          <w:lang w:eastAsia="zh-CN"/>
        </w:rPr>
        <w:t>。</w:t>
      </w:r>
    </w:p>
    <w:p>
      <w:pPr>
        <w:spacing w:line="540" w:lineRule="exact"/>
        <w:rPr>
          <w:rFonts w:hint="eastAsia"/>
          <w:color w:val="auto"/>
          <w:lang w:val="en-US" w:eastAsia="zh-CN"/>
        </w:rPr>
      </w:pPr>
      <w:r>
        <w:rPr>
          <w:rFonts w:hint="eastAsia" w:eastAsia="仿宋_GB2312"/>
          <w:color w:val="auto"/>
          <w:lang w:eastAsia="zh-CN"/>
        </w:rPr>
        <w:t>完成情况及成效分析：</w:t>
      </w:r>
      <w:r>
        <w:rPr>
          <w:rStyle w:val="18"/>
          <w:rFonts w:hint="eastAsia" w:ascii="仿宋_GB2312" w:hAnsi="仿宋_GB2312" w:eastAsia="仿宋_GB2312" w:cs="仿宋_GB2312"/>
          <w:b w:val="0"/>
          <w:color w:val="auto"/>
          <w:spacing w:val="-4"/>
          <w:sz w:val="28"/>
          <w:szCs w:val="28"/>
          <w:lang w:val="en-US" w:eastAsia="zh-CN"/>
        </w:rPr>
        <w:t>有序推进保障性租赁住房建设。2023年共申请保障性租赁住房1056套，项目总投资8492万元，截至目前已完成592套</w:t>
      </w:r>
      <w:r>
        <w:rPr>
          <w:rFonts w:hint="eastAsia" w:ascii="仿宋_GB2312" w:hAnsi="仿宋_GB2312" w:eastAsia="仿宋_GB2312" w:cs="仿宋_GB2312"/>
          <w:color w:val="auto"/>
          <w:lang w:eastAsia="zh-CN"/>
        </w:rPr>
        <w:t>保障安居性住房建设</w:t>
      </w:r>
      <w:r>
        <w:rPr>
          <w:rStyle w:val="18"/>
          <w:rFonts w:hint="eastAsia" w:ascii="仿宋_GB2312" w:hAnsi="仿宋_GB2312" w:eastAsia="仿宋_GB2312" w:cs="仿宋_GB2312"/>
          <w:b w:val="0"/>
          <w:color w:val="auto"/>
          <w:spacing w:val="-4"/>
          <w:sz w:val="28"/>
          <w:szCs w:val="28"/>
          <w:lang w:val="en-US" w:eastAsia="zh-CN"/>
        </w:rPr>
        <w:t>，其中：新疆中泰化学托克逊能化有限公司人才公寓建设项目（新建246套）已完成竣工验收，9月28日已办理入住；新疆中泰化学托克逊能化有限公司1-6号楼保障性租赁住房改造项目（改建596套），2023年11月25日完成其中346间宿舍改造，达到竣工验收标准。</w:t>
      </w:r>
      <w:r>
        <w:rPr>
          <w:rFonts w:hint="eastAsia"/>
          <w:color w:val="auto"/>
          <w:lang w:val="en-US" w:eastAsia="zh-CN"/>
        </w:rPr>
        <w:t>项目进度都已达计划要求</w:t>
      </w:r>
      <w:r>
        <w:rPr>
          <w:rFonts w:hint="eastAsia"/>
          <w:color w:val="auto"/>
          <w:highlight w:val="none"/>
          <w:lang w:val="en-US" w:eastAsia="zh-CN"/>
        </w:rPr>
        <w:t>。</w:t>
      </w:r>
    </w:p>
    <w:p>
      <w:pPr>
        <w:rPr>
          <w:rFonts w:hint="eastAsia"/>
          <w:color w:val="auto"/>
          <w:lang w:val="en-US" w:eastAsia="zh-CN"/>
        </w:rPr>
      </w:pPr>
      <w:r>
        <w:rPr>
          <w:rFonts w:hint="eastAsia"/>
          <w:color w:val="auto"/>
          <w:lang w:val="en-US" w:eastAsia="zh-CN"/>
        </w:rPr>
        <w:t>综上所述，该指标权重分值10分，该指标得分为10分。</w:t>
      </w:r>
    </w:p>
    <w:p>
      <w:pPr>
        <w:numPr>
          <w:ilvl w:val="0"/>
          <w:numId w:val="4"/>
        </w:numPr>
        <w:spacing w:line="540" w:lineRule="exact"/>
        <w:ind w:firstLine="494" w:firstLineChars="181"/>
        <w:rPr>
          <w:rStyle w:val="18"/>
          <w:rFonts w:hint="eastAsia" w:ascii="仿宋_GB2312" w:hAnsi="仿宋_GB2312" w:eastAsia="仿宋_GB2312" w:cs="仿宋_GB2312"/>
          <w:b/>
          <w:bCs w:val="0"/>
          <w:color w:val="auto"/>
          <w:spacing w:val="-4"/>
          <w:sz w:val="28"/>
          <w:szCs w:val="28"/>
          <w:lang w:val="en-US" w:eastAsia="zh-CN"/>
        </w:rPr>
      </w:pPr>
      <w:r>
        <w:rPr>
          <w:rStyle w:val="18"/>
          <w:rFonts w:hint="eastAsia" w:ascii="仿宋_GB2312" w:hAnsi="仿宋_GB2312" w:eastAsia="仿宋_GB2312" w:cs="仿宋_GB2312"/>
          <w:b/>
          <w:bCs w:val="0"/>
          <w:color w:val="auto"/>
          <w:spacing w:val="-4"/>
          <w:sz w:val="28"/>
          <w:szCs w:val="28"/>
          <w:lang w:val="en-US" w:eastAsia="zh-CN"/>
        </w:rPr>
        <w:t>指标九：</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outlineLvl w:val="9"/>
        <w:rPr>
          <w:rStyle w:val="18"/>
          <w:rFonts w:hint="eastAsia" w:ascii="仿宋_GB2312" w:hAnsi="仿宋_GB2312" w:eastAsia="仿宋_GB2312" w:cs="仿宋_GB2312"/>
          <w:b w:val="0"/>
          <w:color w:val="auto"/>
          <w:spacing w:val="-4"/>
          <w:sz w:val="28"/>
          <w:szCs w:val="28"/>
          <w:lang w:val="en-US" w:eastAsia="zh-CN"/>
        </w:rPr>
      </w:pPr>
      <w:r>
        <w:rPr>
          <w:rFonts w:hint="eastAsia" w:ascii="仿宋_GB2312" w:hAnsi="仿宋_GB2312" w:eastAsia="仿宋_GB2312" w:cs="仿宋_GB2312"/>
          <w:color w:val="auto"/>
        </w:rPr>
        <w:t>“</w:t>
      </w:r>
      <w:r>
        <w:rPr>
          <w:rFonts w:hint="eastAsia" w:ascii="仿宋_GB2312" w:hAnsi="仿宋_GB2312" w:eastAsia="仿宋_GB2312" w:cs="仿宋_GB2312"/>
          <w:color w:val="auto"/>
          <w:lang w:eastAsia="zh-CN"/>
        </w:rPr>
        <w:t>提升城区绿化覆盖率</w:t>
      </w:r>
      <w:r>
        <w:rPr>
          <w:rFonts w:hint="eastAsia" w:ascii="仿宋_GB2312" w:hAnsi="仿宋_GB2312" w:eastAsia="仿宋_GB2312" w:cs="仿宋_GB2312"/>
          <w:color w:val="auto"/>
        </w:rPr>
        <w:t>”指标</w:t>
      </w:r>
      <w:r>
        <w:rPr>
          <w:rFonts w:hint="eastAsia"/>
          <w:color w:val="auto"/>
        </w:rPr>
        <w:t>预期指标值为</w:t>
      </w:r>
      <w:r>
        <w:rPr>
          <w:rFonts w:hint="eastAsia"/>
          <w:color w:val="auto"/>
          <w:lang w:eastAsia="zh-CN"/>
        </w:rPr>
        <w:t>大于等于</w:t>
      </w:r>
      <w:r>
        <w:rPr>
          <w:rFonts w:hint="eastAsia"/>
          <w:color w:val="auto"/>
          <w:lang w:val="en-US" w:eastAsia="zh-CN"/>
        </w:rPr>
        <w:t>45.32%</w:t>
      </w:r>
      <w:r>
        <w:rPr>
          <w:rFonts w:hint="eastAsia"/>
          <w:color w:val="auto"/>
        </w:rPr>
        <w:t>，</w:t>
      </w:r>
      <w:r>
        <w:rPr>
          <w:rStyle w:val="18"/>
          <w:rFonts w:hint="eastAsia" w:ascii="仿宋_GB2312" w:hAnsi="仿宋_GB2312" w:eastAsia="仿宋_GB2312" w:cs="仿宋_GB2312"/>
          <w:b w:val="0"/>
          <w:color w:val="auto"/>
          <w:spacing w:val="-4"/>
          <w:sz w:val="28"/>
          <w:szCs w:val="28"/>
          <w:lang w:val="en-US" w:eastAsia="zh-CN"/>
        </w:rPr>
        <w:t>年中绩效运行监控完成值为</w:t>
      </w:r>
      <w:r>
        <w:rPr>
          <w:rFonts w:hint="eastAsia"/>
          <w:color w:val="auto"/>
          <w:lang w:val="en-US" w:eastAsia="zh-CN"/>
        </w:rPr>
        <w:t>45.32%</w:t>
      </w:r>
      <w:r>
        <w:rPr>
          <w:rStyle w:val="18"/>
          <w:rFonts w:hint="eastAsia" w:ascii="仿宋_GB2312" w:hAnsi="仿宋_GB2312" w:eastAsia="仿宋_GB2312" w:cs="仿宋_GB2312"/>
          <w:b w:val="0"/>
          <w:color w:val="auto"/>
          <w:spacing w:val="-4"/>
          <w:sz w:val="28"/>
          <w:szCs w:val="28"/>
          <w:lang w:val="en-US" w:eastAsia="zh-CN"/>
        </w:rPr>
        <w:t>，按照序时进度指标完成率为50%；本次评价</w:t>
      </w:r>
      <w:r>
        <w:rPr>
          <w:rFonts w:hint="eastAsia"/>
          <w:color w:val="auto"/>
        </w:rPr>
        <w:t>实</w:t>
      </w:r>
      <w:r>
        <w:rPr>
          <w:rStyle w:val="18"/>
          <w:rFonts w:hint="eastAsia" w:ascii="仿宋_GB2312" w:hAnsi="仿宋_GB2312" w:eastAsia="仿宋_GB2312" w:cs="仿宋_GB2312"/>
          <w:b w:val="0"/>
          <w:color w:val="auto"/>
          <w:spacing w:val="-4"/>
          <w:sz w:val="28"/>
          <w:szCs w:val="28"/>
          <w:lang w:val="en-US" w:eastAsia="zh-CN"/>
        </w:rPr>
        <w:t>际完成指标值为45.32%，该指标完成率为100%，无偏差。</w:t>
      </w:r>
    </w:p>
    <w:p>
      <w:pPr>
        <w:keepNext w:val="0"/>
        <w:keepLines w:val="0"/>
        <w:pageBreakBefore w:val="0"/>
        <w:widowControl w:val="0"/>
        <w:kinsoku/>
        <w:wordWrap/>
        <w:overflowPunct/>
        <w:topLinePunct w:val="0"/>
        <w:autoSpaceDE/>
        <w:autoSpaceDN/>
        <w:bidi w:val="0"/>
        <w:adjustRightInd/>
        <w:snapToGrid/>
        <w:spacing w:line="560" w:lineRule="exact"/>
        <w:ind w:firstLine="544" w:firstLineChars="200"/>
        <w:jc w:val="both"/>
        <w:textAlignment w:val="auto"/>
        <w:outlineLvl w:val="9"/>
        <w:rPr>
          <w:rFonts w:hint="eastAsia"/>
          <w:color w:val="auto"/>
          <w:lang w:val="en-US" w:eastAsia="zh-CN"/>
        </w:rPr>
      </w:pPr>
      <w:r>
        <w:rPr>
          <w:rStyle w:val="18"/>
          <w:rFonts w:hint="eastAsia" w:ascii="仿宋_GB2312" w:hAnsi="仿宋_GB2312" w:eastAsia="仿宋_GB2312" w:cs="仿宋_GB2312"/>
          <w:b w:val="0"/>
          <w:color w:val="auto"/>
          <w:spacing w:val="-4"/>
          <w:sz w:val="28"/>
          <w:szCs w:val="28"/>
          <w:lang w:val="en-US" w:eastAsia="zh-CN"/>
        </w:rPr>
        <w:t>完成情况及成效分析：2023年持续加大城市绿化投入。一是合理布局，扎实做好增绿补绿。利用春季绿化时机，完成城区绿化补植补栽。主要完成友好路、人民路、和谐路、滨河路、解放路、团结路、外环路、合欢公园、胡杨公园、玫瑰公园及街头绿地等补植补栽，新建道路中山路、纬一路、经三路、南疆路等道路绿化。共种植乔木15421棵、灌木128.641万株；种植草花五叶地棉（爬山虎）500株、地被菊17.5万株、大花萱草7000株、玫瑰8万株；二是今年以来，完成源泉一期、胡杨公园、滨河文化路两侧、交通局东侧位置、新华书店前等一批集生态、文化、休闲、健身等功能于一体的口袋公园，有效解决了在高密度城市中市民对休憩环境的需求。同时完成白杨河公园、滨河两侧口袋公园、交通局、胡杨公园路体育器材安装5套60组；三是开展城市绿地外来入侵物种普查工作。以中心城区内城市绿地中有代表性的绿地为关键节点，确定踏查点67个。踏查路线和踏查点覆盖普查范围内的公园、居住区、道路、区域所有绿地类型，占比50.3%。其中：覆盖的公园绿地11个，占52.3%；居住区15个，占50%；道路与交通设施用地18条（段），占50%；区域绿地23个，占50%。完成普查工作报告编制。全面摸清城市绿地重点外来入侵物种相关情况，为外来入侵物种防控工作提供准确的基础支撑；四是对城区的古树名木再次全面普查，实施完成了古树名木“一树一策”保护并建立2处古树名木群落，10株古树名木普查及28株重新更换了保护标牌，完善了古树名木档案，</w:t>
      </w:r>
      <w:r>
        <w:rPr>
          <w:rFonts w:hint="eastAsia" w:ascii="仿宋_GB2312" w:hAnsi="仿宋_GB2312" w:eastAsia="仿宋_GB2312" w:cs="仿宋_GB2312"/>
          <w:color w:val="auto"/>
          <w:lang w:eastAsia="zh-CN"/>
        </w:rPr>
        <w:t>提升了城区绿化覆盖率</w:t>
      </w:r>
      <w:r>
        <w:rPr>
          <w:rStyle w:val="18"/>
          <w:rFonts w:hint="eastAsia" w:ascii="仿宋_GB2312" w:hAnsi="仿宋_GB2312" w:eastAsia="仿宋_GB2312" w:cs="仿宋_GB2312"/>
          <w:b w:val="0"/>
          <w:color w:val="auto"/>
          <w:spacing w:val="-4"/>
          <w:sz w:val="28"/>
          <w:szCs w:val="28"/>
          <w:lang w:val="en-US" w:eastAsia="zh-CN"/>
        </w:rPr>
        <w:t>。</w:t>
      </w:r>
    </w:p>
    <w:p>
      <w:pPr>
        <w:rPr>
          <w:rFonts w:hint="eastAsia"/>
          <w:color w:val="auto"/>
          <w:lang w:val="en-US" w:eastAsia="zh-CN"/>
        </w:rPr>
      </w:pPr>
      <w:r>
        <w:rPr>
          <w:rFonts w:hint="eastAsia"/>
          <w:color w:val="auto"/>
          <w:lang w:val="en-US" w:eastAsia="zh-CN"/>
        </w:rPr>
        <w:t>综上所述，该指标权重分值10分，该指标得分为10分。</w:t>
      </w:r>
    </w:p>
    <w:p>
      <w:pPr>
        <w:numPr>
          <w:ilvl w:val="0"/>
          <w:numId w:val="4"/>
        </w:numPr>
        <w:spacing w:line="540" w:lineRule="exact"/>
        <w:ind w:firstLine="494" w:firstLineChars="181"/>
        <w:rPr>
          <w:rStyle w:val="18"/>
          <w:rFonts w:hint="eastAsia" w:ascii="仿宋_GB2312" w:hAnsi="仿宋_GB2312" w:eastAsia="仿宋_GB2312" w:cs="仿宋_GB2312"/>
          <w:b/>
          <w:bCs w:val="0"/>
          <w:color w:val="auto"/>
          <w:spacing w:val="-4"/>
          <w:sz w:val="28"/>
          <w:szCs w:val="28"/>
          <w:lang w:val="en-US" w:eastAsia="zh-CN"/>
        </w:rPr>
      </w:pPr>
      <w:r>
        <w:rPr>
          <w:rStyle w:val="18"/>
          <w:rFonts w:hint="eastAsia" w:ascii="仿宋_GB2312" w:hAnsi="仿宋_GB2312" w:eastAsia="仿宋_GB2312" w:cs="仿宋_GB2312"/>
          <w:b/>
          <w:bCs w:val="0"/>
          <w:color w:val="auto"/>
          <w:spacing w:val="-4"/>
          <w:sz w:val="28"/>
          <w:szCs w:val="28"/>
          <w:lang w:val="en-US" w:eastAsia="zh-CN"/>
        </w:rPr>
        <w:t>指标十：</w:t>
      </w:r>
    </w:p>
    <w:p>
      <w:pPr>
        <w:spacing w:line="540" w:lineRule="exact"/>
        <w:rPr>
          <w:rFonts w:hint="eastAsia"/>
          <w:color w:val="auto"/>
          <w:lang w:eastAsia="zh-CN"/>
        </w:rPr>
      </w:pPr>
      <w:r>
        <w:rPr>
          <w:rFonts w:hint="eastAsia" w:ascii="仿宋_GB2312" w:hAnsi="仿宋_GB2312" w:eastAsia="仿宋_GB2312" w:cs="仿宋_GB2312"/>
          <w:color w:val="auto"/>
        </w:rPr>
        <w:t>“</w:t>
      </w:r>
      <w:r>
        <w:rPr>
          <w:rFonts w:hint="eastAsia" w:ascii="仿宋_GB2312" w:hAnsi="仿宋_GB2312" w:eastAsia="仿宋_GB2312" w:cs="仿宋_GB2312"/>
          <w:color w:val="auto"/>
          <w:lang w:eastAsia="zh-CN"/>
        </w:rPr>
        <w:t>受益群众满意度</w:t>
      </w:r>
      <w:r>
        <w:rPr>
          <w:rFonts w:hint="eastAsia" w:ascii="仿宋_GB2312" w:hAnsi="仿宋_GB2312" w:eastAsia="仿宋_GB2312" w:cs="仿宋_GB2312"/>
          <w:color w:val="auto"/>
        </w:rPr>
        <w:t>”指标</w:t>
      </w:r>
      <w:r>
        <w:rPr>
          <w:rFonts w:hint="eastAsia"/>
          <w:color w:val="auto"/>
        </w:rPr>
        <w:t>预期指标值为</w:t>
      </w:r>
      <w:r>
        <w:rPr>
          <w:rFonts w:hint="eastAsia"/>
          <w:color w:val="auto"/>
          <w:lang w:eastAsia="zh-CN"/>
        </w:rPr>
        <w:t>大于等于</w:t>
      </w:r>
      <w:r>
        <w:rPr>
          <w:rFonts w:hint="eastAsia"/>
          <w:color w:val="auto"/>
          <w:lang w:val="en-US" w:eastAsia="zh-CN"/>
        </w:rPr>
        <w:t>95%</w:t>
      </w:r>
      <w:r>
        <w:rPr>
          <w:rFonts w:hint="eastAsia"/>
          <w:color w:val="auto"/>
        </w:rPr>
        <w:t>，</w:t>
      </w:r>
      <w:r>
        <w:rPr>
          <w:rStyle w:val="18"/>
          <w:rFonts w:hint="eastAsia" w:ascii="仿宋_GB2312" w:hAnsi="仿宋_GB2312" w:eastAsia="仿宋_GB2312" w:cs="仿宋_GB2312"/>
          <w:b w:val="0"/>
          <w:color w:val="auto"/>
          <w:spacing w:val="-4"/>
          <w:sz w:val="28"/>
          <w:szCs w:val="28"/>
          <w:lang w:val="en-US" w:eastAsia="zh-CN"/>
        </w:rPr>
        <w:t>年中绩效运行监控完成值为未达监控节点；本次评价</w:t>
      </w:r>
      <w:r>
        <w:rPr>
          <w:rFonts w:hint="eastAsia"/>
          <w:color w:val="auto"/>
        </w:rPr>
        <w:t>实际完成指标值为</w:t>
      </w:r>
      <w:r>
        <w:rPr>
          <w:rFonts w:hint="eastAsia"/>
          <w:color w:val="auto"/>
          <w:lang w:val="en-US" w:eastAsia="zh-CN"/>
        </w:rPr>
        <w:t>97.01%，该</w:t>
      </w:r>
      <w:r>
        <w:rPr>
          <w:rFonts w:hint="eastAsia"/>
          <w:color w:val="auto"/>
        </w:rPr>
        <w:t>指标完成率为</w:t>
      </w:r>
      <w:r>
        <w:rPr>
          <w:rFonts w:hint="eastAsia"/>
          <w:color w:val="auto"/>
          <w:lang w:val="en-US" w:eastAsia="zh-CN"/>
        </w:rPr>
        <w:t>105.45</w:t>
      </w:r>
      <w:r>
        <w:rPr>
          <w:rFonts w:hint="eastAsia"/>
          <w:color w:val="auto"/>
        </w:rPr>
        <w:t>%，偏差率</w:t>
      </w:r>
      <w:r>
        <w:rPr>
          <w:rFonts w:hint="eastAsia"/>
          <w:color w:val="auto"/>
          <w:lang w:val="en-US" w:eastAsia="zh-CN"/>
        </w:rPr>
        <w:t>为5.45</w:t>
      </w:r>
      <w:r>
        <w:rPr>
          <w:rFonts w:hint="eastAsia"/>
          <w:color w:val="auto"/>
        </w:rPr>
        <w:t>%</w:t>
      </w:r>
      <w:r>
        <w:rPr>
          <w:rFonts w:hint="eastAsia"/>
          <w:color w:val="auto"/>
          <w:lang w:eastAsia="zh-CN"/>
        </w:rPr>
        <w:t>。</w:t>
      </w:r>
    </w:p>
    <w:p>
      <w:pPr>
        <w:spacing w:line="540" w:lineRule="exact"/>
        <w:rPr>
          <w:rFonts w:hint="eastAsia"/>
          <w:color w:val="auto"/>
          <w:lang w:val="en-US" w:eastAsia="zh-CN"/>
        </w:rPr>
      </w:pPr>
      <w:r>
        <w:rPr>
          <w:rFonts w:hint="eastAsia" w:eastAsia="仿宋_GB2312"/>
          <w:color w:val="auto"/>
          <w:lang w:eastAsia="zh-CN"/>
        </w:rPr>
        <w:t>完成情况及成效分析：</w:t>
      </w:r>
      <w:r>
        <w:rPr>
          <w:rFonts w:hint="eastAsia"/>
          <w:color w:val="auto"/>
          <w:highlight w:val="none"/>
          <w:lang w:val="en-US" w:eastAsia="zh-CN"/>
        </w:rPr>
        <w:t>2023年</w:t>
      </w:r>
      <w:r>
        <w:rPr>
          <w:rFonts w:hint="eastAsia"/>
          <w:color w:val="auto"/>
          <w:lang w:val="en-US" w:eastAsia="zh-CN"/>
        </w:rPr>
        <w:t>对城区居民开展“城区居民对城市建设的满意度”调查问卷，从我县交通设施、环境卫生、商业设施、医疗卫生服务、教育资源、文化娱乐设施、公共安全等方面开展了调查，共收回67份问卷，通过对调查问卷结果分析，县城居民对我县公共设施及公共服务方面满意度达到97.01%。通过调查发现县城居民对我县交通设施、医疗卫生、文化娱乐设施、居住环境方面的满意度较低，今后会在薄弱方面进一步加强建设。</w:t>
      </w:r>
    </w:p>
    <w:p>
      <w:pPr>
        <w:rPr>
          <w:rFonts w:hint="eastAsia"/>
          <w:color w:val="auto"/>
          <w:lang w:val="en-US" w:eastAsia="zh-CN"/>
        </w:rPr>
      </w:pPr>
      <w:r>
        <w:rPr>
          <w:rFonts w:hint="eastAsia"/>
          <w:color w:val="auto"/>
          <w:lang w:val="en-US" w:eastAsia="zh-CN"/>
        </w:rPr>
        <w:t>综上所述，该指标权重分值10分，该指标得分为10分。</w:t>
      </w:r>
    </w:p>
    <w:p>
      <w:pPr>
        <w:pStyle w:val="3"/>
        <w:numPr>
          <w:ilvl w:val="0"/>
          <w:numId w:val="5"/>
        </w:numPr>
        <w:ind w:firstLine="481" w:firstLineChars="171"/>
        <w:rPr>
          <w:rFonts w:hint="eastAsia"/>
          <w:color w:val="auto"/>
          <w:lang w:val="en-US" w:eastAsia="zh-CN"/>
        </w:rPr>
      </w:pPr>
      <w:r>
        <w:rPr>
          <w:rFonts w:hint="eastAsia"/>
          <w:color w:val="auto"/>
          <w:lang w:val="en-US" w:eastAsia="zh-CN"/>
        </w:rPr>
        <w:t>评价结论</w:t>
      </w:r>
    </w:p>
    <w:p>
      <w:pPr>
        <w:rPr>
          <w:rFonts w:hint="eastAsia"/>
          <w:color w:val="auto"/>
          <w:sz w:val="28"/>
          <w:szCs w:val="28"/>
          <w:lang w:val="en-US" w:eastAsia="zh-CN"/>
        </w:rPr>
      </w:pPr>
      <w:r>
        <w:rPr>
          <w:rStyle w:val="18"/>
          <w:rFonts w:hint="eastAsia" w:ascii="仿宋_GB2312" w:hAnsi="楷体" w:eastAsia="仿宋_GB2312" w:cs="Times New Roman"/>
          <w:b w:val="0"/>
          <w:color w:val="auto"/>
          <w:spacing w:val="-4"/>
          <w:sz w:val="28"/>
          <w:szCs w:val="28"/>
          <w:lang w:val="en-US" w:eastAsia="zh-CN"/>
        </w:rPr>
        <w:t>2023年度我单位部门整体支出绩效自评综合得分100分，评价结果为“优”。</w:t>
      </w:r>
    </w:p>
    <w:p>
      <w:pPr>
        <w:pStyle w:val="3"/>
        <w:numPr>
          <w:ilvl w:val="0"/>
          <w:numId w:val="5"/>
        </w:numPr>
        <w:ind w:firstLine="481" w:firstLineChars="171"/>
        <w:rPr>
          <w:color w:val="auto"/>
        </w:rPr>
      </w:pPr>
      <w:r>
        <w:rPr>
          <w:rFonts w:hint="eastAsia"/>
          <w:color w:val="auto"/>
        </w:rPr>
        <w:t>存在的主要问题</w:t>
      </w:r>
      <w:r>
        <w:rPr>
          <w:rFonts w:hint="eastAsia"/>
          <w:color w:val="auto"/>
          <w:lang w:val="en-US" w:eastAsia="zh-CN"/>
        </w:rPr>
        <w:t>及原因分析</w:t>
      </w:r>
    </w:p>
    <w:p>
      <w:pPr>
        <w:ind w:firstLine="560"/>
        <w:rPr>
          <w:rFonts w:hint="eastAsia"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rPr>
        <w:t>1、2023年部门整体绩效指标的设置在体现单位年度履职核心工作及履职效益方面重点不够突出，导致该问题的主要原因是2023年整体绩效目标设置要求发生较大变化单位绩效填报人员对整体绩效目标和指标的设置要求没有很好的掌握和理解，处于摸索阶段，指标设置能力需进一步提升</w:t>
      </w:r>
      <w:r>
        <w:rPr>
          <w:rFonts w:hint="eastAsia" w:ascii="仿宋_GB2312" w:hAnsi="仿宋_GB2312" w:eastAsia="仿宋_GB2312" w:cs="仿宋_GB2312"/>
          <w:color w:val="auto"/>
          <w:sz w:val="28"/>
          <w:szCs w:val="28"/>
          <w:highlight w:val="none"/>
          <w:lang w:val="zh-CN"/>
        </w:rPr>
        <w:t>。</w:t>
      </w:r>
    </w:p>
    <w:p>
      <w:pPr>
        <w:rPr>
          <w:rStyle w:val="18"/>
          <w:rFonts w:hint="eastAsia" w:ascii="仿宋_GB2312" w:hAnsi="楷体" w:eastAsia="仿宋_GB2312" w:cs="Times New Roman"/>
          <w:b w:val="0"/>
          <w:color w:val="auto"/>
          <w:spacing w:val="-4"/>
          <w:kern w:val="2"/>
          <w:sz w:val="28"/>
          <w:szCs w:val="28"/>
          <w:lang w:val="en-US" w:eastAsia="zh-CN" w:bidi="ar-SA"/>
        </w:rPr>
      </w:pPr>
      <w:r>
        <w:rPr>
          <w:rStyle w:val="18"/>
          <w:rFonts w:hint="eastAsia" w:ascii="仿宋_GB2312" w:hAnsi="楷体" w:eastAsia="仿宋_GB2312" w:cs="Times New Roman"/>
          <w:b w:val="0"/>
          <w:color w:val="auto"/>
          <w:spacing w:val="-4"/>
          <w:kern w:val="2"/>
          <w:sz w:val="28"/>
          <w:szCs w:val="28"/>
          <w:lang w:val="en-US" w:eastAsia="zh-CN" w:bidi="ar-SA"/>
        </w:rPr>
        <w:t>2、2016-2019年棚户区改造历史遗留问题整改因缺资金无法推进。部分项目已完成审计，剩余工程款及前期费用支付存在近20000余万元的项目资金缺口。</w:t>
      </w:r>
    </w:p>
    <w:p>
      <w:pPr>
        <w:pStyle w:val="3"/>
        <w:ind w:firstLine="562"/>
        <w:rPr>
          <w:rStyle w:val="18"/>
          <w:rFonts w:hint="eastAsia" w:ascii="仿宋_GB2312" w:hAnsi="楷体" w:eastAsia="仿宋_GB2312" w:cs="Times New Roman"/>
          <w:b w:val="0"/>
          <w:bCs/>
          <w:color w:val="auto"/>
          <w:spacing w:val="-4"/>
          <w:kern w:val="2"/>
          <w:sz w:val="28"/>
          <w:szCs w:val="28"/>
          <w:lang w:val="en-US" w:eastAsia="zh-CN" w:bidi="ar-SA"/>
        </w:rPr>
      </w:pPr>
      <w:r>
        <w:rPr>
          <w:rStyle w:val="18"/>
          <w:rFonts w:hint="eastAsia" w:ascii="仿宋_GB2312" w:hAnsi="楷体" w:eastAsia="仿宋_GB2312" w:cs="Times New Roman"/>
          <w:b w:val="0"/>
          <w:bCs/>
          <w:color w:val="auto"/>
          <w:spacing w:val="-4"/>
          <w:kern w:val="2"/>
          <w:sz w:val="28"/>
          <w:szCs w:val="28"/>
          <w:lang w:val="en-US" w:eastAsia="zh-CN" w:bidi="ar-SA"/>
        </w:rPr>
        <w:t>3、住建局作为民生工作重要部门在服务民生、提升群众幸福感方面仍有弱项短板。在解决城区公用设施、小区居民生活保障等热难点问题上，进展较慢，化解问题效果不明显。</w:t>
      </w:r>
    </w:p>
    <w:p>
      <w:pPr>
        <w:pStyle w:val="3"/>
        <w:ind w:firstLine="562"/>
        <w:rPr>
          <w:color w:val="auto"/>
        </w:rPr>
      </w:pPr>
      <w:r>
        <w:rPr>
          <w:rFonts w:hint="eastAsia"/>
          <w:color w:val="auto"/>
          <w:lang w:val="en-US" w:eastAsia="zh-CN"/>
        </w:rPr>
        <w:t>六</w:t>
      </w:r>
      <w:r>
        <w:rPr>
          <w:rFonts w:hint="eastAsia"/>
          <w:color w:val="auto"/>
        </w:rPr>
        <w:t>、改进措施和建议</w:t>
      </w:r>
    </w:p>
    <w:p>
      <w:pPr>
        <w:ind w:firstLine="56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1、定期组织绩效培训，优化绩效工作的分工，由牵头负责人组织相关科室提供真实、准确的年度工作计划和</w:t>
      </w:r>
      <w:r>
        <w:rPr>
          <w:rFonts w:hint="eastAsia" w:ascii="仿宋_GB2312" w:hAnsi="仿宋_GB2312" w:eastAsia="仿宋_GB2312" w:cs="仿宋_GB2312"/>
          <w:color w:val="auto"/>
          <w:sz w:val="28"/>
          <w:szCs w:val="28"/>
          <w:highlight w:val="none"/>
          <w:lang w:eastAsia="zh-CN"/>
        </w:rPr>
        <w:t>实施方案</w:t>
      </w:r>
      <w:r>
        <w:rPr>
          <w:rFonts w:hint="eastAsia" w:ascii="仿宋_GB2312" w:hAnsi="仿宋_GB2312" w:eastAsia="仿宋_GB2312" w:cs="仿宋_GB2312"/>
          <w:color w:val="auto"/>
          <w:sz w:val="28"/>
          <w:szCs w:val="28"/>
          <w:highlight w:val="none"/>
        </w:rPr>
        <w:t>，提炼单位年度履职核心工作及履职效益，按照绩效相关管理规范填报绩效目标表、监控表、自评表，并提交相关科室审核、单位主要负责人审批，从而确保部门整体绩效目标反映单位核心重点工作和履职效能，确保指标值设置科学、合理。</w:t>
      </w:r>
    </w:p>
    <w:p>
      <w:pPr>
        <w:ind w:firstLine="56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w:t>
      </w:r>
      <w:r>
        <w:rPr>
          <w:rFonts w:hint="eastAsia" w:ascii="仿宋_GB2312" w:hAnsi="仿宋_GB2312" w:eastAsia="仿宋_GB2312" w:cs="仿宋_GB2312"/>
          <w:color w:val="auto"/>
          <w:sz w:val="28"/>
          <w:szCs w:val="28"/>
          <w:highlight w:val="none"/>
          <w:lang w:eastAsia="zh-CN"/>
        </w:rPr>
        <w:t>仔细认真核实</w:t>
      </w:r>
      <w:r>
        <w:rPr>
          <w:rFonts w:hint="eastAsia" w:ascii="仿宋_GB2312" w:hAnsi="仿宋_GB2312" w:eastAsia="仿宋_GB2312" w:cs="仿宋_GB2312"/>
          <w:color w:val="auto"/>
          <w:sz w:val="28"/>
          <w:szCs w:val="28"/>
          <w:highlight w:val="none"/>
          <w:lang w:val="en-US" w:eastAsia="zh-CN"/>
        </w:rPr>
        <w:t>资金缺口的</w:t>
      </w:r>
      <w:r>
        <w:rPr>
          <w:rFonts w:hint="eastAsia" w:ascii="仿宋_GB2312" w:hAnsi="仿宋_GB2312" w:eastAsia="仿宋_GB2312" w:cs="仿宋_GB2312"/>
          <w:color w:val="auto"/>
          <w:sz w:val="28"/>
          <w:szCs w:val="28"/>
          <w:highlight w:val="none"/>
          <w:lang w:eastAsia="zh-CN"/>
        </w:rPr>
        <w:t>项目，积极推进化解项目欠款</w:t>
      </w:r>
      <w:r>
        <w:rPr>
          <w:rFonts w:hint="eastAsia" w:ascii="仿宋_GB2312" w:hAnsi="仿宋_GB2312" w:eastAsia="仿宋_GB2312" w:cs="仿宋_GB2312"/>
          <w:color w:val="auto"/>
          <w:sz w:val="28"/>
          <w:szCs w:val="28"/>
          <w:highlight w:val="none"/>
        </w:rPr>
        <w:t>。</w:t>
      </w:r>
    </w:p>
    <w:p>
      <w:pPr>
        <w:ind w:firstLine="56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3、通过调查及时了解县城居民的急难愁盼问题，找准关键点，针对在薄弱方面进一步加强建设，提升解决问题的效率。</w:t>
      </w:r>
    </w:p>
    <w:p>
      <w:pPr>
        <w:pStyle w:val="3"/>
        <w:ind w:firstLine="562"/>
        <w:rPr>
          <w:color w:val="auto"/>
        </w:rPr>
      </w:pPr>
      <w:r>
        <w:rPr>
          <w:rFonts w:hint="eastAsia"/>
          <w:color w:val="auto"/>
          <w:lang w:val="en-US" w:eastAsia="zh-CN"/>
        </w:rPr>
        <w:t>七</w:t>
      </w:r>
      <w:r>
        <w:rPr>
          <w:rFonts w:hint="eastAsia"/>
          <w:color w:val="auto"/>
        </w:rPr>
        <w:t>、附表</w:t>
      </w:r>
    </w:p>
    <w:p>
      <w:pPr>
        <w:ind w:firstLine="560"/>
        <w:rPr>
          <w:color w:val="auto"/>
        </w:rPr>
      </w:pPr>
      <w:r>
        <w:rPr>
          <w:rFonts w:hint="eastAsia"/>
          <w:color w:val="auto"/>
        </w:rPr>
        <w:t>《部门整体支出绩效目标自评表》</w:t>
      </w:r>
    </w:p>
    <w:p>
      <w:pPr>
        <w:tabs>
          <w:tab w:val="left" w:pos="3077"/>
        </w:tabs>
        <w:bidi w:val="0"/>
        <w:ind w:left="0" w:leftChars="0" w:firstLine="0" w:firstLineChars="0"/>
        <w:jc w:val="left"/>
        <w:rPr>
          <w:rFonts w:hint="eastAsia"/>
          <w:color w:val="auto"/>
          <w:lang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auto"/>
    <w:pitch w:val="default"/>
    <w:sig w:usb0="00000000" w:usb1="00000000" w:usb2="00082016" w:usb3="00000000" w:csb0="00040001"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5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CBBDC5"/>
    <w:multiLevelType w:val="singleLevel"/>
    <w:tmpl w:val="B2CBBDC5"/>
    <w:lvl w:ilvl="0" w:tentative="0">
      <w:start w:val="1"/>
      <w:numFmt w:val="decimal"/>
      <w:suff w:val="nothing"/>
      <w:lvlText w:val="（%1）"/>
      <w:lvlJc w:val="left"/>
    </w:lvl>
  </w:abstractNum>
  <w:abstractNum w:abstractNumId="1">
    <w:nsid w:val="CAB7CE73"/>
    <w:multiLevelType w:val="singleLevel"/>
    <w:tmpl w:val="CAB7CE73"/>
    <w:lvl w:ilvl="0" w:tentative="0">
      <w:start w:val="1"/>
      <w:numFmt w:val="decimal"/>
      <w:suff w:val="nothing"/>
      <w:lvlText w:val="（%1）"/>
      <w:lvlJc w:val="left"/>
    </w:lvl>
  </w:abstractNum>
  <w:abstractNum w:abstractNumId="2">
    <w:nsid w:val="E6139E6D"/>
    <w:multiLevelType w:val="singleLevel"/>
    <w:tmpl w:val="E6139E6D"/>
    <w:lvl w:ilvl="0" w:tentative="0">
      <w:start w:val="3"/>
      <w:numFmt w:val="chineseCounting"/>
      <w:suff w:val="nothing"/>
      <w:lvlText w:val="%1、"/>
      <w:lvlJc w:val="left"/>
      <w:rPr>
        <w:rFonts w:hint="eastAsia"/>
      </w:rPr>
    </w:lvl>
  </w:abstractNum>
  <w:abstractNum w:abstractNumId="3">
    <w:nsid w:val="199738F8"/>
    <w:multiLevelType w:val="singleLevel"/>
    <w:tmpl w:val="199738F8"/>
    <w:lvl w:ilvl="0" w:tentative="0">
      <w:start w:val="4"/>
      <w:numFmt w:val="chineseCounting"/>
      <w:suff w:val="nothing"/>
      <w:lvlText w:val="%1、"/>
      <w:lvlJc w:val="left"/>
      <w:rPr>
        <w:rFonts w:hint="eastAsia"/>
      </w:rPr>
    </w:lvl>
  </w:abstractNum>
  <w:abstractNum w:abstractNumId="4">
    <w:nsid w:val="2FB1C1A1"/>
    <w:multiLevelType w:val="singleLevel"/>
    <w:tmpl w:val="2FB1C1A1"/>
    <w:lvl w:ilvl="0" w:tentative="0">
      <w:start w:val="6"/>
      <w:numFmt w:val="chineseCounting"/>
      <w:suff w:val="nothing"/>
      <w:lvlText w:val="（%1）"/>
      <w:lvlJc w:val="left"/>
      <w:rPr>
        <w:rFonts w:hint="eastAsia"/>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FiNmVlOTRjMjVjMjMyZTFiZWVjYTk4YWIwNjc3MDIifQ=="/>
  </w:docVars>
  <w:rsids>
    <w:rsidRoot w:val="00415C15"/>
    <w:rsid w:val="00034FB4"/>
    <w:rsid w:val="0007644F"/>
    <w:rsid w:val="000E2433"/>
    <w:rsid w:val="001617ED"/>
    <w:rsid w:val="00216D8F"/>
    <w:rsid w:val="00217C0E"/>
    <w:rsid w:val="002B7BD0"/>
    <w:rsid w:val="002F1732"/>
    <w:rsid w:val="003367C7"/>
    <w:rsid w:val="003749A9"/>
    <w:rsid w:val="00397FF1"/>
    <w:rsid w:val="003D660D"/>
    <w:rsid w:val="003E18DB"/>
    <w:rsid w:val="003F0213"/>
    <w:rsid w:val="00415C15"/>
    <w:rsid w:val="004E074A"/>
    <w:rsid w:val="005115B4"/>
    <w:rsid w:val="005C1808"/>
    <w:rsid w:val="005E3B2A"/>
    <w:rsid w:val="0063555A"/>
    <w:rsid w:val="006568F0"/>
    <w:rsid w:val="006C10EB"/>
    <w:rsid w:val="006C2C2B"/>
    <w:rsid w:val="00726FE2"/>
    <w:rsid w:val="007270C5"/>
    <w:rsid w:val="007575CE"/>
    <w:rsid w:val="007657B3"/>
    <w:rsid w:val="007908A6"/>
    <w:rsid w:val="007B753F"/>
    <w:rsid w:val="007D6E02"/>
    <w:rsid w:val="00855FAA"/>
    <w:rsid w:val="008D35E2"/>
    <w:rsid w:val="008D6733"/>
    <w:rsid w:val="008F3F02"/>
    <w:rsid w:val="0095013E"/>
    <w:rsid w:val="0097066A"/>
    <w:rsid w:val="00970CD0"/>
    <w:rsid w:val="00983161"/>
    <w:rsid w:val="00997FA2"/>
    <w:rsid w:val="00A11DE6"/>
    <w:rsid w:val="00A63C20"/>
    <w:rsid w:val="00A76677"/>
    <w:rsid w:val="00C32C42"/>
    <w:rsid w:val="00D64810"/>
    <w:rsid w:val="00D763C9"/>
    <w:rsid w:val="00DA14D7"/>
    <w:rsid w:val="00E04C0A"/>
    <w:rsid w:val="00E0612E"/>
    <w:rsid w:val="00E63245"/>
    <w:rsid w:val="00E6689D"/>
    <w:rsid w:val="00F92A81"/>
    <w:rsid w:val="00FB0EAD"/>
    <w:rsid w:val="012C5D3A"/>
    <w:rsid w:val="026C0537"/>
    <w:rsid w:val="031C0AD0"/>
    <w:rsid w:val="0387086E"/>
    <w:rsid w:val="03CD29B0"/>
    <w:rsid w:val="056D0119"/>
    <w:rsid w:val="05E72BA1"/>
    <w:rsid w:val="06CB5603"/>
    <w:rsid w:val="09181A0E"/>
    <w:rsid w:val="0AB2769A"/>
    <w:rsid w:val="0B4E451E"/>
    <w:rsid w:val="0B786794"/>
    <w:rsid w:val="0BB41361"/>
    <w:rsid w:val="0C5B6D2F"/>
    <w:rsid w:val="0CEC568C"/>
    <w:rsid w:val="0CEF0265"/>
    <w:rsid w:val="0E1C5094"/>
    <w:rsid w:val="0E7019A5"/>
    <w:rsid w:val="14863FF2"/>
    <w:rsid w:val="162D644C"/>
    <w:rsid w:val="16D87C89"/>
    <w:rsid w:val="17427E5B"/>
    <w:rsid w:val="176D6AB5"/>
    <w:rsid w:val="177A437B"/>
    <w:rsid w:val="1A476FBA"/>
    <w:rsid w:val="1A932401"/>
    <w:rsid w:val="1AE62F2F"/>
    <w:rsid w:val="1CEA1BAE"/>
    <w:rsid w:val="1CED1386"/>
    <w:rsid w:val="1D5B2DDA"/>
    <w:rsid w:val="1D6266A0"/>
    <w:rsid w:val="1E171E3D"/>
    <w:rsid w:val="1EE819F9"/>
    <w:rsid w:val="1F6E01A0"/>
    <w:rsid w:val="20657CE5"/>
    <w:rsid w:val="20736537"/>
    <w:rsid w:val="20AD0878"/>
    <w:rsid w:val="22B1460E"/>
    <w:rsid w:val="24174945"/>
    <w:rsid w:val="25092C1C"/>
    <w:rsid w:val="251678F2"/>
    <w:rsid w:val="25E35426"/>
    <w:rsid w:val="25E42F4C"/>
    <w:rsid w:val="25E56275"/>
    <w:rsid w:val="266F319E"/>
    <w:rsid w:val="26BF33C6"/>
    <w:rsid w:val="26E1530D"/>
    <w:rsid w:val="270E526E"/>
    <w:rsid w:val="271F5375"/>
    <w:rsid w:val="273C7F6F"/>
    <w:rsid w:val="27A03A00"/>
    <w:rsid w:val="286036CB"/>
    <w:rsid w:val="28E15521"/>
    <w:rsid w:val="2978492D"/>
    <w:rsid w:val="2A891C24"/>
    <w:rsid w:val="2AF4260E"/>
    <w:rsid w:val="2C0F590F"/>
    <w:rsid w:val="2CC811A9"/>
    <w:rsid w:val="2CFC1213"/>
    <w:rsid w:val="2D7179C9"/>
    <w:rsid w:val="2E870919"/>
    <w:rsid w:val="31870817"/>
    <w:rsid w:val="31F77E72"/>
    <w:rsid w:val="33526845"/>
    <w:rsid w:val="339064C2"/>
    <w:rsid w:val="33911E2B"/>
    <w:rsid w:val="34213BA2"/>
    <w:rsid w:val="34B55510"/>
    <w:rsid w:val="36677E6E"/>
    <w:rsid w:val="36AA7BB7"/>
    <w:rsid w:val="36B2626F"/>
    <w:rsid w:val="375874E7"/>
    <w:rsid w:val="380B4B33"/>
    <w:rsid w:val="38A566C4"/>
    <w:rsid w:val="38C21456"/>
    <w:rsid w:val="38CA110A"/>
    <w:rsid w:val="395D7AB5"/>
    <w:rsid w:val="3C410741"/>
    <w:rsid w:val="3C695C95"/>
    <w:rsid w:val="3DCE6FC5"/>
    <w:rsid w:val="3E4746E1"/>
    <w:rsid w:val="3EC647A9"/>
    <w:rsid w:val="3FB043EF"/>
    <w:rsid w:val="400601EE"/>
    <w:rsid w:val="403B52A5"/>
    <w:rsid w:val="40C35D94"/>
    <w:rsid w:val="40EB7E8B"/>
    <w:rsid w:val="40F35EBD"/>
    <w:rsid w:val="41A05B22"/>
    <w:rsid w:val="42E11EB1"/>
    <w:rsid w:val="436C2934"/>
    <w:rsid w:val="456C2120"/>
    <w:rsid w:val="479E4C23"/>
    <w:rsid w:val="49774CF3"/>
    <w:rsid w:val="49FE3D2D"/>
    <w:rsid w:val="4A1A21BA"/>
    <w:rsid w:val="4BA93541"/>
    <w:rsid w:val="4BF26256"/>
    <w:rsid w:val="4BF5130F"/>
    <w:rsid w:val="4C83051A"/>
    <w:rsid w:val="4CCC3C6F"/>
    <w:rsid w:val="508820AE"/>
    <w:rsid w:val="51C77545"/>
    <w:rsid w:val="51F577C4"/>
    <w:rsid w:val="5251273A"/>
    <w:rsid w:val="548C2F2D"/>
    <w:rsid w:val="54A12E7B"/>
    <w:rsid w:val="54F6391C"/>
    <w:rsid w:val="555667CB"/>
    <w:rsid w:val="555C6A24"/>
    <w:rsid w:val="576708D5"/>
    <w:rsid w:val="576D2717"/>
    <w:rsid w:val="57805D55"/>
    <w:rsid w:val="583846CB"/>
    <w:rsid w:val="591075D9"/>
    <w:rsid w:val="595E0FDB"/>
    <w:rsid w:val="5A2D2943"/>
    <w:rsid w:val="5AB8602E"/>
    <w:rsid w:val="5B0B1E06"/>
    <w:rsid w:val="5B8759B9"/>
    <w:rsid w:val="5BFF2AD9"/>
    <w:rsid w:val="5C79652E"/>
    <w:rsid w:val="5D55251A"/>
    <w:rsid w:val="5D7A06C4"/>
    <w:rsid w:val="5E2D6537"/>
    <w:rsid w:val="5EDE6316"/>
    <w:rsid w:val="5FBD7C61"/>
    <w:rsid w:val="600047AC"/>
    <w:rsid w:val="603B13A3"/>
    <w:rsid w:val="61541504"/>
    <w:rsid w:val="619D0D0C"/>
    <w:rsid w:val="623D75E9"/>
    <w:rsid w:val="63400B02"/>
    <w:rsid w:val="64AA6B34"/>
    <w:rsid w:val="64D27E0A"/>
    <w:rsid w:val="65FA36E1"/>
    <w:rsid w:val="666A19E3"/>
    <w:rsid w:val="66A328A0"/>
    <w:rsid w:val="67773AB5"/>
    <w:rsid w:val="678A715E"/>
    <w:rsid w:val="67F55765"/>
    <w:rsid w:val="687B7594"/>
    <w:rsid w:val="6A5A4007"/>
    <w:rsid w:val="6AE23499"/>
    <w:rsid w:val="6B8C5DFA"/>
    <w:rsid w:val="6C9478C2"/>
    <w:rsid w:val="6CAA6ABF"/>
    <w:rsid w:val="6CC70826"/>
    <w:rsid w:val="6F6551A2"/>
    <w:rsid w:val="6F6B3458"/>
    <w:rsid w:val="7028171B"/>
    <w:rsid w:val="702F69B5"/>
    <w:rsid w:val="708F1998"/>
    <w:rsid w:val="709709E1"/>
    <w:rsid w:val="70CA2E8C"/>
    <w:rsid w:val="70E95E6A"/>
    <w:rsid w:val="712A484A"/>
    <w:rsid w:val="719C58E3"/>
    <w:rsid w:val="71F8518E"/>
    <w:rsid w:val="723E52AB"/>
    <w:rsid w:val="727E6B86"/>
    <w:rsid w:val="73F25CAA"/>
    <w:rsid w:val="74665CB1"/>
    <w:rsid w:val="767E775D"/>
    <w:rsid w:val="76902BA3"/>
    <w:rsid w:val="779C6341"/>
    <w:rsid w:val="78AA42BD"/>
    <w:rsid w:val="797830EF"/>
    <w:rsid w:val="79E401BB"/>
    <w:rsid w:val="79E901F6"/>
    <w:rsid w:val="7A7D31D7"/>
    <w:rsid w:val="7AF10738"/>
    <w:rsid w:val="7B0B24AA"/>
    <w:rsid w:val="7B0B31E4"/>
    <w:rsid w:val="7C4E697D"/>
    <w:rsid w:val="7C6719A8"/>
    <w:rsid w:val="7D512B33"/>
    <w:rsid w:val="7DD20238"/>
    <w:rsid w:val="7E573E20"/>
    <w:rsid w:val="7FD776C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200" w:firstLineChars="200"/>
      <w:jc w:val="both"/>
    </w:pPr>
    <w:rPr>
      <w:rFonts w:ascii="仿宋" w:hAnsi="仿宋" w:eastAsia="仿宋" w:cs="Times New Roman"/>
      <w:kern w:val="2"/>
      <w:sz w:val="28"/>
      <w:szCs w:val="24"/>
      <w:lang w:val="en-US" w:eastAsia="zh-CN" w:bidi="ar-SA"/>
    </w:rPr>
  </w:style>
  <w:style w:type="paragraph" w:styleId="3">
    <w:name w:val="heading 1"/>
    <w:basedOn w:val="1"/>
    <w:next w:val="1"/>
    <w:qFormat/>
    <w:uiPriority w:val="0"/>
    <w:pPr>
      <w:keepNext/>
      <w:keepLines/>
      <w:jc w:val="left"/>
      <w:outlineLvl w:val="0"/>
    </w:pPr>
    <w:rPr>
      <w:rFonts w:ascii="宋体" w:hAnsi="宋体" w:eastAsia="黑体"/>
      <w:b/>
      <w:bCs/>
      <w:kern w:val="44"/>
      <w:szCs w:val="44"/>
    </w:rPr>
  </w:style>
  <w:style w:type="paragraph" w:styleId="4">
    <w:name w:val="heading 2"/>
    <w:basedOn w:val="1"/>
    <w:next w:val="1"/>
    <w:unhideWhenUsed/>
    <w:qFormat/>
    <w:uiPriority w:val="0"/>
    <w:pPr>
      <w:keepNext/>
      <w:keepLines/>
      <w:outlineLvl w:val="1"/>
    </w:pPr>
    <w:rPr>
      <w:rFonts w:ascii="Arial" w:hAnsi="Arial" w:eastAsia="楷体"/>
      <w:b/>
      <w:sz w:val="32"/>
    </w:rPr>
  </w:style>
  <w:style w:type="paragraph" w:styleId="5">
    <w:name w:val="heading 3"/>
    <w:basedOn w:val="1"/>
    <w:next w:val="1"/>
    <w:qFormat/>
    <w:uiPriority w:val="0"/>
    <w:pPr>
      <w:keepNext/>
      <w:keepLines/>
      <w:outlineLvl w:val="2"/>
    </w:pPr>
    <w:rPr>
      <w:rFonts w:ascii="仿宋_GB2312" w:hAnsi="仿宋_GB2312" w:eastAsia="仿宋_GB2312"/>
      <w:b/>
      <w:bCs/>
      <w:szCs w:val="32"/>
    </w:rPr>
  </w:style>
  <w:style w:type="character" w:default="1" w:styleId="17">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2">
    <w:name w:val="List"/>
    <w:basedOn w:val="1"/>
    <w:qFormat/>
    <w:uiPriority w:val="0"/>
    <w:pPr>
      <w:snapToGrid w:val="0"/>
      <w:spacing w:line="480" w:lineRule="atLeast"/>
      <w:ind w:left="420" w:hanging="420"/>
      <w:jc w:val="both"/>
      <w:textAlignment w:val="baseline"/>
    </w:pPr>
    <w:rPr>
      <w:rFonts w:ascii="Calibri" w:hAnsi="Calibri" w:eastAsia="楷体_GB2312"/>
      <w:kern w:val="2"/>
      <w:sz w:val="32"/>
      <w:lang w:val="en-US" w:eastAsia="zh-CN" w:bidi="ar-SA"/>
    </w:rPr>
  </w:style>
  <w:style w:type="paragraph" w:styleId="6">
    <w:name w:val="table of authorities"/>
    <w:basedOn w:val="1"/>
    <w:next w:val="1"/>
    <w:qFormat/>
    <w:uiPriority w:val="99"/>
    <w:pPr>
      <w:ind w:firstLine="640" w:firstLineChars="200"/>
    </w:pPr>
  </w:style>
  <w:style w:type="paragraph" w:styleId="7">
    <w:name w:val="annotation text"/>
    <w:basedOn w:val="1"/>
    <w:link w:val="29"/>
    <w:qFormat/>
    <w:uiPriority w:val="99"/>
    <w:pPr>
      <w:jc w:val="left"/>
    </w:pPr>
  </w:style>
  <w:style w:type="paragraph" w:styleId="8">
    <w:name w:val="Body Text"/>
    <w:basedOn w:val="1"/>
    <w:next w:val="9"/>
    <w:unhideWhenUsed/>
    <w:qFormat/>
    <w:uiPriority w:val="99"/>
    <w:pPr>
      <w:spacing w:after="120"/>
    </w:pPr>
    <w:rPr>
      <w:rFonts w:ascii="Times New Roman" w:hAnsi="Times New Roman"/>
    </w:rPr>
  </w:style>
  <w:style w:type="paragraph" w:styleId="9">
    <w:name w:val="toc 5"/>
    <w:basedOn w:val="1"/>
    <w:next w:val="1"/>
    <w:qFormat/>
    <w:uiPriority w:val="0"/>
    <w:pPr>
      <w:ind w:left="840"/>
    </w:pPr>
    <w:rPr>
      <w:rFonts w:ascii="Calibri" w:hAnsi="Calibri"/>
      <w:sz w:val="18"/>
      <w:szCs w:val="18"/>
    </w:rPr>
  </w:style>
  <w:style w:type="paragraph" w:styleId="10">
    <w:name w:val="Balloon Text"/>
    <w:basedOn w:val="1"/>
    <w:link w:val="30"/>
    <w:qFormat/>
    <w:uiPriority w:val="0"/>
    <w:pPr>
      <w:spacing w:line="240" w:lineRule="auto"/>
    </w:pPr>
    <w:rPr>
      <w:sz w:val="18"/>
      <w:szCs w:val="18"/>
    </w:rPr>
  </w:style>
  <w:style w:type="paragraph" w:styleId="11">
    <w:name w:val="footer"/>
    <w:basedOn w:val="1"/>
    <w:qFormat/>
    <w:uiPriority w:val="99"/>
    <w:pPr>
      <w:tabs>
        <w:tab w:val="center" w:pos="4153"/>
        <w:tab w:val="right" w:pos="8306"/>
      </w:tabs>
      <w:snapToGrid w:val="0"/>
      <w:jc w:val="left"/>
    </w:pPr>
    <w:rPr>
      <w:rFonts w:ascii="Times New Roman" w:hAnsi="Times New Roman"/>
      <w:sz w:val="18"/>
    </w:rPr>
  </w:style>
  <w:style w:type="paragraph" w:styleId="12">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next w:val="1"/>
    <w:qFormat/>
    <w:uiPriority w:val="99"/>
    <w:pPr>
      <w:spacing w:before="100" w:beforeAutospacing="1" w:after="100" w:afterAutospacing="1"/>
      <w:jc w:val="left"/>
    </w:pPr>
    <w:rPr>
      <w:rFonts w:cs="Times New Roman"/>
      <w:sz w:val="24"/>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annotation subject"/>
    <w:basedOn w:val="7"/>
    <w:next w:val="7"/>
    <w:link w:val="31"/>
    <w:qFormat/>
    <w:uiPriority w:val="0"/>
    <w:rPr>
      <w:b/>
      <w:bCs/>
    </w:rPr>
  </w:style>
  <w:style w:type="character" w:styleId="18">
    <w:name w:val="Strong"/>
    <w:basedOn w:val="17"/>
    <w:qFormat/>
    <w:uiPriority w:val="0"/>
    <w:rPr>
      <w:b/>
      <w:bCs/>
    </w:rPr>
  </w:style>
  <w:style w:type="character" w:styleId="19">
    <w:name w:val="FollowedHyperlink"/>
    <w:basedOn w:val="17"/>
    <w:qFormat/>
    <w:uiPriority w:val="0"/>
    <w:rPr>
      <w:color w:val="3B3B3B"/>
      <w:u w:val="none"/>
    </w:rPr>
  </w:style>
  <w:style w:type="character" w:styleId="20">
    <w:name w:val="Emphasis"/>
    <w:basedOn w:val="17"/>
    <w:qFormat/>
    <w:uiPriority w:val="0"/>
    <w:rPr>
      <w:b/>
    </w:rPr>
  </w:style>
  <w:style w:type="character" w:styleId="21">
    <w:name w:val="HTML Definition"/>
    <w:basedOn w:val="17"/>
    <w:qFormat/>
    <w:uiPriority w:val="0"/>
  </w:style>
  <w:style w:type="character" w:styleId="22">
    <w:name w:val="HTML Variable"/>
    <w:basedOn w:val="17"/>
    <w:qFormat/>
    <w:uiPriority w:val="0"/>
  </w:style>
  <w:style w:type="character" w:styleId="23">
    <w:name w:val="Hyperlink"/>
    <w:basedOn w:val="17"/>
    <w:qFormat/>
    <w:uiPriority w:val="0"/>
    <w:rPr>
      <w:color w:val="3B3B3B"/>
      <w:u w:val="none"/>
    </w:rPr>
  </w:style>
  <w:style w:type="character" w:styleId="24">
    <w:name w:val="HTML Code"/>
    <w:basedOn w:val="17"/>
    <w:qFormat/>
    <w:uiPriority w:val="0"/>
    <w:rPr>
      <w:rFonts w:ascii="Courier New" w:hAnsi="Courier New"/>
      <w:sz w:val="20"/>
    </w:rPr>
  </w:style>
  <w:style w:type="character" w:styleId="25">
    <w:name w:val="annotation reference"/>
    <w:basedOn w:val="17"/>
    <w:qFormat/>
    <w:uiPriority w:val="99"/>
    <w:rPr>
      <w:sz w:val="21"/>
      <w:szCs w:val="21"/>
    </w:rPr>
  </w:style>
  <w:style w:type="character" w:styleId="26">
    <w:name w:val="HTML Cite"/>
    <w:basedOn w:val="17"/>
    <w:qFormat/>
    <w:uiPriority w:val="0"/>
  </w:style>
  <w:style w:type="character" w:styleId="27">
    <w:name w:val="HTML Keyboard"/>
    <w:basedOn w:val="17"/>
    <w:qFormat/>
    <w:uiPriority w:val="0"/>
    <w:rPr>
      <w:rFonts w:ascii="Courier New" w:hAnsi="Courier New"/>
      <w:sz w:val="20"/>
    </w:rPr>
  </w:style>
  <w:style w:type="character" w:styleId="28">
    <w:name w:val="HTML Sample"/>
    <w:basedOn w:val="17"/>
    <w:qFormat/>
    <w:uiPriority w:val="0"/>
    <w:rPr>
      <w:rFonts w:ascii="Courier New" w:hAnsi="Courier New"/>
    </w:rPr>
  </w:style>
  <w:style w:type="character" w:customStyle="1" w:styleId="29">
    <w:name w:val="批注文字 Char"/>
    <w:basedOn w:val="17"/>
    <w:link w:val="7"/>
    <w:qFormat/>
    <w:uiPriority w:val="99"/>
    <w:rPr>
      <w:rFonts w:ascii="仿宋" w:hAnsi="仿宋" w:eastAsia="仿宋" w:cs="Times New Roman"/>
      <w:kern w:val="2"/>
      <w:sz w:val="28"/>
      <w:szCs w:val="24"/>
    </w:rPr>
  </w:style>
  <w:style w:type="character" w:customStyle="1" w:styleId="30">
    <w:name w:val="批注框文本 Char"/>
    <w:basedOn w:val="17"/>
    <w:link w:val="10"/>
    <w:qFormat/>
    <w:uiPriority w:val="0"/>
    <w:rPr>
      <w:rFonts w:ascii="仿宋" w:hAnsi="仿宋" w:eastAsia="仿宋" w:cs="Times New Roman"/>
      <w:kern w:val="2"/>
      <w:sz w:val="18"/>
      <w:szCs w:val="18"/>
    </w:rPr>
  </w:style>
  <w:style w:type="character" w:customStyle="1" w:styleId="31">
    <w:name w:val="批注主题 Char"/>
    <w:basedOn w:val="29"/>
    <w:link w:val="15"/>
    <w:qFormat/>
    <w:uiPriority w:val="0"/>
    <w:rPr>
      <w:rFonts w:ascii="仿宋" w:hAnsi="仿宋" w:eastAsia="仿宋" w:cs="Times New Roman"/>
      <w:b/>
      <w:bCs/>
      <w:kern w:val="2"/>
      <w:sz w:val="28"/>
      <w:szCs w:val="24"/>
    </w:rPr>
  </w:style>
  <w:style w:type="character" w:customStyle="1" w:styleId="32">
    <w:name w:val="column-name18"/>
    <w:basedOn w:val="17"/>
    <w:qFormat/>
    <w:uiPriority w:val="0"/>
    <w:rPr>
      <w:color w:val="0F429B"/>
    </w:rPr>
  </w:style>
  <w:style w:type="character" w:customStyle="1" w:styleId="33">
    <w:name w:val="item-name"/>
    <w:basedOn w:val="17"/>
    <w:qFormat/>
    <w:uiPriority w:val="0"/>
  </w:style>
  <w:style w:type="character" w:customStyle="1" w:styleId="34">
    <w:name w:val="news_title10"/>
    <w:basedOn w:val="17"/>
    <w:qFormat/>
    <w:uiPriority w:val="0"/>
  </w:style>
  <w:style w:type="character" w:customStyle="1" w:styleId="35">
    <w:name w:val="news_meta"/>
    <w:basedOn w:val="17"/>
    <w:qFormat/>
    <w:uiPriority w:val="0"/>
    <w:rPr>
      <w:color w:val="9C9C9C"/>
    </w:rPr>
  </w:style>
  <w:style w:type="character" w:customStyle="1" w:styleId="36">
    <w:name w:val="pubdate-month"/>
    <w:basedOn w:val="17"/>
    <w:qFormat/>
    <w:uiPriority w:val="0"/>
    <w:rPr>
      <w:color w:val="FFFFFF"/>
      <w:sz w:val="19"/>
      <w:szCs w:val="19"/>
      <w:shd w:val="clear" w:color="auto" w:fill="CC0000"/>
    </w:rPr>
  </w:style>
  <w:style w:type="character" w:customStyle="1" w:styleId="37">
    <w:name w:val="Intense Reference"/>
    <w:basedOn w:val="17"/>
    <w:qFormat/>
    <w:uiPriority w:val="32"/>
    <w:rPr>
      <w:b/>
      <w:bCs/>
      <w:smallCaps/>
      <w:color w:val="ED7D31"/>
      <w:spacing w:val="5"/>
      <w:u w:val="single"/>
    </w:rPr>
  </w:style>
  <w:style w:type="character" w:customStyle="1" w:styleId="38">
    <w:name w:val="pubdate-day"/>
    <w:basedOn w:val="17"/>
    <w:qFormat/>
    <w:uiPriority w:val="0"/>
    <w:rPr>
      <w:shd w:val="clear" w:color="auto" w:fill="F2F2F2"/>
    </w:rPr>
  </w:style>
  <w:style w:type="character" w:customStyle="1" w:styleId="39">
    <w:name w:val="item-name1"/>
    <w:basedOn w:val="17"/>
    <w:qFormat/>
    <w:uiPriority w:val="0"/>
  </w:style>
  <w:style w:type="paragraph" w:customStyle="1" w:styleId="40">
    <w:name w:val="Default"/>
    <w:basedOn w:val="1"/>
    <w:qFormat/>
    <w:uiPriority w:val="0"/>
    <w:pPr>
      <w:autoSpaceDE w:val="0"/>
      <w:autoSpaceDN w:val="0"/>
      <w:adjustRightInd w:val="0"/>
      <w:jc w:val="left"/>
    </w:pPr>
    <w:rPr>
      <w:rFonts w:ascii="Calibri" w:hAnsi="Calibri" w:eastAsia="宋体" w:cs="Times New Roman"/>
      <w:color w:val="000000"/>
      <w:kern w:val="0"/>
      <w:sz w:val="24"/>
    </w:rPr>
  </w:style>
  <w:style w:type="paragraph" w:customStyle="1" w:styleId="41">
    <w:name w:val="修订1"/>
    <w:unhideWhenUsed/>
    <w:qFormat/>
    <w:uiPriority w:val="99"/>
    <w:rPr>
      <w:rFonts w:ascii="仿宋" w:hAnsi="仿宋" w:eastAsia="仿宋" w:cs="Times New Roman"/>
      <w:kern w:val="2"/>
      <w:sz w:val="28"/>
      <w:szCs w:val="24"/>
      <w:lang w:val="en-US" w:eastAsia="zh-CN" w:bidi="ar-SA"/>
    </w:rPr>
  </w:style>
  <w:style w:type="paragraph" w:customStyle="1" w:styleId="42">
    <w:name w:val="正文 A"/>
    <w:qFormat/>
    <w:uiPriority w:val="0"/>
    <w:pPr>
      <w:spacing w:after="200" w:line="276" w:lineRule="auto"/>
    </w:pPr>
    <w:rPr>
      <w:rFonts w:ascii="Calibri" w:hAnsi="Calibri" w:eastAsia="Calibri" w:cs="Calibri"/>
      <w:color w:val="000000"/>
      <w:sz w:val="22"/>
      <w:szCs w:val="22"/>
      <w:lang w:val="en-US" w:eastAsia="zh-CN" w:bidi="ar-SA"/>
    </w:rPr>
  </w:style>
  <w:style w:type="paragraph" w:customStyle="1" w:styleId="43">
    <w:name w:val="正文A"/>
    <w:basedOn w:val="1"/>
    <w:qFormat/>
    <w:uiPriority w:val="4"/>
    <w:pPr>
      <w:widowControl/>
      <w:spacing w:line="580" w:lineRule="exact"/>
      <w:ind w:firstLine="640"/>
      <w:jc w:val="left"/>
    </w:pPr>
    <w:rPr>
      <w:rFonts w:ascii="仿宋_GB2312" w:hAnsi="仿宋_GB2312" w:eastAsia="仿宋_GB2312" w:cs="宋体"/>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11146</Words>
  <Characters>12339</Characters>
  <Lines>27</Lines>
  <Paragraphs>7</Paragraphs>
  <TotalTime>30</TotalTime>
  <ScaleCrop>false</ScaleCrop>
  <LinksUpToDate>false</LinksUpToDate>
  <CharactersWithSpaces>12373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2021-01-11T05:04:00Z</dcterms:created>
  <dc:creator>Administrator</dc:creator>
  <cp:lastModifiedBy>Administrator</cp:lastModifiedBy>
  <dcterms:modified xsi:type="dcterms:W3CDTF">2024-05-30T15:32:43Z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F2D59EAA234549CAAD23C9B29CD1C1EC_13</vt:lpwstr>
  </property>
</Properties>
</file>