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36"/>
          <w:szCs w:val="36"/>
          <w:highlight w:val="none"/>
        </w:rPr>
      </w:pPr>
      <w:bookmarkStart w:id="18" w:name="_GoBack"/>
      <w:bookmarkEnd w:id="18"/>
    </w:p>
    <w:p>
      <w:pPr>
        <w:jc w:val="center"/>
        <w:rPr>
          <w:rFonts w:ascii="宋体" w:hAnsi="宋体" w:eastAsia="宋体" w:cs="Arial"/>
          <w:b/>
          <w:bCs/>
          <w:color w:val="auto"/>
          <w:sz w:val="36"/>
          <w:szCs w:val="36"/>
          <w:highlight w:val="none"/>
        </w:rPr>
      </w:pPr>
    </w:p>
    <w:p>
      <w:pPr>
        <w:jc w:val="center"/>
        <w:rPr>
          <w:rFonts w:ascii="宋体" w:hAnsi="宋体" w:eastAsia="宋体" w:cs="Arial"/>
          <w:b/>
          <w:bCs/>
          <w:color w:val="auto"/>
          <w:sz w:val="36"/>
          <w:szCs w:val="36"/>
          <w:highlight w:val="none"/>
        </w:rPr>
      </w:pPr>
    </w:p>
    <w:p>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w:t>
      </w:r>
      <w:r>
        <w:rPr>
          <w:rFonts w:hint="eastAsia" w:ascii="黑体" w:hAnsi="黑体" w:eastAsia="黑体" w:cs="黑体"/>
          <w:b/>
          <w:bCs/>
          <w:color w:val="auto"/>
          <w:sz w:val="40"/>
          <w:szCs w:val="40"/>
          <w:highlight w:val="none"/>
          <w:lang w:eastAsia="zh-CN"/>
        </w:rPr>
        <w:t>学前教育幼儿资助县级配套</w:t>
      </w:r>
      <w:r>
        <w:rPr>
          <w:rFonts w:hint="eastAsia" w:ascii="黑体" w:hAnsi="黑体" w:eastAsia="黑体" w:cs="黑体"/>
          <w:b/>
          <w:bCs/>
          <w:color w:val="auto"/>
          <w:sz w:val="40"/>
          <w:szCs w:val="40"/>
          <w:highlight w:val="none"/>
        </w:rPr>
        <w:t>绩效评价报告</w:t>
      </w: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tLeast"/>
        <w:jc w:val="center"/>
        <w:rPr>
          <w:rFonts w:ascii="宋体" w:hAnsi="宋体" w:eastAsia="宋体" w:cs="Arial"/>
          <w:b/>
          <w:bCs/>
          <w:color w:val="auto"/>
          <w:sz w:val="36"/>
          <w:szCs w:val="36"/>
          <w:highlight w:val="none"/>
        </w:rPr>
      </w:pPr>
    </w:p>
    <w:p>
      <w:pPr>
        <w:spacing w:line="240" w:lineRule="auto"/>
        <w:jc w:val="center"/>
        <w:rPr>
          <w:rFonts w:ascii="宋体" w:hAnsi="宋体" w:eastAsia="宋体" w:cs="Arial"/>
          <w:b/>
          <w:bCs/>
          <w:color w:val="auto"/>
          <w:sz w:val="36"/>
          <w:szCs w:val="36"/>
          <w:highlight w:val="none"/>
        </w:rPr>
      </w:pPr>
    </w:p>
    <w:p>
      <w:pPr>
        <w:spacing w:line="360" w:lineRule="auto"/>
        <w:ind w:firstLine="600"/>
        <w:rPr>
          <w:rFonts w:hint="eastAsia" w:ascii="黑体" w:eastAsia="黑体"/>
          <w:color w:val="auto"/>
          <w:sz w:val="32"/>
          <w:szCs w:val="32"/>
          <w:highlight w:val="none"/>
        </w:rPr>
      </w:pPr>
    </w:p>
    <w:p>
      <w:pPr>
        <w:spacing w:line="360" w:lineRule="auto"/>
        <w:ind w:firstLine="600"/>
        <w:rPr>
          <w:rFonts w:hint="eastAsia" w:ascii="黑体" w:eastAsia="黑体"/>
          <w:color w:val="auto"/>
          <w:sz w:val="32"/>
          <w:szCs w:val="32"/>
          <w:highlight w:val="none"/>
        </w:rPr>
      </w:pPr>
      <w:r>
        <w:rPr>
          <w:rFonts w:hint="eastAsia" w:ascii="黑体" w:eastAsia="黑体"/>
          <w:color w:val="auto"/>
          <w:sz w:val="32"/>
          <w:szCs w:val="32"/>
          <w:highlight w:val="none"/>
        </w:rPr>
        <w:t>项目名称：2023年学前教育幼儿资助县级配套</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托克逊县克尔碱镇中心学校</w:t>
      </w:r>
    </w:p>
    <w:p>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达吾提马·合木提</w:t>
      </w:r>
    </w:p>
    <w:p>
      <w:pPr>
        <w:spacing w:line="360" w:lineRule="auto"/>
        <w:ind w:firstLine="600"/>
        <w:rPr>
          <w:rFonts w:hint="default" w:ascii="黑体" w:eastAsia="黑体"/>
          <w:color w:val="auto"/>
          <w:sz w:val="32"/>
          <w:szCs w:val="32"/>
          <w:highlight w:val="none"/>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31日</w:t>
      </w:r>
    </w:p>
    <w:p>
      <w:pPr>
        <w:spacing w:line="240" w:lineRule="atLeast"/>
        <w:ind w:left="0" w:leftChars="0" w:firstLine="0" w:firstLineChars="0"/>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w:t>
      </w:r>
    </w:p>
    <w:p>
      <w:pPr>
        <w:spacing w:line="240" w:lineRule="atLeast"/>
        <w:ind w:left="0" w:leftChars="0" w:firstLine="0" w:firstLineChars="0"/>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绩效评价报告</w:t>
      </w:r>
    </w:p>
    <w:p>
      <w:pPr>
        <w:pStyle w:val="3"/>
        <w:ind w:firstLine="640"/>
        <w:rPr>
          <w:rFonts w:hint="eastAsia"/>
          <w:color w:val="auto"/>
          <w:highlight w:val="none"/>
        </w:rPr>
      </w:pPr>
    </w:p>
    <w:p>
      <w:pPr>
        <w:pStyle w:val="3"/>
        <w:ind w:firstLine="640"/>
        <w:rPr>
          <w:color w:val="auto"/>
          <w:highlight w:val="none"/>
        </w:rPr>
      </w:pPr>
      <w:r>
        <w:rPr>
          <w:rFonts w:hint="eastAsia"/>
          <w:color w:val="auto"/>
          <w:highlight w:val="none"/>
        </w:rPr>
        <w:t>一、基本情况</w:t>
      </w:r>
    </w:p>
    <w:p>
      <w:pPr>
        <w:pStyle w:val="5"/>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pPr>
        <w:pStyle w:val="5"/>
        <w:ind w:firstLine="562"/>
        <w:rPr>
          <w:rFonts w:hint="eastAsia"/>
          <w:color w:val="auto"/>
          <w:highlight w:val="none"/>
          <w:lang w:val="en-US" w:eastAsia="zh-CN"/>
        </w:rPr>
      </w:pPr>
      <w:r>
        <w:rPr>
          <w:rFonts w:hint="eastAsia"/>
          <w:color w:val="auto"/>
          <w:highlight w:val="none"/>
          <w:lang w:val="en-US" w:eastAsia="zh-CN"/>
        </w:rPr>
        <w:t>1.项目概况</w:t>
      </w:r>
    </w:p>
    <w:p>
      <w:pPr>
        <w:pStyle w:val="4"/>
        <w:ind w:firstLine="643"/>
        <w:rPr>
          <w:rFonts w:hint="eastAsia"/>
          <w:color w:val="auto"/>
          <w:highlight w:val="none"/>
          <w:lang w:val="en-US" w:eastAsia="zh-CN"/>
        </w:rPr>
      </w:pPr>
      <w:r>
        <w:rPr>
          <w:rFonts w:hint="eastAsia" w:ascii="仿宋_GB2312" w:hAnsi="Times New Roman" w:eastAsia="仿宋_GB2312" w:cs="Times New Roman"/>
          <w:b w:val="0"/>
          <w:bCs/>
          <w:color w:val="auto"/>
          <w:kern w:val="2"/>
          <w:sz w:val="28"/>
          <w:szCs w:val="28"/>
          <w:highlight w:val="none"/>
          <w:lang w:val="en-US" w:eastAsia="zh-CN" w:bidi="ar-SA"/>
        </w:rPr>
        <w:t>办好学前教育，实现幼有所育，是党和政府为老百姓办实事的重大民生工程。为解决学前教育资源不足，城乡发展不平衡、一些地方入园难，入园贵等问题，根据《国务院关于当前发展学前教育的若干意见》《国家中长期教育改革和发展规划纲要》《关于实施学前教育三年行动计划的意见》等文件精神，中央财政通过补助和奖励的方式支持学前教育发展，进一步加强公办幼儿园建设，不断扩大学前教育资源，全面提高政府公共服务能力，保障适龄儿童接受基本的、有质量的学前教育。</w:t>
      </w:r>
    </w:p>
    <w:p>
      <w:pPr>
        <w:pStyle w:val="5"/>
        <w:ind w:firstLine="562"/>
        <w:rPr>
          <w:color w:val="auto"/>
          <w:highlight w:val="none"/>
        </w:rPr>
      </w:pPr>
      <w:r>
        <w:rPr>
          <w:rFonts w:hint="eastAsia"/>
          <w:color w:val="auto"/>
          <w:highlight w:val="none"/>
          <w:lang w:val="en-US" w:eastAsia="zh-CN"/>
        </w:rPr>
        <w:t>2.</w:t>
      </w:r>
      <w:r>
        <w:rPr>
          <w:rFonts w:hint="eastAsia"/>
          <w:color w:val="auto"/>
          <w:highlight w:val="none"/>
        </w:rPr>
        <w:t>项目实施主体</w:t>
      </w:r>
    </w:p>
    <w:p>
      <w:pPr>
        <w:ind w:firstLine="562"/>
        <w:rPr>
          <w:rFonts w:hint="eastAsia"/>
          <w:b/>
          <w:color w:val="auto"/>
          <w:highlight w:val="none"/>
        </w:rPr>
      </w:pPr>
      <w:r>
        <w:rPr>
          <w:rFonts w:hint="eastAsia"/>
          <w:b/>
          <w:color w:val="auto"/>
          <w:highlight w:val="none"/>
        </w:rPr>
        <w:t>（1）单位职能</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1）宣传贯彻执行党和国家的教育方针、政策、法律法规等，坚持依法治教、依法治学，贯彻执行县教体局的行政规章制度。</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2）配合县人民政府制定符合党的教育方针和国家教育法律法规以及本校实际的教育发展规划和学校布局调整规划，并抓好组织实施和落实工作。</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3）巩固提高“两基”工作成果和整体水平，配合各级人民政府依法动员工作。</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4）组织开展本校的教育教学科研和教育教学改革，科研兴教，科研兴校。负责对本校教育教学业务的具体管理，负责教育教学，管理及教研教改工作，全力推进素质教育实施。</w:t>
      </w:r>
    </w:p>
    <w:p>
      <w:pPr>
        <w:pStyle w:val="4"/>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5）按照干部和教师的职数、编制和管理权限，负责本校教师人事管理、继续教育、考核考评等工作。</w:t>
      </w:r>
    </w:p>
    <w:p>
      <w:pPr>
        <w:pStyle w:val="4"/>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6）负责本校财务和基建管理，筹措资金，改善办学条件等工作。7、指导、管理、检查、评价本校的教育教学工作，提高办学质量和办学效益。全面推进素质教育，全面提高教育教学质量。</w:t>
      </w:r>
    </w:p>
    <w:p>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托克逊县克尔碱镇中心学校共设有3个处室，主要有：</w:t>
      </w:r>
      <w:r>
        <w:rPr>
          <w:rFonts w:hint="eastAsia" w:ascii="仿宋_GB2312" w:hAnsi="黑体" w:eastAsia="仿宋_GB2312" w:cs="宋体"/>
          <w:bCs/>
          <w:color w:val="auto"/>
          <w:kern w:val="0"/>
          <w:sz w:val="32"/>
          <w:szCs w:val="32"/>
          <w:highlight w:val="none"/>
        </w:rPr>
        <w:t>办公室、教务室、财务室</w:t>
      </w:r>
      <w:r>
        <w:rPr>
          <w:rFonts w:hint="eastAsia" w:ascii="仿宋_GB2312" w:hAnsi="黑体" w:cs="宋体"/>
          <w:bCs/>
          <w:color w:val="auto"/>
          <w:kern w:val="0"/>
          <w:sz w:val="32"/>
          <w:szCs w:val="32"/>
          <w:highlight w:val="none"/>
          <w:lang w:eastAsia="zh-CN"/>
        </w:rPr>
        <w:t>。</w:t>
      </w:r>
      <w:r>
        <w:rPr>
          <w:rFonts w:hint="eastAsia" w:ascii="仿宋" w:hAnsi="仿宋" w:eastAsia="仿宋"/>
          <w:color w:val="auto"/>
          <w:szCs w:val="28"/>
          <w:highlight w:val="none"/>
          <w:lang w:val="en-US" w:eastAsia="zh-CN"/>
        </w:rPr>
        <w:t>托克逊县克尔碱镇中心学校</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7</w:t>
      </w:r>
      <w:r>
        <w:rPr>
          <w:rFonts w:hint="eastAsia" w:ascii="仿宋" w:hAnsi="仿宋" w:eastAsia="仿宋"/>
          <w:color w:val="auto"/>
          <w:szCs w:val="28"/>
          <w:highlight w:val="none"/>
        </w:rPr>
        <w:t>人，年初实有在职人员</w:t>
      </w:r>
      <w:r>
        <w:rPr>
          <w:rFonts w:hint="eastAsia" w:ascii="仿宋" w:hAnsi="仿宋" w:eastAsia="仿宋"/>
          <w:color w:val="auto"/>
          <w:szCs w:val="28"/>
          <w:highlight w:val="none"/>
          <w:lang w:val="en-US" w:eastAsia="zh-CN"/>
        </w:rPr>
        <w:t>22</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0</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22</w:t>
      </w:r>
      <w:r>
        <w:rPr>
          <w:rFonts w:hint="eastAsia" w:ascii="仿宋" w:hAnsi="仿宋" w:eastAsia="仿宋"/>
          <w:color w:val="auto"/>
          <w:szCs w:val="28"/>
          <w:highlight w:val="none"/>
        </w:rPr>
        <w:t>人。</w:t>
      </w:r>
    </w:p>
    <w:p>
      <w:pPr>
        <w:pStyle w:val="5"/>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项目名称：2023年学前教育幼儿资助县级配套</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项目主要内容：保障克尔碱学区69名农村在园幼儿免费接受学前三年教育,提高我学区农村学前国语教育覆盖率，完善学前教育体系，持续推进学前教育事业发展。</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项目实施时间：2023年1月-2023年12月</w:t>
      </w:r>
    </w:p>
    <w:p>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项目实施情况：</w:t>
      </w:r>
    </w:p>
    <w:p>
      <w:pPr>
        <w:ind w:firstLine="560"/>
        <w:rPr>
          <w:rFonts w:hint="eastAsia" w:ascii="仿宋" w:hAnsi="仿宋" w:eastAsia="仿宋" w:cs="Times New Roman"/>
          <w:color w:val="auto"/>
          <w:szCs w:val="28"/>
          <w:highlight w:val="none"/>
          <w:lang w:val="en-US" w:eastAsia="zh-CN"/>
        </w:rPr>
      </w:pPr>
      <w:r>
        <w:rPr>
          <w:rFonts w:hint="eastAsia" w:ascii="仿宋" w:hAnsi="仿宋" w:eastAsia="仿宋" w:cs="Times New Roman"/>
          <w:color w:val="auto"/>
          <w:szCs w:val="28"/>
          <w:highlight w:val="none"/>
          <w:lang w:val="en-US" w:eastAsia="zh-CN"/>
        </w:rPr>
        <w:t>2023年学前教育幼儿资助县级配套项目预算安排总额为8.47万元，主要用于保障夏镇片区学前教育教学工作正常开展，确保克尔碱镇片区幼儿园正常招收适龄入学儿童。2023年我片区保障了3所幼儿园69名幼儿享受学前三年教育，做到应入尽入，保证了片区幼儿百分百入园，确保了片区内3所幼儿园补助全覆盖，及时支付各幼儿园经费，保障幼儿园冬季正常供暖，确保幼儿园食品安全，确保幼儿园伙食费按时支付，有效提高了学前教育普惠保障。确保了学前教育教育保障机制政策按规定得到落实，提高了我县农村学前国语教育覆盖率，完善了学前教育体系，持续推进了学前教育事业发展。</w:t>
      </w:r>
    </w:p>
    <w:p>
      <w:pPr>
        <w:pStyle w:val="5"/>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8.47</w:t>
      </w:r>
      <w:r>
        <w:rPr>
          <w:color w:val="auto"/>
          <w:highlight w:val="none"/>
        </w:rPr>
        <w:t>万元，其中财政资金</w:t>
      </w:r>
      <w:r>
        <w:rPr>
          <w:rFonts w:hint="eastAsia"/>
          <w:color w:val="auto"/>
          <w:highlight w:val="none"/>
          <w:lang w:val="en-US" w:eastAsia="zh-CN"/>
        </w:rPr>
        <w:t>8.47</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7.14</w:t>
      </w:r>
      <w:r>
        <w:rPr>
          <w:color w:val="auto"/>
          <w:highlight w:val="none"/>
        </w:rPr>
        <w:t>万元，预算资金到位率为</w:t>
      </w:r>
      <w:r>
        <w:rPr>
          <w:rFonts w:hint="eastAsia"/>
          <w:color w:val="auto"/>
          <w:highlight w:val="none"/>
          <w:lang w:val="en-US" w:eastAsia="zh-CN"/>
        </w:rPr>
        <w:t>84.30</w:t>
      </w:r>
      <w:r>
        <w:rPr>
          <w:color w:val="auto"/>
          <w:highlight w:val="none"/>
        </w:rPr>
        <w:t>%。</w:t>
      </w:r>
    </w:p>
    <w:p>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pPr>
        <w:ind w:firstLine="560"/>
        <w:rPr>
          <w:rFonts w:hint="default" w:eastAsia="仿宋_GB2312"/>
          <w:b w:val="0"/>
          <w:bCs w:val="0"/>
          <w:color w:val="auto"/>
          <w:highlight w:val="none"/>
          <w:lang w:val="en-US" w:eastAsia="zh-CN"/>
        </w:rPr>
      </w:pPr>
      <w:r>
        <w:rPr>
          <w:rFonts w:hint="eastAsia"/>
          <w:color w:val="auto"/>
          <w:highlight w:val="none"/>
          <w:lang w:eastAsia="zh-CN"/>
        </w:rPr>
        <w:t>截止到</w:t>
      </w:r>
      <w:r>
        <w:rPr>
          <w:rFonts w:hint="eastAsia"/>
          <w:color w:val="auto"/>
          <w:highlight w:val="none"/>
          <w:lang w:val="en-US" w:eastAsia="zh-CN"/>
        </w:rPr>
        <w:t>2023年12月31日，</w:t>
      </w:r>
      <w:r>
        <w:rPr>
          <w:rFonts w:hint="eastAsia"/>
          <w:color w:val="auto"/>
          <w:highlight w:val="none"/>
        </w:rPr>
        <w:t>本项目实际支付资金</w:t>
      </w:r>
      <w:r>
        <w:rPr>
          <w:rFonts w:hint="eastAsia"/>
          <w:color w:val="auto"/>
          <w:highlight w:val="none"/>
          <w:lang w:val="en-US" w:eastAsia="zh-CN"/>
        </w:rPr>
        <w:t>7.14</w:t>
      </w:r>
      <w:r>
        <w:rPr>
          <w:rFonts w:hint="eastAsia"/>
          <w:color w:val="auto"/>
          <w:highlight w:val="none"/>
        </w:rPr>
        <w:t>万元，预算执行率</w:t>
      </w:r>
      <w:r>
        <w:rPr>
          <w:rFonts w:hint="eastAsia"/>
          <w:color w:val="auto"/>
          <w:highlight w:val="none"/>
          <w:lang w:val="en-US" w:eastAsia="zh-CN"/>
        </w:rPr>
        <w:t>84.30</w:t>
      </w:r>
      <w:r>
        <w:rPr>
          <w:color w:val="auto"/>
          <w:highlight w:val="none"/>
        </w:rPr>
        <w:t>%</w:t>
      </w:r>
      <w:r>
        <w:rPr>
          <w:rFonts w:hint="eastAsia"/>
          <w:color w:val="auto"/>
          <w:highlight w:val="none"/>
          <w:lang w:eastAsia="zh-CN"/>
        </w:rPr>
        <w:t>，结余资金指标额度已由县财政收回。</w:t>
      </w:r>
      <w:r>
        <w:rPr>
          <w:rFonts w:hint="eastAsia"/>
          <w:color w:val="auto"/>
          <w:highlight w:val="none"/>
        </w:rPr>
        <w:t>项目资金主要用于</w:t>
      </w:r>
      <w:r>
        <w:rPr>
          <w:rFonts w:hint="eastAsia"/>
          <w:color w:val="auto"/>
          <w:highlight w:val="none"/>
          <w:lang w:val="en-US" w:eastAsia="zh-CN"/>
        </w:rPr>
        <w:t>支付电费4.31万元、维修费0.13万元、培训费0.02万元、助学金2.69万元。</w:t>
      </w:r>
    </w:p>
    <w:p>
      <w:pPr>
        <w:pStyle w:val="4"/>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pPr>
        <w:pStyle w:val="5"/>
        <w:bidi w:val="0"/>
        <w:rPr>
          <w:color w:val="auto"/>
          <w:highlight w:val="none"/>
        </w:rPr>
      </w:pPr>
      <w:r>
        <w:rPr>
          <w:rFonts w:hint="eastAsia"/>
          <w:color w:val="auto"/>
          <w:highlight w:val="none"/>
        </w:rPr>
        <w:t>1.总体目标</w:t>
      </w:r>
    </w:p>
    <w:p>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保障</w:t>
      </w:r>
      <w:r>
        <w:rPr>
          <w:rFonts w:hint="eastAsia" w:cs="Times New Roman"/>
          <w:color w:val="auto"/>
          <w:highlight w:val="none"/>
          <w:lang w:val="en-US" w:eastAsia="zh-CN"/>
        </w:rPr>
        <w:t>克尔碱</w:t>
      </w:r>
      <w:r>
        <w:rPr>
          <w:rFonts w:hint="eastAsia" w:ascii="Times New Roman" w:hAnsi="Times New Roman" w:cs="Times New Roman"/>
          <w:color w:val="auto"/>
          <w:highlight w:val="none"/>
          <w:lang w:val="en-US" w:eastAsia="zh-CN"/>
        </w:rPr>
        <w:t>学区</w:t>
      </w:r>
      <w:r>
        <w:rPr>
          <w:rFonts w:hint="eastAsia" w:cs="Times New Roman"/>
          <w:color w:val="auto"/>
          <w:highlight w:val="none"/>
          <w:lang w:val="en-US" w:eastAsia="zh-CN"/>
        </w:rPr>
        <w:t>69</w:t>
      </w:r>
      <w:r>
        <w:rPr>
          <w:rFonts w:hint="eastAsia" w:ascii="Times New Roman" w:hAnsi="Times New Roman" w:cs="Times New Roman"/>
          <w:color w:val="auto"/>
          <w:highlight w:val="none"/>
          <w:lang w:val="en-US" w:eastAsia="zh-CN"/>
        </w:rPr>
        <w:t>名农村在园幼儿免费接受学前三年教育,提高我学区农村学前国语教育覆盖率，完善学前教育体系，持续推进学前教育事业发展。</w:t>
      </w:r>
    </w:p>
    <w:p>
      <w:pPr>
        <w:pStyle w:val="5"/>
        <w:ind w:firstLine="562"/>
        <w:rPr>
          <w:color w:val="auto"/>
          <w:highlight w:val="none"/>
        </w:rPr>
      </w:pPr>
      <w:r>
        <w:rPr>
          <w:rFonts w:hint="eastAsia"/>
          <w:color w:val="auto"/>
          <w:highlight w:val="none"/>
        </w:rPr>
        <w:t>2.阶段性目标</w:t>
      </w:r>
    </w:p>
    <w:p>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pPr>
        <w:ind w:firstLine="560"/>
        <w:rPr>
          <w:color w:val="auto"/>
          <w:highlight w:val="none"/>
        </w:rPr>
      </w:pPr>
      <w:r>
        <w:rPr>
          <w:rFonts w:hint="eastAsia"/>
          <w:color w:val="auto"/>
          <w:highlight w:val="none"/>
        </w:rPr>
        <w:t>①数量指标</w:t>
      </w:r>
    </w:p>
    <w:p>
      <w:pPr>
        <w:ind w:firstLine="560"/>
        <w:rPr>
          <w:color w:val="auto"/>
          <w:highlight w:val="none"/>
        </w:rPr>
      </w:pPr>
      <w:r>
        <w:rPr>
          <w:rFonts w:hint="eastAsia"/>
          <w:color w:val="auto"/>
          <w:highlight w:val="none"/>
        </w:rPr>
        <w:t>“享受学前教育资助的幼儿园数量”指标，预期指标值</w:t>
      </w:r>
      <w:r>
        <w:rPr>
          <w:rFonts w:hint="eastAsia"/>
          <w:color w:val="auto"/>
          <w:highlight w:val="none"/>
          <w:lang w:eastAsia="zh-CN"/>
        </w:rPr>
        <w:t>大于等于</w:t>
      </w:r>
      <w:r>
        <w:rPr>
          <w:rFonts w:hint="eastAsia"/>
          <w:color w:val="auto"/>
          <w:highlight w:val="none"/>
          <w:lang w:val="en-US" w:eastAsia="zh-CN"/>
        </w:rPr>
        <w:t>3所</w:t>
      </w:r>
      <w:r>
        <w:rPr>
          <w:rFonts w:hint="eastAsia"/>
          <w:color w:val="auto"/>
          <w:highlight w:val="none"/>
        </w:rPr>
        <w:t>；</w:t>
      </w:r>
    </w:p>
    <w:p>
      <w:pPr>
        <w:ind w:firstLine="560"/>
        <w:rPr>
          <w:rFonts w:hint="eastAsia"/>
          <w:color w:val="auto"/>
          <w:highlight w:val="none"/>
        </w:rPr>
      </w:pPr>
      <w:r>
        <w:rPr>
          <w:rFonts w:hint="eastAsia"/>
          <w:color w:val="auto"/>
          <w:highlight w:val="none"/>
        </w:rPr>
        <w:t>“享受学前教育资助的幼儿人数”指标，预期指标值</w:t>
      </w:r>
      <w:r>
        <w:rPr>
          <w:rFonts w:hint="eastAsia"/>
          <w:color w:val="auto"/>
          <w:highlight w:val="none"/>
          <w:lang w:eastAsia="zh-CN"/>
        </w:rPr>
        <w:t>大于等于</w:t>
      </w:r>
      <w:r>
        <w:rPr>
          <w:rFonts w:hint="eastAsia"/>
          <w:color w:val="auto"/>
          <w:highlight w:val="none"/>
          <w:lang w:val="en-US" w:eastAsia="zh-CN"/>
        </w:rPr>
        <w:t>69人</w:t>
      </w:r>
      <w:r>
        <w:rPr>
          <w:rFonts w:hint="eastAsia"/>
          <w:color w:val="auto"/>
          <w:highlight w:val="none"/>
        </w:rPr>
        <w:t>。</w:t>
      </w:r>
    </w:p>
    <w:p>
      <w:pPr>
        <w:ind w:firstLine="560"/>
        <w:rPr>
          <w:rFonts w:hint="eastAsia"/>
          <w:color w:val="auto"/>
          <w:highlight w:val="none"/>
        </w:rPr>
      </w:pPr>
      <w:r>
        <w:rPr>
          <w:rFonts w:hint="eastAsia"/>
          <w:color w:val="auto"/>
          <w:highlight w:val="none"/>
        </w:rPr>
        <w:t>“普惠性学前教育资源覆盖率”指标，预期指标值</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pPr>
        <w:ind w:firstLine="560"/>
        <w:rPr>
          <w:rFonts w:hint="eastAsia"/>
          <w:color w:val="auto"/>
          <w:highlight w:val="none"/>
        </w:rPr>
      </w:pPr>
      <w:r>
        <w:rPr>
          <w:rFonts w:hint="eastAsia"/>
          <w:color w:val="auto"/>
          <w:highlight w:val="none"/>
        </w:rPr>
        <w:t>“公办园在园幼儿占比”指标，预期指标值</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pPr>
        <w:ind w:firstLine="560"/>
        <w:rPr>
          <w:color w:val="auto"/>
          <w:highlight w:val="none"/>
        </w:rPr>
      </w:pPr>
      <w:r>
        <w:rPr>
          <w:rFonts w:hint="eastAsia"/>
          <w:color w:val="auto"/>
          <w:highlight w:val="none"/>
        </w:rPr>
        <w:t>②质量指标</w:t>
      </w:r>
    </w:p>
    <w:p>
      <w:pPr>
        <w:ind w:firstLine="560"/>
        <w:rPr>
          <w:color w:val="auto"/>
          <w:highlight w:val="none"/>
        </w:rPr>
      </w:pPr>
      <w:r>
        <w:rPr>
          <w:rFonts w:hint="eastAsia"/>
          <w:color w:val="auto"/>
          <w:highlight w:val="none"/>
        </w:rPr>
        <w:t>“农村学前国语教育覆盖率”指标，预期指标值为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“专业幼师上岗率”指标，预期指标值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pPr>
        <w:ind w:firstLine="560"/>
        <w:rPr>
          <w:rFonts w:hint="eastAsia"/>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pP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pP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pPr>
        <w:ind w:firstLine="560"/>
        <w:rPr>
          <w:rFonts w:hint="eastAsia"/>
          <w:color w:val="auto"/>
          <w:highlight w:val="none"/>
        </w:rPr>
      </w:pPr>
      <w:r>
        <w:rPr>
          <w:rFonts w:hint="eastAsia"/>
          <w:color w:val="auto"/>
          <w:highlight w:val="none"/>
        </w:rPr>
        <w:t>“学前教育资助经费平均发放标准”指标，预期指标值</w:t>
      </w:r>
      <w:r>
        <w:rPr>
          <w:rFonts w:hint="eastAsia"/>
          <w:color w:val="auto"/>
          <w:highlight w:val="none"/>
          <w:lang w:eastAsia="zh-CN"/>
        </w:rPr>
        <w:t>为小于等于</w:t>
      </w:r>
      <w:r>
        <w:rPr>
          <w:rFonts w:hint="eastAsia"/>
          <w:color w:val="auto"/>
          <w:highlight w:val="none"/>
          <w:lang w:val="en-US" w:eastAsia="zh-CN"/>
        </w:rPr>
        <w:t>1227.8元/人/学年</w:t>
      </w:r>
      <w:r>
        <w:rPr>
          <w:rFonts w:hint="eastAsia"/>
          <w:color w:val="auto"/>
          <w:highlight w:val="none"/>
        </w:rPr>
        <w:t>；</w:t>
      </w:r>
    </w:p>
    <w:p>
      <w:pPr>
        <w:ind w:firstLine="56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pPr>
        <w:ind w:firstLine="560"/>
        <w:rPr>
          <w:rFonts w:hint="eastAsia"/>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pPr>
        <w:ind w:firstLine="560"/>
        <w:rPr>
          <w:rFonts w:hint="default"/>
          <w:color w:val="auto"/>
          <w:highlight w:val="none"/>
          <w:lang w:val="en-US" w:eastAsia="zh-CN"/>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pPr>
        <w:ind w:firstLine="560"/>
        <w:rPr>
          <w:rFonts w:hint="eastAsia" w:eastAsia="仿宋_GB2312"/>
          <w:color w:val="auto"/>
          <w:highlight w:val="none"/>
          <w:lang w:val="en-US" w:eastAsia="zh-CN"/>
        </w:rPr>
      </w:pPr>
      <w:r>
        <w:rPr>
          <w:rFonts w:hint="eastAsia"/>
          <w:color w:val="auto"/>
          <w:highlight w:val="none"/>
          <w:lang w:val="en-US" w:eastAsia="zh-CN"/>
        </w:rPr>
        <w:t>无</w:t>
      </w:r>
    </w:p>
    <w:p>
      <w:pPr>
        <w:ind w:firstLine="560"/>
        <w:rPr>
          <w:rFonts w:hint="eastAsia"/>
          <w:color w:val="auto"/>
          <w:highlight w:val="none"/>
        </w:rPr>
      </w:pPr>
      <w:r>
        <w:rPr>
          <w:rFonts w:hint="eastAsia"/>
          <w:color w:val="auto"/>
          <w:highlight w:val="none"/>
        </w:rPr>
        <w:t>②社会效益指标</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“学前三年毛入率”指标，预期指标值</w:t>
      </w:r>
      <w:r>
        <w:rPr>
          <w:rFonts w:hint="eastAsia" w:ascii="Times New Roman" w:hAnsi="Times New Roman" w:cs="Times New Roman"/>
          <w:color w:val="auto"/>
          <w:highlight w:val="none"/>
          <w:lang w:eastAsia="zh-CN"/>
        </w:rPr>
        <w:t>大于等于</w:t>
      </w:r>
      <w:r>
        <w:rPr>
          <w:rFonts w:hint="eastAsia" w:ascii="Times New Roman" w:hAnsi="Times New Roman" w:cs="Times New Roman"/>
          <w:color w:val="auto"/>
          <w:highlight w:val="none"/>
          <w:lang w:val="en-US" w:eastAsia="zh-CN"/>
        </w:rPr>
        <w:t>100%</w:t>
      </w:r>
      <w:r>
        <w:rPr>
          <w:rFonts w:hint="eastAsia" w:ascii="Times New Roman" w:hAnsi="Times New Roman" w:cs="Times New Roman"/>
          <w:color w:val="auto"/>
          <w:highlight w:val="none"/>
        </w:rPr>
        <w:t>；</w:t>
      </w:r>
    </w:p>
    <w:p>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eastAsia="zh-CN"/>
        </w:rPr>
        <w:t>积极提高学前教育普惠保障水平</w:t>
      </w:r>
      <w:r>
        <w:rPr>
          <w:rFonts w:hint="eastAsia" w:ascii="Times New Roman" w:hAnsi="Times New Roman" w:cs="Times New Roman"/>
          <w:color w:val="auto"/>
          <w:highlight w:val="none"/>
        </w:rPr>
        <w:t>”指标，预期指标值为有效</w:t>
      </w:r>
      <w:r>
        <w:rPr>
          <w:rFonts w:hint="eastAsia" w:ascii="Times New Roman" w:hAnsi="Times New Roman" w:cs="Times New Roman"/>
          <w:color w:val="auto"/>
          <w:highlight w:val="none"/>
          <w:lang w:val="en-US" w:eastAsia="zh-CN"/>
        </w:rPr>
        <w:t>提高</w:t>
      </w:r>
      <w:r>
        <w:rPr>
          <w:rFonts w:hint="eastAsia" w:ascii="Times New Roman" w:hAnsi="Times New Roman" w:cs="Times New Roman"/>
          <w:color w:val="auto"/>
          <w:highlight w:val="none"/>
        </w:rPr>
        <w:t>；</w:t>
      </w:r>
    </w:p>
    <w:p>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pPr>
        <w:ind w:firstLine="560"/>
        <w:rPr>
          <w:color w:val="auto"/>
          <w:highlight w:val="none"/>
        </w:rPr>
      </w:pPr>
      <w:r>
        <w:rPr>
          <w:rFonts w:hint="eastAsia"/>
          <w:color w:val="auto"/>
          <w:highlight w:val="none"/>
          <w:lang w:val="en-US" w:eastAsia="zh-CN"/>
        </w:rPr>
        <w:t>无。</w:t>
      </w:r>
    </w:p>
    <w:p>
      <w:pP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pPr>
        <w:ind w:firstLine="560"/>
        <w:rPr>
          <w:color w:val="auto"/>
          <w:highlight w:val="none"/>
        </w:rPr>
      </w:pPr>
      <w:r>
        <w:rPr>
          <w:rFonts w:hint="eastAsia"/>
          <w:color w:val="auto"/>
          <w:highlight w:val="none"/>
        </w:rPr>
        <w:t>①满意度指标</w:t>
      </w:r>
    </w:p>
    <w:p>
      <w:pPr>
        <w:ind w:firstLine="560"/>
        <w:rPr>
          <w:color w:val="auto"/>
          <w:highlight w:val="none"/>
        </w:rPr>
      </w:pPr>
      <w:r>
        <w:rPr>
          <w:rFonts w:hint="eastAsia"/>
          <w:color w:val="auto"/>
          <w:highlight w:val="none"/>
        </w:rPr>
        <w:t>“受益幼儿家长满意度”指标，预期指标值</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pPr>
        <w:pStyle w:val="3"/>
        <w:ind w:firstLine="640"/>
        <w:rPr>
          <w:color w:val="auto"/>
          <w:highlight w:val="none"/>
        </w:rPr>
      </w:pPr>
      <w:r>
        <w:rPr>
          <w:rFonts w:hint="eastAsia"/>
          <w:color w:val="auto"/>
          <w:highlight w:val="none"/>
        </w:rPr>
        <w:t>二、绩效评价工作开展情况</w:t>
      </w:r>
    </w:p>
    <w:p>
      <w:pPr>
        <w:pStyle w:val="4"/>
        <w:numPr>
          <w:ilvl w:val="0"/>
          <w:numId w:val="1"/>
        </w:numPr>
        <w:ind w:firstLine="643"/>
        <w:rPr>
          <w:rFonts w:ascii="楷体" w:hAnsi="楷体" w:cs="楷体"/>
          <w:color w:val="auto"/>
          <w:szCs w:val="32"/>
          <w:highlight w:val="none"/>
        </w:rPr>
      </w:pPr>
      <w:bookmarkStart w:id="0" w:name="_Toc480473081"/>
      <w:bookmarkStart w:id="1" w:name="_Toc21664"/>
      <w:bookmarkStart w:id="2" w:name="_Toc5258"/>
      <w:bookmarkStart w:id="3" w:name="_Toc12868"/>
      <w:bookmarkStart w:id="4" w:name="_Toc26632"/>
      <w:bookmarkStart w:id="5" w:name="_Toc5462343"/>
      <w:bookmarkStart w:id="6" w:name="_Toc22169_WPSOffice_Level2"/>
      <w:bookmarkStart w:id="7" w:name="_Toc2292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pPr>
        <w:pStyle w:val="5"/>
        <w:ind w:firstLine="562"/>
        <w:rPr>
          <w:rFonts w:hint="eastAsia"/>
          <w:color w:val="auto"/>
          <w:highlight w:val="none"/>
        </w:rPr>
      </w:pPr>
      <w:r>
        <w:rPr>
          <w:rFonts w:hint="eastAsia"/>
          <w:color w:val="auto"/>
          <w:highlight w:val="none"/>
        </w:rPr>
        <w:t>1.绩效评价的目的</w:t>
      </w:r>
    </w:p>
    <w:p>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Style w:val="5"/>
        <w:ind w:firstLine="562"/>
        <w:rPr>
          <w:rFonts w:hint="eastAsia"/>
          <w:color w:val="auto"/>
          <w:highlight w:val="none"/>
        </w:rPr>
      </w:pPr>
      <w:r>
        <w:rPr>
          <w:rFonts w:hint="eastAsia"/>
          <w:color w:val="auto"/>
          <w:highlight w:val="none"/>
        </w:rPr>
        <w:t>2.绩效评价对象</w:t>
      </w:r>
    </w:p>
    <w:p>
      <w:pPr>
        <w:ind w:firstLine="560"/>
        <w:rPr>
          <w:rFonts w:ascii="Times New Roman" w:hAnsi="Times New Roman" w:cs="Times New Roman"/>
          <w:color w:val="auto"/>
          <w:highlight w:val="none"/>
        </w:rPr>
      </w:pPr>
      <w:r>
        <w:rPr>
          <w:rFonts w:hint="eastAsia" w:ascii="Times New Roman" w:hAnsi="Times New Roman" w:cs="Times New Roman"/>
          <w:color w:val="auto"/>
          <w:highlight w:val="none"/>
        </w:rPr>
        <w:t>此次我单位根据《财政支出绩效评价管理暂行办法》（财预〔2020〕10号）文件要求实施评价工作，本次评价对象为</w:t>
      </w:r>
      <w:r>
        <w:rPr>
          <w:rFonts w:hint="default" w:ascii="Times New Roman" w:hAnsi="Times New Roman" w:cs="Times New Roman"/>
          <w:color w:val="auto"/>
          <w:highlight w:val="none"/>
        </w:rPr>
        <w:t>2023年学前教育幼儿资助县级配套</w:t>
      </w:r>
      <w:r>
        <w:rPr>
          <w:rFonts w:hint="eastAsia" w:ascii="Times New Roman" w:hAnsi="Times New Roman" w:cs="Times New Roman"/>
          <w:color w:val="auto"/>
          <w:highlight w:val="none"/>
          <w:lang w:eastAsia="zh-CN"/>
        </w:rPr>
        <w:t>项目</w:t>
      </w:r>
      <w:r>
        <w:rPr>
          <w:rFonts w:hint="eastAsia" w:ascii="Times New Roman" w:hAnsi="Times New Roman" w:cs="Times New Roman"/>
          <w:color w:val="auto"/>
          <w:highlight w:val="none"/>
        </w:rPr>
        <w:t>，评价核心为项目</w:t>
      </w:r>
      <w:r>
        <w:rPr>
          <w:rFonts w:hint="eastAsia" w:ascii="Times New Roman" w:hAnsi="Times New Roman" w:cs="Times New Roman"/>
          <w:color w:val="auto"/>
          <w:highlight w:val="none"/>
          <w:lang w:val="en-US" w:eastAsia="zh-CN"/>
        </w:rPr>
        <w:t>的资金投入、产出及效益</w:t>
      </w:r>
      <w:r>
        <w:rPr>
          <w:rFonts w:hint="eastAsia" w:ascii="Times New Roman" w:hAnsi="Times New Roman" w:cs="Times New Roman"/>
          <w:color w:val="auto"/>
          <w:highlight w:val="none"/>
        </w:rPr>
        <w:t>。</w:t>
      </w:r>
    </w:p>
    <w:p>
      <w:pPr>
        <w:pStyle w:val="5"/>
        <w:ind w:firstLine="562"/>
        <w:rPr>
          <w:rFonts w:hint="eastAsia"/>
          <w:color w:val="auto"/>
          <w:highlight w:val="none"/>
        </w:rPr>
      </w:pPr>
      <w:r>
        <w:rPr>
          <w:rFonts w:hint="eastAsia"/>
          <w:color w:val="auto"/>
          <w:highlight w:val="none"/>
        </w:rPr>
        <w:t>3.绩效评价范围</w:t>
      </w:r>
    </w:p>
    <w:p>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pPr>
        <w:pStyle w:val="4"/>
        <w:numPr>
          <w:ilvl w:val="0"/>
          <w:numId w:val="1"/>
        </w:numPr>
        <w:ind w:firstLine="643"/>
        <w:rPr>
          <w:color w:val="auto"/>
          <w:highlight w:val="none"/>
        </w:rPr>
      </w:pPr>
      <w:r>
        <w:rPr>
          <w:rFonts w:hint="eastAsia"/>
          <w:color w:val="auto"/>
          <w:highlight w:val="none"/>
        </w:rPr>
        <w:t>绩效评价原则、评价指标体系、评价方法评价标准</w:t>
      </w:r>
    </w:p>
    <w:p>
      <w:pPr>
        <w:pStyle w:val="5"/>
        <w:ind w:firstLine="562"/>
        <w:rPr>
          <w:color w:val="auto"/>
          <w:highlight w:val="none"/>
        </w:rPr>
      </w:pPr>
      <w:r>
        <w:rPr>
          <w:rFonts w:hint="eastAsia"/>
          <w:color w:val="auto"/>
          <w:highlight w:val="none"/>
        </w:rPr>
        <w:t>1.绩效评价原则</w:t>
      </w:r>
    </w:p>
    <w:p>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pPr>
        <w:snapToGrid w:val="0"/>
        <w:ind w:firstLine="560"/>
        <w:rPr>
          <w:color w:val="auto"/>
          <w:highlight w:val="none"/>
        </w:rPr>
      </w:pPr>
      <w:r>
        <w:rPr>
          <w:rFonts w:hint="eastAsia"/>
          <w:color w:val="auto"/>
          <w:highlight w:val="none"/>
        </w:rPr>
        <w:t>（4）公开透明。绩效评价结果应依法依规公开，并自觉接受社会监督。</w:t>
      </w:r>
    </w:p>
    <w:p>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pPr>
        <w:pStyle w:val="5"/>
        <w:ind w:firstLine="562"/>
        <w:rPr>
          <w:color w:val="auto"/>
          <w:highlight w:val="none"/>
        </w:rPr>
      </w:pPr>
      <w:bookmarkStart w:id="8" w:name="_Toc428278230"/>
      <w:bookmarkStart w:id="9" w:name="_Toc419984722"/>
      <w:bookmarkStart w:id="10" w:name="_Toc1913"/>
      <w:bookmarkStart w:id="11" w:name="_Toc26131"/>
      <w:r>
        <w:rPr>
          <w:rFonts w:hint="eastAsia"/>
          <w:color w:val="auto"/>
          <w:highlight w:val="none"/>
        </w:rPr>
        <w:t>2.绩效评价指标体系</w:t>
      </w:r>
      <w:bookmarkEnd w:id="8"/>
      <w:bookmarkEnd w:id="9"/>
      <w:bookmarkEnd w:id="10"/>
      <w:bookmarkEnd w:id="11"/>
    </w:p>
    <w:p>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pPr>
        <w:pStyle w:val="5"/>
        <w:ind w:firstLine="562"/>
        <w:rPr>
          <w:color w:val="auto"/>
          <w:highlight w:val="none"/>
        </w:rPr>
      </w:pPr>
      <w:r>
        <w:rPr>
          <w:rFonts w:hint="eastAsia"/>
          <w:color w:val="auto"/>
          <w:highlight w:val="none"/>
        </w:rPr>
        <w:t>3.评价方法</w:t>
      </w:r>
    </w:p>
    <w:p>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pPr>
        <w:pStyle w:val="5"/>
        <w:ind w:firstLine="562"/>
        <w:rPr>
          <w:color w:val="auto"/>
          <w:highlight w:val="none"/>
        </w:rPr>
      </w:pPr>
      <w:r>
        <w:rPr>
          <w:rFonts w:hint="eastAsia"/>
          <w:color w:val="auto"/>
          <w:highlight w:val="none"/>
        </w:rPr>
        <w:t>4.评价标准</w:t>
      </w:r>
    </w:p>
    <w:p>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4"/>
        <w:numPr>
          <w:ilvl w:val="0"/>
          <w:numId w:val="1"/>
        </w:numPr>
        <w:ind w:firstLine="643"/>
        <w:rPr>
          <w:color w:val="auto"/>
          <w:highlight w:val="none"/>
        </w:rPr>
      </w:pPr>
      <w:r>
        <w:rPr>
          <w:rFonts w:hint="eastAsia"/>
          <w:color w:val="auto"/>
          <w:highlight w:val="none"/>
        </w:rPr>
        <w:t>绩效评价工作过程</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pPr>
        <w:spacing w:line="560" w:lineRule="exact"/>
        <w:ind w:firstLine="800" w:firstLineChars="25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（1）评价组组长：王海山，主要负责确定绩效评价</w:t>
      </w:r>
      <w:r>
        <w:rPr>
          <w:rFonts w:hint="eastAsia" w:ascii="仿宋_GB2312" w:hAnsi="宋体" w:eastAsia="仿宋_GB2312" w:cs="宋体"/>
          <w:kern w:val="0"/>
          <w:sz w:val="32"/>
          <w:szCs w:val="32"/>
          <w:lang w:val="en-US" w:eastAsia="zh-Hans"/>
        </w:rPr>
        <w:t>模</w:t>
      </w:r>
      <w:r>
        <w:rPr>
          <w:rFonts w:hint="eastAsia" w:ascii="仿宋_GB2312" w:hAnsi="宋体" w:eastAsia="仿宋_GB2312" w:cs="宋体"/>
          <w:kern w:val="0"/>
          <w:sz w:val="32"/>
          <w:szCs w:val="32"/>
          <w:lang w:val="en-US" w:eastAsia="zh-CN"/>
        </w:rPr>
        <w:t>板、总体协调沟通、全盘统筹、总体质量把关等工作。</w:t>
      </w:r>
    </w:p>
    <w:p>
      <w:pPr>
        <w:spacing w:line="560" w:lineRule="exact"/>
        <w:ind w:firstLine="800" w:firstLineChars="25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（2）评价组成员：达吾提·马合木提，主要负责绩效评价现场督导，对评价组成员的评价检查工作提供技术指导与支持，对实效评价工作质量把关。</w:t>
      </w:r>
    </w:p>
    <w:p>
      <w:pPr>
        <w:spacing w:line="560" w:lineRule="exact"/>
        <w:ind w:firstLine="800" w:firstLineChars="25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（3）评价组成员：肉孜热合曼，主要负责现场调研工作，完成收集整理资料、审核数据、填报绩效评价内容等工作。</w:t>
      </w:r>
    </w:p>
    <w:p>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16</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pPr>
        <w:pStyle w:val="5"/>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5"/>
        <w:bidi w:val="0"/>
        <w:rPr>
          <w:rFonts w:hint="eastAsia"/>
          <w:color w:val="auto"/>
          <w:highlight w:val="none"/>
          <w:lang w:val="en-US" w:eastAsia="zh-CN"/>
        </w:rPr>
      </w:pPr>
      <w:r>
        <w:rPr>
          <w:rFonts w:hint="eastAsia"/>
          <w:color w:val="auto"/>
          <w:highlight w:val="none"/>
          <w:lang w:val="en-US" w:eastAsia="zh-CN"/>
        </w:rPr>
        <w:t>5.归集档案</w:t>
      </w:r>
      <w:bookmarkEnd w:id="12"/>
    </w:p>
    <w:p>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pPr>
        <w:pStyle w:val="3"/>
        <w:numPr>
          <w:ilvl w:val="0"/>
          <w:numId w:val="2"/>
        </w:numPr>
        <w:ind w:firstLine="640"/>
        <w:rPr>
          <w:color w:val="auto"/>
          <w:highlight w:val="none"/>
        </w:rPr>
      </w:pPr>
      <w:r>
        <w:rPr>
          <w:rFonts w:hint="eastAsia"/>
          <w:color w:val="auto"/>
          <w:highlight w:val="none"/>
        </w:rPr>
        <w:t>综合评价情况及评价结论</w:t>
      </w:r>
    </w:p>
    <w:p>
      <w:pPr>
        <w:pStyle w:val="4"/>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val="en-US" w:eastAsia="zh-CN"/>
        </w:rPr>
      </w:pPr>
      <w:bookmarkStart w:id="14" w:name="_Toc68364666"/>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w:t>
      </w:r>
      <w:r>
        <w:rPr>
          <w:rFonts w:hint="eastAsia" w:ascii="Times New Roman" w:hAnsi="Times New Roman" w:cs="Times New Roman"/>
          <w:color w:val="auto"/>
          <w:highlight w:val="none"/>
          <w:lang w:val="en-US" w:eastAsia="zh-CN"/>
        </w:rPr>
        <w:t>实施过程中取得了良好的成效，具体表现在以下几个方面：</w:t>
      </w:r>
    </w:p>
    <w:p>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ascii="Times New Roman" w:hAnsi="Times New Roman" w:cs="Times New Roman"/>
          <w:color w:val="auto"/>
          <w:highlight w:val="none"/>
          <w:lang w:val="en-US" w:eastAsia="zh-CN"/>
        </w:rPr>
        <w:t>1、项目决策方面：根据项目立项符合《国务院关于当前发展学前教育的若干意见》《国家中长期教育改革和发展规划纲要》《关于实施学前教育三年行动计划的意见》等相关法律法规及文件意见，本项目立项依据充分；本项目为</w:t>
      </w:r>
      <w:r>
        <w:rPr>
          <w:rFonts w:hint="default" w:ascii="Times New Roman" w:hAnsi="Times New Roman" w:cs="Times New Roman"/>
          <w:color w:val="auto"/>
          <w:highlight w:val="none"/>
          <w:lang w:val="en-US" w:eastAsia="zh-CN"/>
        </w:rPr>
        <w:t>2023年学前教育幼儿资助</w:t>
      </w:r>
      <w:r>
        <w:rPr>
          <w:rFonts w:hint="eastAsia" w:ascii="Times New Roman" w:hAnsi="Times New Roman" w:cs="Times New Roman"/>
          <w:color w:val="auto"/>
          <w:highlight w:val="none"/>
          <w:lang w:val="en-US" w:eastAsia="zh-CN"/>
        </w:rPr>
        <w:t>的</w:t>
      </w:r>
      <w:r>
        <w:rPr>
          <w:rFonts w:hint="default" w:ascii="Times New Roman" w:hAnsi="Times New Roman" w:cs="Times New Roman"/>
          <w:color w:val="auto"/>
          <w:highlight w:val="none"/>
          <w:lang w:val="en-US" w:eastAsia="zh-CN"/>
        </w:rPr>
        <w:t>县级配套</w:t>
      </w:r>
      <w:r>
        <w:rPr>
          <w:rFonts w:hint="eastAsia" w:ascii="Times New Roman" w:hAnsi="Times New Roman" w:cs="Times New Roman"/>
          <w:color w:val="auto"/>
          <w:highlight w:val="none"/>
          <w:lang w:val="en-US" w:eastAsia="zh-CN"/>
        </w:rPr>
        <w:t>资金，为年初下达预算资金，立项程序规范；绩效目标按照2023年项目实际开展的工</w:t>
      </w:r>
      <w:r>
        <w:rPr>
          <w:rFonts w:hint="eastAsia"/>
          <w:color w:val="auto"/>
          <w:highlight w:val="none"/>
          <w:lang w:val="en-US" w:eastAsia="zh-CN"/>
        </w:rPr>
        <w:t>作任务设定，目标合理，与工作任务相匹配</w:t>
      </w:r>
      <w:r>
        <w:rPr>
          <w:rFonts w:hint="eastAsia"/>
          <w:color w:val="auto"/>
          <w:highlight w:val="none"/>
        </w:rPr>
        <w:t>。</w:t>
      </w:r>
    </w:p>
    <w:p>
      <w:pPr>
        <w:bidi w:val="0"/>
        <w:rPr>
          <w:rFonts w:hint="eastAsia"/>
          <w:color w:val="auto"/>
          <w:highlight w:val="none"/>
        </w:rPr>
      </w:pPr>
      <w:r>
        <w:rPr>
          <w:rFonts w:hint="eastAsia"/>
          <w:color w:val="auto"/>
          <w:highlight w:val="none"/>
          <w:lang w:val="en-US" w:eastAsia="zh-CN"/>
        </w:rPr>
        <w:t>2、</w:t>
      </w: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在实施过程中严格按照预算支付资金，主要用于保障幼儿园的用电、取暖、助学金以及学校日常运行的办公经费、其它商品服务和支出等，资金使用符合国家相关财经法规和学校的财务管理制度，符合项目预算批复内容，不存在截留挤占、挪用、虚列支出等情况。通过完善的内部控制管理制度，有效落实各项规章制度，确保了各项工作有序开展。</w:t>
      </w:r>
    </w:p>
    <w:p>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w:t>
      </w:r>
      <w:r>
        <w:rPr>
          <w:rFonts w:hint="eastAsia"/>
          <w:color w:val="auto"/>
          <w:highlight w:val="none"/>
          <w:lang w:eastAsia="zh-CN"/>
        </w:rPr>
        <w:t>项目产</w:t>
      </w:r>
      <w:r>
        <w:rPr>
          <w:rFonts w:hint="eastAsia" w:ascii="Times New Roman" w:hAnsi="Times New Roman" w:cs="Times New Roman"/>
          <w:color w:val="auto"/>
          <w:highlight w:val="none"/>
          <w:lang w:val="en-US" w:eastAsia="zh-CN"/>
        </w:rPr>
        <w:t>出和效益方面：2023年保障了夏镇</w:t>
      </w:r>
      <w:r>
        <w:rPr>
          <w:rFonts w:hint="eastAsia" w:cs="Times New Roman"/>
          <w:color w:val="auto"/>
          <w:highlight w:val="none"/>
          <w:lang w:val="en-US" w:eastAsia="zh-CN"/>
        </w:rPr>
        <w:t>3</w:t>
      </w:r>
      <w:r>
        <w:rPr>
          <w:rFonts w:hint="eastAsia" w:ascii="Times New Roman" w:hAnsi="Times New Roman" w:cs="Times New Roman"/>
          <w:color w:val="auto"/>
          <w:highlight w:val="none"/>
          <w:lang w:val="en-US" w:eastAsia="zh-CN"/>
        </w:rPr>
        <w:t>所幼儿园</w:t>
      </w:r>
      <w:r>
        <w:rPr>
          <w:rFonts w:hint="eastAsia" w:cs="Times New Roman"/>
          <w:color w:val="auto"/>
          <w:highlight w:val="none"/>
          <w:lang w:val="en-US" w:eastAsia="zh-CN"/>
        </w:rPr>
        <w:t>69</w:t>
      </w:r>
      <w:r>
        <w:rPr>
          <w:rFonts w:hint="eastAsia" w:ascii="Times New Roman" w:hAnsi="Times New Roman" w:cs="Times New Roman"/>
          <w:color w:val="auto"/>
          <w:highlight w:val="none"/>
          <w:lang w:val="en-US" w:eastAsia="zh-CN"/>
        </w:rPr>
        <w:t>名幼儿享受学前三年教育，确保了学前教育教育保障机制政策按规定得到落实，积极提高了学前教育普惠保障水平和我县农村学前国语教育覆盖率，完善了学前教育体系，持续推进了学前教育事业发展。</w:t>
      </w:r>
    </w:p>
    <w:p>
      <w:pPr>
        <w:ind w:firstLine="560"/>
        <w:rPr>
          <w:rFonts w:hint="eastAsia" w:ascii="仿宋_GB2312" w:hAnsi="仿宋_GB2312" w:eastAsia="仿宋_GB2312" w:cs="仿宋_GB2312"/>
          <w:color w:val="auto"/>
          <w:sz w:val="28"/>
          <w:szCs w:val="28"/>
          <w:highlight w:val="none"/>
          <w:lang w:val="en-US" w:eastAsia="zh-CN"/>
        </w:rPr>
      </w:pPr>
      <w:r>
        <w:rPr>
          <w:rFonts w:hint="eastAsia" w:ascii="Times New Roman" w:hAnsi="Times New Roman" w:cs="Times New Roman"/>
          <w:color w:val="auto"/>
          <w:highlight w:val="none"/>
          <w:lang w:val="en-US" w:eastAsia="zh-CN"/>
        </w:rPr>
        <w:t>4、本项目各项工作虽然按规定完成，但在预算绩效管理方面仍然存在问题。一是项目成本指标设置不规范不明确，未有效反映项目预算支出计划，导致难以衡量成本指标支出控制情况；二是</w:t>
      </w:r>
      <w:r>
        <w:rPr>
          <w:rFonts w:hint="default" w:ascii="Times New Roman" w:hAnsi="Times New Roman" w:cs="Times New Roman"/>
          <w:color w:val="auto"/>
          <w:highlight w:val="none"/>
          <w:lang w:val="en-US" w:eastAsia="zh-CN"/>
        </w:rPr>
        <w:t>学前教育幼儿资助</w:t>
      </w:r>
      <w:r>
        <w:rPr>
          <w:rFonts w:hint="eastAsia" w:ascii="Times New Roman" w:hAnsi="Times New Roman" w:cs="Times New Roman"/>
          <w:color w:val="auto"/>
          <w:highlight w:val="none"/>
          <w:lang w:val="en-US" w:eastAsia="zh-CN"/>
        </w:rPr>
        <w:t>资金每年按照上一年度事业统计报表数据的在园幼儿提前下达，县财政局按照规定比例配套资金，由于每年在园幼儿人数会</w:t>
      </w:r>
      <w:r>
        <w:rPr>
          <w:rFonts w:hint="eastAsia"/>
          <w:color w:val="auto"/>
          <w:highlight w:val="none"/>
          <w:lang w:val="en-US" w:eastAsia="zh-CN"/>
        </w:rPr>
        <w:t>发生变化，导致每年在园幼儿数与实际分配下达的资金数不一致；三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pPr>
        <w:pStyle w:val="4"/>
        <w:bidi w:val="0"/>
        <w:rPr>
          <w:rFonts w:hint="eastAsia"/>
          <w:color w:val="auto"/>
          <w:highlight w:val="none"/>
        </w:rPr>
      </w:pPr>
      <w:r>
        <w:rPr>
          <w:rFonts w:hint="eastAsia"/>
          <w:color w:val="auto"/>
          <w:highlight w:val="none"/>
        </w:rPr>
        <w:t>（二）综合评价结论</w:t>
      </w:r>
    </w:p>
    <w:bookmarkEnd w:id="14"/>
    <w:p>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97.55分，绩效评级为“优秀”。综合评价结论如下：本项目决策指标共设置6个，满分20分，得分率90%；项目过程指标共设置5个，满分20分，得分率99%；项目产出指标共设置7个，满分24分，得分率98.96%；项目成本指标共设置1个，满分12分，得分率100%;项目效益指标共设置3个，满分24分，得分率100%。</w:t>
      </w:r>
    </w:p>
    <w:p>
      <w:pPr>
        <w:pStyle w:val="3"/>
        <w:numPr>
          <w:ilvl w:val="0"/>
          <w:numId w:val="0"/>
        </w:numPr>
        <w:ind w:firstLine="640" w:firstLineChars="200"/>
        <w:rPr>
          <w:rFonts w:hint="eastAsia"/>
          <w:color w:val="auto"/>
          <w:highlight w:val="none"/>
        </w:rPr>
      </w:pPr>
      <w:r>
        <w:rPr>
          <w:rFonts w:hint="eastAsia"/>
          <w:color w:val="auto"/>
          <w:highlight w:val="none"/>
          <w:lang w:val="en-US" w:eastAsia="zh-CN"/>
        </w:rPr>
        <w:t>四、</w:t>
      </w:r>
      <w:r>
        <w:rPr>
          <w:rFonts w:hint="eastAsia"/>
          <w:color w:val="auto"/>
          <w:highlight w:val="none"/>
        </w:rPr>
        <w:t>绩效评价指标分析</w:t>
      </w:r>
    </w:p>
    <w:p>
      <w:pPr>
        <w:pStyle w:val="4"/>
        <w:bidi w:val="0"/>
        <w:rPr>
          <w:rFonts w:hint="eastAsia" w:ascii="仿宋_GB2312" w:hAnsi="仿宋_GB2312" w:cs="仿宋_GB2312"/>
          <w:color w:val="auto"/>
          <w:sz w:val="32"/>
          <w:highlight w:val="none"/>
        </w:rPr>
      </w:pPr>
      <w:bookmarkStart w:id="15" w:name="_Toc68364668"/>
      <w:r>
        <w:rPr>
          <w:rFonts w:hint="eastAsia" w:ascii="仿宋_GB2312" w:hAnsi="仿宋_GB2312" w:cs="仿宋_GB2312"/>
          <w:color w:val="auto"/>
          <w:sz w:val="32"/>
          <w:highlight w:val="none"/>
        </w:rPr>
        <w:t>（一）项目决策情况</w:t>
      </w:r>
    </w:p>
    <w:p>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1.项目立项情况分析</w:t>
      </w:r>
    </w:p>
    <w:p>
      <w:pPr>
        <w:bidi w:val="0"/>
        <w:rPr>
          <w:rFonts w:hint="eastAsia"/>
          <w:b/>
          <w:bCs/>
          <w:color w:val="auto"/>
          <w:highlight w:val="none"/>
        </w:rPr>
      </w:pPr>
      <w:r>
        <w:rPr>
          <w:rFonts w:hint="eastAsia"/>
          <w:b/>
          <w:bCs/>
          <w:color w:val="auto"/>
          <w:highlight w:val="none"/>
        </w:rPr>
        <w:t>（1）立项依据充分性：</w:t>
      </w:r>
    </w:p>
    <w:p>
      <w:pPr>
        <w:bidi w:val="0"/>
        <w:rPr>
          <w:rFonts w:hint="eastAsia"/>
          <w:color w:val="auto"/>
          <w:highlight w:val="none"/>
        </w:rPr>
      </w:pPr>
      <w:r>
        <w:rPr>
          <w:rFonts w:hint="eastAsia"/>
          <w:color w:val="auto"/>
          <w:highlight w:val="none"/>
        </w:rPr>
        <w:t>项目立项符合</w:t>
      </w:r>
      <w:r>
        <w:rPr>
          <w:rFonts w:hint="eastAsia" w:ascii="Times New Roman" w:hAnsi="Times New Roman" w:cs="Times New Roman"/>
          <w:color w:val="auto"/>
          <w:highlight w:val="none"/>
          <w:lang w:val="en-US" w:eastAsia="zh-CN"/>
        </w:rPr>
        <w:t>《国务院关于当前发展学前教育的若干意见》《国家中长期教育改革和发展规划纲要》《关于实施学前教育三年行动计划的意见》</w:t>
      </w:r>
      <w:r>
        <w:rPr>
          <w:rFonts w:hint="eastAsia"/>
          <w:color w:val="auto"/>
          <w:highlight w:val="none"/>
        </w:rPr>
        <w:t>等国家法律法规</w:t>
      </w:r>
      <w:r>
        <w:rPr>
          <w:rFonts w:hint="eastAsia"/>
          <w:color w:val="auto"/>
          <w:highlight w:val="none"/>
          <w:lang w:eastAsia="zh-CN"/>
        </w:rPr>
        <w:t>以及</w:t>
      </w:r>
      <w:r>
        <w:rPr>
          <w:rFonts w:hint="eastAsia"/>
          <w:color w:val="auto"/>
          <w:highlight w:val="none"/>
        </w:rPr>
        <w:t>相关政策</w:t>
      </w:r>
      <w:r>
        <w:rPr>
          <w:rFonts w:hint="eastAsia"/>
          <w:color w:val="auto"/>
          <w:highlight w:val="none"/>
          <w:lang w:eastAsia="zh-CN"/>
        </w:rPr>
        <w:t>；</w:t>
      </w:r>
      <w:r>
        <w:rPr>
          <w:rFonts w:hint="eastAsia"/>
          <w:color w:val="auto"/>
          <w:highlight w:val="none"/>
        </w:rPr>
        <w:t>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w:t>
      </w:r>
      <w:r>
        <w:rPr>
          <w:rFonts w:hint="eastAsia"/>
          <w:color w:val="auto"/>
          <w:highlight w:val="none"/>
        </w:rPr>
        <w:t>，属于部门履职所需；根据《财政资金直接支付申请书》，功能分类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w:t>
      </w:r>
    </w:p>
    <w:p>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pPr>
        <w:pStyle w:val="5"/>
        <w:bidi w:val="0"/>
        <w:rPr>
          <w:rFonts w:hint="eastAsia"/>
          <w:color w:val="auto"/>
          <w:highlight w:val="none"/>
          <w:lang w:val="en-US" w:eastAsia="zh-CN"/>
        </w:rPr>
      </w:pPr>
      <w:r>
        <w:rPr>
          <w:rFonts w:hint="eastAsia"/>
          <w:color w:val="auto"/>
          <w:highlight w:val="none"/>
          <w:lang w:val="en-US" w:eastAsia="zh-CN"/>
        </w:rPr>
        <w:t>2.绩效目标情况分析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保障我片区69名农村在园幼儿免费接受学前三年教育,提高我县农村学前国语教育覆盖率，完善学前教育体系，持续推进学前教育事业发展。</w:t>
      </w:r>
    </w:p>
    <w:p>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8.47</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8.47</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pPr>
        <w:bidi w:val="0"/>
        <w:rPr>
          <w:rFonts w:hint="eastAsia"/>
          <w:color w:val="auto"/>
          <w:highlight w:val="none"/>
          <w:lang w:eastAsia="zh-CN"/>
        </w:rPr>
      </w:pPr>
      <w:r>
        <w:rPr>
          <w:rFonts w:hint="eastAsia"/>
          <w:color w:val="auto"/>
          <w:highlight w:val="none"/>
          <w:lang w:eastAsia="zh-CN"/>
        </w:rPr>
        <w:t>经检查，我单位年初设置的《项目支出绩效目标表》：</w:t>
      </w:r>
    </w:p>
    <w:p>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量化率达到</w:t>
      </w:r>
      <w:r>
        <w:rPr>
          <w:rFonts w:hint="eastAsia"/>
          <w:color w:val="000000" w:themeColor="text1"/>
          <w:highlight w:val="none"/>
          <w:lang w:val="en-US" w:eastAsia="zh-CN"/>
          <w14:textFill>
            <w14:solidFill>
              <w14:schemeClr w14:val="tx1"/>
            </w14:solidFill>
          </w14:textFill>
        </w:rPr>
        <w:t>84.30</w:t>
      </w:r>
      <w:r>
        <w:rPr>
          <w:rFonts w:hint="eastAsia"/>
          <w:color w:val="auto"/>
          <w:highlight w:val="none"/>
          <w:lang w:val="en-US" w:eastAsia="zh-CN"/>
        </w:rPr>
        <w:t>%</w:t>
      </w:r>
      <w:r>
        <w:rPr>
          <w:rFonts w:hint="eastAsia"/>
          <w:color w:val="auto"/>
          <w:highlight w:val="none"/>
          <w:lang w:eastAsia="zh-CN"/>
        </w:rPr>
        <w:t>；</w:t>
      </w:r>
    </w:p>
    <w:p>
      <w:pPr>
        <w:bidi w:val="0"/>
        <w:rPr>
          <w:rFonts w:hint="eastAsia" w:cs="Times New Roman"/>
          <w:color w:val="auto"/>
          <w:highlight w:val="none"/>
          <w:lang w:val="en-US"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《项目支出绩效目标表》，发现</w:t>
      </w:r>
      <w:r>
        <w:rPr>
          <w:rFonts w:hint="eastAsia"/>
          <w:color w:val="auto"/>
          <w:highlight w:val="none"/>
          <w:lang w:val="en-US" w:eastAsia="zh-CN"/>
        </w:rPr>
        <w:t>项目绩效指标设置不规范，成本指标设置不明确，未有效反</w:t>
      </w:r>
      <w:r>
        <w:rPr>
          <w:rFonts w:hint="eastAsia" w:ascii="Times New Roman" w:hAnsi="Times New Roman" w:cs="Times New Roman"/>
          <w:color w:val="auto"/>
          <w:highlight w:val="none"/>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highlight w:val="none"/>
          <w:lang w:val="en-US" w:eastAsia="zh-CN"/>
        </w:rPr>
        <w:t>；</w:t>
      </w:r>
    </w:p>
    <w:p>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分，本项目所设置绩效指标不够明确。</w:t>
      </w:r>
    </w:p>
    <w:p>
      <w:pPr>
        <w:pStyle w:val="5"/>
        <w:bidi w:val="0"/>
        <w:rPr>
          <w:color w:val="auto"/>
          <w:highlight w:val="none"/>
        </w:rPr>
      </w:pPr>
      <w:r>
        <w:rPr>
          <w:rFonts w:hint="eastAsia"/>
          <w:color w:val="auto"/>
          <w:highlight w:val="none"/>
          <w:lang w:val="en-US" w:eastAsia="zh-CN"/>
        </w:rPr>
        <w:t>3.资金投入情况分析</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w:t>
      </w:r>
      <w:r>
        <w:rPr>
          <w:rFonts w:hint="eastAsia" w:ascii="仿宋_GB2312" w:cs="仿宋_GB2312"/>
          <w:color w:val="auto"/>
          <w:sz w:val="28"/>
          <w:szCs w:val="28"/>
          <w:highlight w:val="none"/>
          <w:lang w:eastAsia="zh-CN"/>
        </w:rPr>
        <w:t>经过</w:t>
      </w:r>
      <w:r>
        <w:rPr>
          <w:rFonts w:hint="eastAsia" w:ascii="仿宋_GB2312" w:cs="仿宋_GB2312"/>
          <w:color w:val="auto"/>
          <w:sz w:val="28"/>
          <w:szCs w:val="28"/>
          <w:highlight w:val="none"/>
        </w:rPr>
        <w:t>科学论证</w:t>
      </w:r>
      <w:r>
        <w:rPr>
          <w:rFonts w:hint="eastAsia" w:ascii="仿宋_GB2312" w:cs="仿宋_GB2312"/>
          <w:color w:val="auto"/>
          <w:sz w:val="28"/>
          <w:szCs w:val="28"/>
          <w:highlight w:val="none"/>
          <w:lang w:eastAsia="zh-CN"/>
        </w:rPr>
        <w:t>，且预算内容与项目内容相匹配；</w:t>
      </w:r>
    </w:p>
    <w:p>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8.47</w:t>
      </w:r>
      <w:r>
        <w:rPr>
          <w:rFonts w:hint="eastAsia" w:ascii="仿宋_GB2312" w:cs="仿宋_GB2312"/>
          <w:color w:val="auto"/>
          <w:sz w:val="28"/>
          <w:szCs w:val="28"/>
          <w:highlight w:val="none"/>
        </w:rPr>
        <w:t>万元，主要用于</w:t>
      </w:r>
      <w:r>
        <w:rPr>
          <w:rFonts w:hint="eastAsia" w:ascii="仿宋_GB2312" w:cs="仿宋_GB2312"/>
          <w:color w:val="auto"/>
          <w:sz w:val="28"/>
          <w:szCs w:val="28"/>
          <w:highlight w:val="none"/>
          <w:lang w:eastAsia="zh-CN"/>
        </w:rPr>
        <w:t>为在园幼儿提供学前教育而正常发生的日常</w:t>
      </w:r>
      <w:r>
        <w:rPr>
          <w:rFonts w:hint="eastAsia"/>
          <w:color w:val="auto"/>
          <w:highlight w:val="none"/>
          <w:lang w:val="en-US" w:eastAsia="zh-CN"/>
        </w:rPr>
        <w:t>办公费、伙食费、取暖费、电费、维修费、培训费等</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ascii="仿宋_GB2312" w:cs="仿宋_GB2312"/>
          <w:color w:val="auto"/>
          <w:sz w:val="28"/>
          <w:szCs w:val="28"/>
          <w:highlight w:val="none"/>
          <w:lang w:eastAsia="zh-CN"/>
        </w:rPr>
        <w:t>由于</w:t>
      </w:r>
      <w:r>
        <w:rPr>
          <w:rFonts w:hint="eastAsia"/>
          <w:color w:val="auto"/>
          <w:highlight w:val="none"/>
          <w:lang w:eastAsia="zh-CN"/>
        </w:rPr>
        <w:t>成本指标未按照编制的预算支出填报，无法印证测算依据是否充分、标准，根据评分要点，扣0.8分；改进措施：</w:t>
      </w:r>
      <w:r>
        <w:rPr>
          <w:rFonts w:hint="eastAsia" w:ascii="仿宋_GB2312" w:cs="仿宋_GB2312"/>
          <w:color w:val="auto"/>
          <w:sz w:val="28"/>
          <w:szCs w:val="28"/>
          <w:highlight w:val="none"/>
          <w:lang w:val="en-US" w:eastAsia="zh-CN"/>
        </w:rPr>
        <w:t>注重加强预算编制工作的管理。在编报项目预算时要求指定详细的项目推进计划、明确分工、责任到人，以保证专项资金能够保质保量执行到位。</w:t>
      </w:r>
    </w:p>
    <w:p>
      <w:pPr>
        <w:ind w:firstLine="560"/>
        <w:rPr>
          <w:rFonts w:hint="default" w:eastAsia="仿宋_GB2312"/>
          <w:b w:val="0"/>
          <w:bCs w:val="0"/>
          <w:color w:val="auto"/>
          <w:highlight w:val="none"/>
          <w:lang w:val="en-US" w:eastAsia="zh-CN"/>
        </w:rPr>
      </w:pPr>
      <w:r>
        <w:rPr>
          <w:rFonts w:hint="eastAsia"/>
          <w:color w:val="auto"/>
          <w:highlight w:val="none"/>
        </w:rPr>
        <w:t>④</w:t>
      </w:r>
      <w:r>
        <w:rPr>
          <w:rFonts w:hint="eastAsia"/>
          <w:color w:val="auto"/>
          <w:highlight w:val="none"/>
          <w:lang w:eastAsia="zh-CN"/>
        </w:rPr>
        <w:t>本</w:t>
      </w:r>
      <w:r>
        <w:rPr>
          <w:rFonts w:hint="eastAsia"/>
          <w:color w:val="auto"/>
          <w:highlight w:val="none"/>
          <w:lang w:val="en-US" w:eastAsia="zh-CN"/>
        </w:rPr>
        <w:t>项目资金主要用于</w:t>
      </w:r>
      <w:r>
        <w:rPr>
          <w:rFonts w:hint="eastAsia"/>
          <w:color w:val="auto"/>
          <w:highlight w:val="none"/>
        </w:rPr>
        <w:t>支付资金</w:t>
      </w:r>
      <w:r>
        <w:rPr>
          <w:rFonts w:hint="eastAsia"/>
          <w:color w:val="auto"/>
          <w:highlight w:val="none"/>
          <w:lang w:val="en-US" w:eastAsia="zh-CN"/>
        </w:rPr>
        <w:t>7.14</w:t>
      </w:r>
      <w:r>
        <w:rPr>
          <w:rFonts w:hint="eastAsia"/>
          <w:color w:val="auto"/>
          <w:highlight w:val="none"/>
        </w:rPr>
        <w:t>万元，预算执行率</w:t>
      </w:r>
      <w:r>
        <w:rPr>
          <w:rFonts w:hint="eastAsia"/>
          <w:color w:val="auto"/>
          <w:highlight w:val="none"/>
          <w:lang w:val="en-US" w:eastAsia="zh-CN"/>
        </w:rPr>
        <w:t>84.30</w:t>
      </w:r>
      <w:r>
        <w:rPr>
          <w:color w:val="auto"/>
          <w:highlight w:val="none"/>
        </w:rPr>
        <w:t>%</w:t>
      </w:r>
      <w:r>
        <w:rPr>
          <w:rFonts w:hint="eastAsia"/>
          <w:color w:val="auto"/>
          <w:highlight w:val="none"/>
          <w:lang w:eastAsia="zh-CN"/>
        </w:rPr>
        <w:t>，结余资金指标额度已由县财政收回。</w:t>
      </w:r>
      <w:r>
        <w:rPr>
          <w:rFonts w:hint="eastAsia"/>
          <w:color w:val="auto"/>
          <w:highlight w:val="none"/>
        </w:rPr>
        <w:t>项目资金主要用于</w:t>
      </w:r>
      <w:r>
        <w:rPr>
          <w:rFonts w:hint="eastAsia"/>
          <w:color w:val="auto"/>
          <w:highlight w:val="none"/>
          <w:lang w:val="en-US" w:eastAsia="zh-CN"/>
        </w:rPr>
        <w:t>支付电费4.30万元、维修费0.13万元、培训费0.02万元、助学金2.69万元。</w:t>
      </w:r>
    </w:p>
    <w:p>
      <w:pPr>
        <w:bidi w:val="0"/>
        <w:rPr>
          <w:b w:val="0"/>
          <w:bCs w:val="0"/>
          <w:color w:val="auto"/>
          <w:highlight w:val="yellow"/>
        </w:rPr>
      </w:pPr>
    </w:p>
    <w:p>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分，本项目预算编制不够科学。</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2023年学前教育幼儿资助县级配套资金（托财预[2023]1号）</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color w:val="auto"/>
          <w:highlight w:val="none"/>
          <w:lang w:val="en-US" w:eastAsia="zh-CN"/>
        </w:rPr>
        <w:t>7.14</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（二）项目过程情况</w:t>
      </w:r>
    </w:p>
    <w:p>
      <w:pPr>
        <w:bidi w:val="0"/>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19.8</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pPr>
        <w:pStyle w:val="5"/>
        <w:bidi w:val="0"/>
        <w:rPr>
          <w:rFonts w:hint="eastAsia"/>
          <w:color w:val="auto"/>
          <w:highlight w:val="none"/>
          <w:lang w:val="en-US" w:eastAsia="zh-CN"/>
        </w:rPr>
      </w:pPr>
      <w:r>
        <w:rPr>
          <w:rFonts w:hint="eastAsia"/>
          <w:color w:val="auto"/>
          <w:highlight w:val="none"/>
          <w:lang w:val="en-US" w:eastAsia="zh-CN"/>
        </w:rPr>
        <w:t>1.资金管理情况分析</w:t>
      </w:r>
    </w:p>
    <w:p>
      <w:pPr>
        <w:bidi w:val="0"/>
        <w:rPr>
          <w:rFonts w:hint="eastAsia"/>
          <w:b/>
          <w:bCs/>
          <w:color w:val="auto"/>
          <w:highlight w:val="none"/>
        </w:rPr>
      </w:pPr>
      <w:r>
        <w:rPr>
          <w:rFonts w:hint="eastAsia"/>
          <w:b/>
          <w:bCs/>
          <w:color w:val="auto"/>
          <w:highlight w:val="none"/>
        </w:rPr>
        <w:t>（1）资金到位率：</w:t>
      </w:r>
    </w:p>
    <w:p>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8.47</w:t>
      </w:r>
      <w:r>
        <w:rPr>
          <w:rFonts w:hint="eastAsia"/>
          <w:color w:val="auto"/>
          <w:highlight w:val="none"/>
        </w:rPr>
        <w:t>万元，其中：本级财政安排资金</w:t>
      </w:r>
      <w:r>
        <w:rPr>
          <w:rFonts w:hint="eastAsia"/>
          <w:color w:val="auto"/>
          <w:highlight w:val="none"/>
          <w:lang w:val="en-US" w:eastAsia="zh-CN"/>
        </w:rPr>
        <w:t>8.47</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w:t>
      </w:r>
      <w:r>
        <w:rPr>
          <w:rFonts w:hint="eastAsia"/>
          <w:color w:val="auto"/>
          <w:highlight w:val="none"/>
          <w:lang w:eastAsia="zh-CN"/>
        </w:rPr>
        <w:t>，</w:t>
      </w:r>
      <w:r>
        <w:rPr>
          <w:rFonts w:hint="eastAsia"/>
          <w:color w:val="auto"/>
          <w:highlight w:val="none"/>
        </w:rPr>
        <w:t>实际到位资金</w:t>
      </w:r>
      <w:r>
        <w:rPr>
          <w:rFonts w:hint="eastAsia"/>
          <w:color w:val="auto"/>
          <w:highlight w:val="none"/>
          <w:lang w:val="en-US" w:eastAsia="zh-CN"/>
        </w:rPr>
        <w:t>7.14</w:t>
      </w:r>
      <w:r>
        <w:rPr>
          <w:rFonts w:hint="eastAsia"/>
          <w:color w:val="auto"/>
          <w:highlight w:val="none"/>
        </w:rPr>
        <w:t>万元，资金到位率=（实际到位资金/预算资金）×100%=</w:t>
      </w:r>
      <w:r>
        <w:rPr>
          <w:rFonts w:hint="eastAsia"/>
          <w:color w:val="auto"/>
          <w:highlight w:val="none"/>
          <w:lang w:val="en-US" w:eastAsia="zh-CN"/>
        </w:rPr>
        <w:t>84.30%</w:t>
      </w:r>
      <w:r>
        <w:rPr>
          <w:rFonts w:hint="eastAsia"/>
          <w:color w:val="auto"/>
          <w:highlight w:val="none"/>
        </w:rPr>
        <w:t>。</w:t>
      </w:r>
    </w:p>
    <w:p>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7.14</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7.14</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7.14/8.47</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84.30%</w:t>
      </w:r>
      <w:r>
        <w:rPr>
          <w:rFonts w:hint="eastAsia" w:ascii="仿宋_GB2312" w:cs="仿宋_GB2312"/>
          <w:color w:val="auto"/>
          <w:sz w:val="28"/>
          <w:szCs w:val="28"/>
          <w:highlight w:val="none"/>
        </w:rPr>
        <w:t>。</w:t>
      </w:r>
    </w:p>
    <w:p>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3.8</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pPr>
        <w:pStyle w:val="5"/>
        <w:bidi w:val="0"/>
        <w:rPr>
          <w:rFonts w:hint="eastAsia"/>
          <w:color w:val="auto"/>
          <w:highlight w:val="none"/>
          <w:lang w:val="en-US" w:eastAsia="zh-CN"/>
        </w:rPr>
      </w:pPr>
      <w:r>
        <w:rPr>
          <w:rFonts w:hint="eastAsia"/>
          <w:color w:val="auto"/>
          <w:highlight w:val="none"/>
          <w:lang w:val="en-US" w:eastAsia="zh-CN"/>
        </w:rPr>
        <w:t>2.组织实施情况分析</w:t>
      </w:r>
    </w:p>
    <w:p>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pPr>
        <w:bidi w:val="0"/>
        <w:rPr>
          <w:rFonts w:hint="eastAsia"/>
          <w:color w:val="auto"/>
          <w:highlight w:val="none"/>
          <w:lang w:eastAsia="zh-CN"/>
        </w:rPr>
      </w:pPr>
      <w:r>
        <w:rPr>
          <w:rFonts w:hint="eastAsia"/>
          <w:color w:val="auto"/>
          <w:highlight w:val="none"/>
          <w:lang w:eastAsia="zh-CN"/>
        </w:rPr>
        <w:t>③本项目不存在调整。</w:t>
      </w:r>
    </w:p>
    <w:p>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（三）项目产出情况</w:t>
      </w:r>
    </w:p>
    <w:p>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23.75</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98.96</w:t>
      </w:r>
      <w:r>
        <w:rPr>
          <w:rFonts w:hint="eastAsia" w:ascii="仿宋_GB2312" w:cs="仿宋_GB2312"/>
          <w:color w:val="auto"/>
          <w:sz w:val="28"/>
          <w:szCs w:val="28"/>
          <w:highlight w:val="none"/>
        </w:rPr>
        <w:t>%。</w:t>
      </w:r>
    </w:p>
    <w:p>
      <w:pPr>
        <w:pStyle w:val="5"/>
        <w:bidi w:val="0"/>
        <w:rPr>
          <w:rFonts w:hint="eastAsia"/>
          <w:color w:val="auto"/>
          <w:highlight w:val="none"/>
          <w:lang w:val="en-US" w:eastAsia="zh-CN"/>
        </w:rPr>
      </w:pPr>
      <w:r>
        <w:rPr>
          <w:rFonts w:hint="eastAsia"/>
          <w:color w:val="auto"/>
          <w:highlight w:val="none"/>
          <w:lang w:val="en-US" w:eastAsia="zh-CN"/>
        </w:rPr>
        <w:t>1.数量指标完成情况分析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为大于等于</w:t>
      </w:r>
      <w:r>
        <w:rPr>
          <w:rFonts w:hint="eastAsia" w:ascii="仿宋_GB2312" w:hAnsi="仿宋_GB2312" w:cs="仿宋_GB2312"/>
          <w:color w:val="auto"/>
          <w:sz w:val="28"/>
          <w:szCs w:val="28"/>
          <w:highlight w:val="none"/>
          <w:lang w:val="en-US" w:eastAsia="zh-CN"/>
        </w:rPr>
        <w:t>10所</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3分</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无偏差</w:t>
      </w:r>
      <w:r>
        <w:rPr>
          <w:rFonts w:hint="eastAsia"/>
          <w:color w:val="auto"/>
          <w:highlight w:val="none"/>
          <w:lang w:val="en-US" w:eastAsia="zh-CN"/>
        </w:rPr>
        <w:t>。</w:t>
      </w:r>
    </w:p>
    <w:p>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69人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69人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96</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4%；</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5.75</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val="en-US" w:eastAsia="zh-CN"/>
        </w:rPr>
        <w:t>偏差原因：我片区为乡镇学校，且部分幼儿园靠近县城，部分幼儿后期因各种原因，选择就近入学，入学之县城幼儿园等。改进措施：及时了解新政策新规定，做好学生人数的统计，提高指标预期值的准确度。</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“普惠性学前教育资源覆盖率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color w:val="auto"/>
          <w:highlight w:val="none"/>
        </w:rPr>
      </w:pPr>
      <w:r>
        <w:rPr>
          <w:rFonts w:hint="eastAsia" w:ascii="仿宋_GB2312" w:hAnsi="仿宋_GB2312" w:cs="仿宋_GB2312"/>
          <w:color w:val="auto"/>
          <w:sz w:val="28"/>
          <w:szCs w:val="28"/>
          <w:highlight w:val="none"/>
          <w:lang w:val="en-US" w:eastAsia="zh-CN"/>
        </w:rPr>
        <w:t>“公办园在园幼儿占比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2.质量指标完成情况分析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5"/>
        <w:numPr>
          <w:ilvl w:val="0"/>
          <w:numId w:val="3"/>
        </w:numPr>
        <w:bidi w:val="0"/>
        <w:rPr>
          <w:rFonts w:hint="eastAsia"/>
          <w:color w:val="auto"/>
          <w:highlight w:val="none"/>
        </w:rPr>
      </w:pPr>
      <w:r>
        <w:rPr>
          <w:rFonts w:hint="eastAsia"/>
          <w:color w:val="auto"/>
          <w:highlight w:val="none"/>
          <w:lang w:val="en-US" w:eastAsia="zh-CN"/>
        </w:rPr>
        <w:t>时效指标完成情况分析</w:t>
      </w:r>
    </w:p>
    <w:p>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pPr>
        <w:pStyle w:val="4"/>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（四）项目成本情况</w:t>
      </w:r>
    </w:p>
    <w:p>
      <w:pPr>
        <w:bidi w:val="0"/>
        <w:rPr>
          <w:rFonts w:hint="eastAsia" w:ascii="仿宋_GB2312" w:cs="仿宋_GB2312"/>
          <w:color w:val="auto"/>
          <w:sz w:val="28"/>
          <w:szCs w:val="28"/>
          <w:highlight w:val="none"/>
          <w:lang w:val="en-US" w:eastAsia="zh-CN"/>
        </w:rPr>
      </w:pPr>
      <w:r>
        <w:rPr>
          <w:rFonts w:hint="eastAsia" w:ascii="仿宋_GB2312" w:cs="仿宋_GB2312"/>
          <w:color w:val="auto"/>
          <w:sz w:val="28"/>
          <w:szCs w:val="28"/>
          <w:highlight w:val="none"/>
          <w:lang w:val="en-US" w:eastAsia="zh-CN"/>
        </w:rPr>
        <w:t>项目成本类指标包括经济成本、社会成本、生态环境成本三个方面的内容，本项目仅涉及经济成本指标。权重分为12分，实际得分12分，得分率为100%。</w:t>
      </w:r>
    </w:p>
    <w:p>
      <w:pPr>
        <w:pStyle w:val="5"/>
        <w:bidi w:val="0"/>
        <w:rPr>
          <w:rFonts w:hint="eastAsia"/>
          <w:color w:val="auto"/>
          <w:highlight w:val="none"/>
        </w:rPr>
      </w:pPr>
      <w:r>
        <w:rPr>
          <w:rFonts w:hint="eastAsia"/>
          <w:color w:val="auto"/>
          <w:highlight w:val="none"/>
          <w:lang w:val="en-US" w:eastAsia="zh-CN"/>
        </w:rPr>
        <w:t>1.经济成本指标完成情况分析</w:t>
      </w:r>
    </w:p>
    <w:p>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为小于等于</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b/>
          <w:bCs/>
        </w:rPr>
      </w:pPr>
      <w:r>
        <w:rPr>
          <w:rFonts w:hint="eastAsia"/>
          <w:b/>
          <w:bCs/>
        </w:rPr>
        <w:t>2.社会成本指标完成情况分析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rPr>
      </w:pPr>
      <w:r>
        <w:rPr>
          <w:rFonts w:hint="eastAsia"/>
        </w:rPr>
        <w:t>无</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b/>
          <w:bCs/>
        </w:rPr>
      </w:pPr>
      <w:r>
        <w:rPr>
          <w:rFonts w:hint="eastAsia"/>
          <w:b/>
          <w:bCs/>
        </w:rPr>
        <w:t>3.生态环境成本指标完成情况分析</w:t>
      </w:r>
    </w:p>
    <w:p>
      <w:pPr>
        <w:pStyle w:val="2"/>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rPr>
      </w:pPr>
      <w:r>
        <w:rPr>
          <w:rFonts w:hint="eastAsia"/>
        </w:rPr>
        <w:t>无</w:t>
      </w:r>
    </w:p>
    <w:p>
      <w:pPr>
        <w:pStyle w:val="4"/>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pPr>
        <w:pStyle w:val="5"/>
        <w:numPr>
          <w:ilvl w:val="0"/>
          <w:numId w:val="4"/>
        </w:numPr>
        <w:bidi w:val="0"/>
        <w:rPr>
          <w:rFonts w:hint="eastAsia" w:ascii="仿宋_GB2312" w:hAnsi="仿宋_GB2312" w:cs="仿宋_GB2312"/>
          <w:b/>
          <w:bCs/>
          <w:color w:val="auto"/>
          <w:sz w:val="28"/>
          <w:szCs w:val="28"/>
          <w:highlight w:val="none"/>
          <w:lang w:val="en-US" w:eastAsia="zh-CN"/>
        </w:rPr>
      </w:pPr>
      <w:r>
        <w:rPr>
          <w:rFonts w:hint="eastAsia" w:ascii="仿宋_GB2312" w:hAnsi="仿宋_GB2312" w:cs="仿宋_GB2312"/>
          <w:b/>
          <w:bCs/>
          <w:color w:val="auto"/>
          <w:sz w:val="28"/>
          <w:szCs w:val="28"/>
          <w:highlight w:val="none"/>
          <w:lang w:val="en-US" w:eastAsia="zh-CN"/>
        </w:rPr>
        <w:t>经济</w:t>
      </w:r>
      <w:r>
        <w:rPr>
          <w:rFonts w:hint="eastAsia" w:ascii="仿宋_GB2312"/>
          <w:b/>
          <w:bCs/>
          <w:color w:val="auto"/>
          <w:sz w:val="28"/>
          <w:szCs w:val="28"/>
          <w:highlight w:val="none"/>
        </w:rPr>
        <w:t>效益</w:t>
      </w:r>
      <w:r>
        <w:rPr>
          <w:rFonts w:hint="eastAsia" w:ascii="仿宋_GB2312" w:hAnsi="仿宋_GB2312" w:cs="仿宋_GB2312"/>
          <w:b/>
          <w:bCs/>
          <w:color w:val="auto"/>
          <w:sz w:val="28"/>
          <w:szCs w:val="28"/>
          <w:highlight w:val="none"/>
          <w:lang w:val="en-US" w:eastAsia="zh-CN"/>
        </w:rPr>
        <w:t>指标完成情况分析</w:t>
      </w:r>
    </w:p>
    <w:p>
      <w:pPr>
        <w:bidi w:val="0"/>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cs="仿宋_GB2312"/>
          <w:b w:val="0"/>
          <w:bCs w:val="0"/>
          <w:color w:val="auto"/>
          <w:kern w:val="2"/>
          <w:sz w:val="28"/>
          <w:szCs w:val="28"/>
          <w:highlight w:val="none"/>
          <w:lang w:val="en-US" w:eastAsia="zh-CN" w:bidi="ar-SA"/>
        </w:rPr>
        <w:t>无</w:t>
      </w:r>
      <w:r>
        <w:rPr>
          <w:rFonts w:hint="eastAsia" w:ascii="仿宋_GB2312" w:hAnsi="仿宋_GB2312" w:cs="仿宋_GB2312"/>
          <w:color w:val="auto"/>
          <w:sz w:val="28"/>
          <w:szCs w:val="28"/>
          <w:highlight w:val="none"/>
        </w:rPr>
        <w:t>。</w:t>
      </w:r>
    </w:p>
    <w:p>
      <w:pPr>
        <w:pStyle w:val="5"/>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pPr>
        <w:bidi w:val="0"/>
        <w:rPr>
          <w:rFonts w:hint="eastAsia" w:ascii="仿宋_GB2312" w:hAnsi="仿宋_GB2312" w:cs="仿宋_GB2312"/>
          <w:color w:val="auto"/>
          <w:sz w:val="28"/>
          <w:szCs w:val="28"/>
          <w:highlight w:val="none"/>
        </w:rPr>
      </w:pPr>
      <w:r>
        <w:rPr>
          <w:rFonts w:hint="eastAsia" w:ascii="仿宋_GB2312" w:hAnsi="仿宋_GB2312" w:eastAsia="仿宋_GB2312" w:cs="仿宋_GB2312"/>
          <w:b w:val="0"/>
          <w:bCs w:val="0"/>
          <w:color w:val="auto"/>
          <w:kern w:val="2"/>
          <w:sz w:val="28"/>
          <w:szCs w:val="28"/>
          <w:highlight w:val="none"/>
          <w:lang w:val="en-US" w:eastAsia="zh-CN" w:bidi="ar-SA"/>
        </w:rPr>
        <w:t>“学前三年毛入率”指标：</w:t>
      </w:r>
      <w:r>
        <w:rPr>
          <w:rFonts w:hint="eastAsia" w:ascii="仿宋_GB2312" w:hAnsi="仿宋_GB2312" w:cs="仿宋_GB2312"/>
          <w:color w:val="auto"/>
          <w:sz w:val="28"/>
          <w:szCs w:val="28"/>
          <w:highlight w:val="none"/>
        </w:rPr>
        <w:t>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rPr>
        <w:t>100%</w:t>
      </w:r>
      <w:r>
        <w:rPr>
          <w:rFonts w:hint="eastAsia" w:cs="仿宋_GB2312"/>
          <w:color w:val="auto"/>
          <w:sz w:val="28"/>
          <w:szCs w:val="28"/>
          <w:highlight w:val="none"/>
          <w:lang w:eastAsia="zh-CN"/>
        </w:rPr>
        <w:t>，</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bidi w:val="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积极提高学前教育普惠保障水平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pPr>
        <w:pStyle w:val="5"/>
        <w:bidi w:val="0"/>
        <w:rPr>
          <w:rFonts w:hint="eastAsia"/>
          <w:color w:val="auto"/>
          <w:highlight w:val="none"/>
          <w:lang w:val="en-US" w:eastAsia="zh-CN"/>
        </w:rPr>
      </w:pPr>
      <w:r>
        <w:rPr>
          <w:rFonts w:hint="eastAsia"/>
          <w:color w:val="auto"/>
          <w:highlight w:val="none"/>
          <w:lang w:val="en-US" w:eastAsia="zh-CN"/>
        </w:rPr>
        <w:t>3.生态效益指标完成情况分析</w:t>
      </w:r>
    </w:p>
    <w:p>
      <w:pPr>
        <w:bidi w:val="0"/>
        <w:rPr>
          <w:rFonts w:hint="default"/>
          <w:color w:val="auto"/>
          <w:highlight w:val="none"/>
          <w:lang w:val="en-US" w:eastAsia="zh-CN"/>
        </w:rPr>
      </w:pPr>
      <w:r>
        <w:rPr>
          <w:rFonts w:hint="eastAsia"/>
          <w:color w:val="auto"/>
          <w:highlight w:val="none"/>
          <w:lang w:val="en-US" w:eastAsia="zh-CN"/>
        </w:rPr>
        <w:t>无</w:t>
      </w:r>
    </w:p>
    <w:p>
      <w:pPr>
        <w:pStyle w:val="5"/>
        <w:bidi w:val="0"/>
        <w:rPr>
          <w:rFonts w:hint="eastAsia"/>
          <w:color w:val="auto"/>
          <w:highlight w:val="none"/>
          <w:lang w:val="en-US" w:eastAsia="zh-CN"/>
        </w:rPr>
      </w:pPr>
      <w:r>
        <w:rPr>
          <w:rFonts w:hint="eastAsia"/>
          <w:color w:val="auto"/>
          <w:highlight w:val="none"/>
          <w:lang w:val="en-US" w:eastAsia="zh-CN"/>
        </w:rPr>
        <w:t>4.满意度指标完成情况分析</w:t>
      </w:r>
    </w:p>
    <w:p>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97.8%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pPr>
        <w:pStyle w:val="3"/>
        <w:numPr>
          <w:ilvl w:val="0"/>
          <w:numId w:val="2"/>
        </w:numPr>
        <w:ind w:left="0" w:leftChars="0" w:firstLine="643" w:firstLineChars="200"/>
        <w:jc w:val="left"/>
        <w:rPr>
          <w:rFonts w:hint="eastAsia"/>
          <w:color w:val="auto"/>
          <w:highlight w:val="none"/>
          <w:lang w:val="en-US" w:eastAsia="zh-CN"/>
        </w:rPr>
      </w:pPr>
      <w:r>
        <w:rPr>
          <w:rFonts w:hint="eastAsia" w:ascii="Times New Roman" w:hAnsi="Times New Roman" w:cs="Times New Roman"/>
          <w:b/>
          <w:bCs/>
          <w:color w:val="auto"/>
          <w:highlight w:val="none"/>
          <w:lang w:val="en-US" w:eastAsia="zh-CN"/>
        </w:rPr>
        <w:t>预算执行进度与绩效指标偏差</w:t>
      </w:r>
    </w:p>
    <w:p>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hAnsi="仿宋_GB2312" w:cs="仿宋_GB2312"/>
          <w:color w:val="auto"/>
          <w:sz w:val="28"/>
          <w:szCs w:val="28"/>
          <w:highlight w:val="none"/>
          <w:lang w:val="en-US" w:eastAsia="zh-CN"/>
        </w:rPr>
        <w:t>8.47</w:t>
      </w:r>
      <w:r>
        <w:rPr>
          <w:rFonts w:hint="eastAsia" w:ascii="仿宋_GB2312" w:hAnsi="Times New Roman" w:cs="仿宋_GB2312"/>
          <w:color w:val="auto"/>
          <w:sz w:val="28"/>
          <w:szCs w:val="28"/>
          <w:highlight w:val="none"/>
          <w:lang w:val="en-US" w:eastAsia="zh-CN"/>
        </w:rPr>
        <w:t>万元，全年到位数为</w:t>
      </w:r>
      <w:r>
        <w:rPr>
          <w:rFonts w:hint="eastAsia" w:ascii="仿宋_GB2312" w:hAnsi="仿宋_GB2312" w:cs="仿宋_GB2312"/>
          <w:color w:val="auto"/>
          <w:sz w:val="28"/>
          <w:szCs w:val="28"/>
          <w:highlight w:val="none"/>
          <w:lang w:val="en-US" w:eastAsia="zh-CN"/>
        </w:rPr>
        <w:t>7.14</w:t>
      </w:r>
      <w:r>
        <w:rPr>
          <w:rFonts w:hint="eastAsia" w:ascii="仿宋_GB2312" w:hAnsi="Times New Roman" w:cs="仿宋_GB2312"/>
          <w:color w:val="auto"/>
          <w:sz w:val="28"/>
          <w:szCs w:val="28"/>
          <w:highlight w:val="none"/>
          <w:lang w:val="en-US" w:eastAsia="zh-CN"/>
        </w:rPr>
        <w:t>万元，全年执行数为</w:t>
      </w:r>
      <w:r>
        <w:rPr>
          <w:rFonts w:hint="eastAsia" w:ascii="仿宋_GB2312" w:hAnsi="仿宋_GB2312" w:cs="仿宋_GB2312"/>
          <w:color w:val="auto"/>
          <w:sz w:val="28"/>
          <w:szCs w:val="28"/>
          <w:highlight w:val="none"/>
          <w:lang w:val="en-US" w:eastAsia="zh-CN"/>
        </w:rPr>
        <w:t>7.14</w:t>
      </w:r>
      <w:r>
        <w:rPr>
          <w:rFonts w:hint="eastAsia" w:ascii="仿宋_GB2312" w:hAnsi="Times New Roman" w:cs="仿宋_GB2312"/>
          <w:color w:val="auto"/>
          <w:sz w:val="28"/>
          <w:szCs w:val="28"/>
          <w:highlight w:val="none"/>
          <w:lang w:val="en-US" w:eastAsia="zh-CN"/>
        </w:rPr>
        <w:t>万元，预算执行率为</w:t>
      </w:r>
      <w:r>
        <w:rPr>
          <w:rFonts w:hint="eastAsia" w:ascii="仿宋_GB2312" w:cs="仿宋_GB2312"/>
          <w:color w:val="auto"/>
          <w:sz w:val="28"/>
          <w:szCs w:val="28"/>
          <w:highlight w:val="none"/>
          <w:lang w:val="en-US" w:eastAsia="zh-CN"/>
        </w:rPr>
        <w:t>84.30</w:t>
      </w:r>
      <w:r>
        <w:rPr>
          <w:rFonts w:hint="eastAsia" w:ascii="仿宋_GB2312" w:hAnsi="Times New Roman" w:cs="仿宋_GB2312"/>
          <w:color w:val="auto"/>
          <w:sz w:val="28"/>
          <w:szCs w:val="28"/>
          <w:highlight w:val="none"/>
          <w:lang w:val="en-US" w:eastAsia="zh-CN"/>
        </w:rPr>
        <w:t>%。</w:t>
      </w:r>
    </w:p>
    <w:p>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10</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84.30</w:t>
      </w:r>
      <w:r>
        <w:rPr>
          <w:rFonts w:hint="eastAsia" w:ascii="仿宋_GB2312" w:hAnsi="Times New Roman" w:cs="仿宋_GB2312"/>
          <w:color w:val="auto"/>
          <w:sz w:val="28"/>
          <w:szCs w:val="28"/>
          <w:highlight w:val="none"/>
          <w:lang w:val="en-US" w:eastAsia="zh-CN"/>
        </w:rPr>
        <w:t>%</w:t>
      </w:r>
      <w:r>
        <w:rPr>
          <w:rFonts w:hint="eastAsia" w:ascii="仿宋_GB2312" w:hAnsi="Times New Roman" w:cs="仿宋_GB2312"/>
          <w:color w:val="auto"/>
          <w:sz w:val="28"/>
          <w:szCs w:val="28"/>
          <w:highlight w:val="none"/>
          <w:lang w:val="zh-TW" w:eastAsia="zh-TW"/>
        </w:rPr>
        <w:t>。</w:t>
      </w:r>
    </w:p>
    <w:p>
      <w:pPr>
        <w:bidi w:val="0"/>
        <w:rPr>
          <w:rFonts w:hint="eastAsia"/>
          <w:color w:val="auto"/>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15.70%</w:t>
      </w:r>
      <w:r>
        <w:rPr>
          <w:rFonts w:hint="eastAsia" w:ascii="仿宋_GB2312" w:hAnsi="仿宋_GB2312" w:cs="仿宋_GB2312"/>
          <w:color w:val="auto"/>
          <w:sz w:val="28"/>
          <w:szCs w:val="28"/>
          <w:highlight w:val="none"/>
        </w:rPr>
        <w:t>。</w:t>
      </w:r>
    </w:p>
    <w:p>
      <w:pPr>
        <w:pStyle w:val="3"/>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pPr>
        <w:pStyle w:val="4"/>
        <w:numPr>
          <w:ilvl w:val="0"/>
          <w:numId w:val="5"/>
        </w:numPr>
        <w:ind w:firstLine="643"/>
        <w:rPr>
          <w:color w:val="auto"/>
          <w:highlight w:val="none"/>
        </w:rPr>
      </w:pPr>
      <w:bookmarkStart w:id="16" w:name="_Toc28290"/>
      <w:bookmarkStart w:id="17" w:name="_Toc1921"/>
      <w:r>
        <w:rPr>
          <w:rFonts w:hint="eastAsia"/>
          <w:color w:val="auto"/>
          <w:highlight w:val="none"/>
        </w:rPr>
        <w:t>主要经验及做法</w:t>
      </w:r>
    </w:p>
    <w:bookmarkEnd w:id="16"/>
    <w:bookmarkEnd w:id="17"/>
    <w:p>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一是</w:t>
      </w:r>
      <w:r>
        <w:rPr>
          <w:rFonts w:hint="eastAsia" w:ascii="仿宋_GB2312"/>
          <w:bCs/>
          <w:color w:val="auto"/>
          <w:sz w:val="28"/>
          <w:szCs w:val="28"/>
          <w:highlight w:val="none"/>
        </w:rPr>
        <w:t>严控资金的拨付使用，支出符合国家财经法规和财务管理制度规定以及有关专项资金管理办法的规定；</w:t>
      </w:r>
    </w:p>
    <w:p>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二是</w:t>
      </w:r>
      <w:r>
        <w:rPr>
          <w:rFonts w:hint="eastAsia" w:ascii="仿宋_GB2312"/>
          <w:bCs/>
          <w:color w:val="auto"/>
          <w:sz w:val="28"/>
          <w:szCs w:val="28"/>
          <w:highlight w:val="none"/>
        </w:rPr>
        <w:t>资金拨付有完整的审批程序和手续，并制定出了切实可行的实施计划、管理办法等；</w:t>
      </w:r>
    </w:p>
    <w:p>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三是</w:t>
      </w:r>
      <w:r>
        <w:rPr>
          <w:rFonts w:hint="eastAsia" w:ascii="仿宋_GB2312"/>
          <w:bCs/>
          <w:color w:val="auto"/>
          <w:sz w:val="28"/>
          <w:szCs w:val="28"/>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lang w:val="en-US" w:eastAsia="zh-CN"/>
        </w:rPr>
        <w:t>四是</w:t>
      </w:r>
      <w:r>
        <w:rPr>
          <w:rFonts w:hint="eastAsia" w:ascii="仿宋_GB2312"/>
          <w:bCs/>
          <w:color w:val="auto"/>
          <w:sz w:val="28"/>
          <w:szCs w:val="28"/>
          <w:highlight w:val="none"/>
        </w:rPr>
        <w:t>通过实施2023年农村学前三年教育保障机制经费项目，保障我</w:t>
      </w:r>
      <w:r>
        <w:rPr>
          <w:rFonts w:hint="eastAsia" w:ascii="仿宋_GB2312"/>
          <w:bCs/>
          <w:color w:val="auto"/>
          <w:sz w:val="28"/>
          <w:szCs w:val="28"/>
          <w:highlight w:val="none"/>
          <w:lang w:val="en-US" w:eastAsia="zh-CN"/>
        </w:rPr>
        <w:t>片区655</w:t>
      </w:r>
      <w:r>
        <w:rPr>
          <w:rFonts w:hint="eastAsia" w:ascii="仿宋_GB2312"/>
          <w:bCs/>
          <w:color w:val="auto"/>
          <w:sz w:val="28"/>
          <w:szCs w:val="28"/>
          <w:highlight w:val="none"/>
        </w:rPr>
        <w:t>名城镇在园幼儿免费接受学前三年教育,资金主要用了在园幼儿的伙食费、取暖费、幼儿园日常活动经费等支出，扎实做好了学前教育各项工作，改善了受益群众的家庭经济情况，提高了学前教育普惠保障水平，完善学前教育体系，持续推进学前教育事业发展，满足了人民对幼有所育的期盼。</w:t>
      </w:r>
    </w:p>
    <w:p>
      <w:pPr>
        <w:pStyle w:val="4"/>
        <w:numPr>
          <w:ilvl w:val="0"/>
          <w:numId w:val="5"/>
        </w:numPr>
        <w:ind w:firstLine="643"/>
        <w:rPr>
          <w:color w:val="auto"/>
          <w:highlight w:val="none"/>
        </w:rPr>
      </w:pPr>
      <w:r>
        <w:rPr>
          <w:rFonts w:hint="eastAsia"/>
          <w:color w:val="auto"/>
          <w:highlight w:val="none"/>
        </w:rPr>
        <w:t>存在的问题及原因分析</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小学）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w:t>
      </w:r>
    </w:p>
    <w:p>
      <w:pPr>
        <w:pStyle w:val="3"/>
        <w:ind w:firstLine="640"/>
        <w:rPr>
          <w:color w:val="auto"/>
          <w:highlight w:val="none"/>
        </w:rPr>
      </w:pPr>
      <w:r>
        <w:rPr>
          <w:rFonts w:hint="eastAsia"/>
          <w:color w:val="auto"/>
          <w:highlight w:val="none"/>
          <w:lang w:eastAsia="zh-CN"/>
        </w:rPr>
        <w:t>七</w:t>
      </w:r>
      <w:r>
        <w:rPr>
          <w:rFonts w:hint="eastAsia"/>
          <w:color w:val="auto"/>
          <w:highlight w:val="none"/>
        </w:rPr>
        <w:t>、有关建议</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1、建议将资金来源不同，但资金用途一致、受益对象一致的项目进行合并，编制一个绩效目标，对当年同一项目的追加资金通过绩效目标调整功能进行调整，以达到全面反映对项目全过程的目标。</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Times New Roman" w:hAnsi="Times New Roman" w:eastAsia="黑体" w:cs="Times New Roman"/>
          <w:color w:val="auto"/>
          <w:kern w:val="44"/>
          <w:sz w:val="32"/>
          <w:szCs w:val="22"/>
          <w:highlight w:val="none"/>
          <w:lang w:val="en-US" w:eastAsia="zh-CN" w:bidi="ar-SA"/>
        </w:rPr>
        <w:t>八、其他需要说明的问题</w:t>
      </w:r>
    </w:p>
    <w:p>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pPr>
        <w:pStyle w:val="3"/>
        <w:ind w:firstLine="640"/>
        <w:rPr>
          <w:color w:val="auto"/>
          <w:highlight w:val="none"/>
        </w:rPr>
      </w:pPr>
      <w:r>
        <w:rPr>
          <w:rFonts w:hint="eastAsia"/>
          <w:color w:val="auto"/>
          <w:highlight w:val="none"/>
          <w:lang w:eastAsia="zh-CN"/>
        </w:rPr>
        <w:t>九、</w:t>
      </w:r>
      <w:r>
        <w:rPr>
          <w:rFonts w:hint="eastAsia"/>
          <w:color w:val="auto"/>
          <w:highlight w:val="none"/>
        </w:rPr>
        <w:t>附表</w:t>
      </w:r>
    </w:p>
    <w:p>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pPr>
        <w:rPr>
          <w:rFonts w:hint="default"/>
          <w:color w:val="auto"/>
          <w:highlight w:val="none"/>
          <w:lang w:val="en-US" w:eastAsia="zh-CN"/>
        </w:rPr>
      </w:pPr>
    </w:p>
    <w:p>
      <w:pPr>
        <w:rPr>
          <w:color w:val="auto"/>
          <w:highlight w:val="none"/>
        </w:rPr>
      </w:pPr>
    </w:p>
    <w:sectPr>
      <w:footerReference r:id="rId9" w:type="default"/>
      <w:pgSz w:w="11906" w:h="16838"/>
      <w:pgMar w:top="1440" w:right="1080" w:bottom="1440" w:left="1080" w:header="737" w:footer="850" w:gutter="0"/>
      <w:pgNumType w:start="1"/>
      <w:cols w:space="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2C43E2C8"/>
    <w:multiLevelType w:val="singleLevel"/>
    <w:tmpl w:val="2C43E2C8"/>
    <w:lvl w:ilvl="0" w:tentative="0">
      <w:start w:val="3"/>
      <w:numFmt w:val="decimal"/>
      <w:lvlText w:val="%1."/>
      <w:lvlJc w:val="left"/>
      <w:pPr>
        <w:tabs>
          <w:tab w:val="left" w:pos="312"/>
        </w:tabs>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abstractNum w:abstractNumId="4">
    <w:nsid w:val="4B54F814"/>
    <w:multiLevelType w:val="singleLevel"/>
    <w:tmpl w:val="4B54F814"/>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4NzdjMGQwZjU2MWJlNTM0OWUxNWY3OTM0ZDA2ODcifQ=="/>
  </w:docVars>
  <w:rsids>
    <w:rsidRoot w:val="00000000"/>
    <w:rsid w:val="00127582"/>
    <w:rsid w:val="00DE3F86"/>
    <w:rsid w:val="022C2BA3"/>
    <w:rsid w:val="025956BB"/>
    <w:rsid w:val="02A62413"/>
    <w:rsid w:val="03642D73"/>
    <w:rsid w:val="03BF118F"/>
    <w:rsid w:val="04A6546B"/>
    <w:rsid w:val="04F4673E"/>
    <w:rsid w:val="05FA1E45"/>
    <w:rsid w:val="07166DCE"/>
    <w:rsid w:val="071C685B"/>
    <w:rsid w:val="0C590374"/>
    <w:rsid w:val="0C675DD7"/>
    <w:rsid w:val="0CFA4A8C"/>
    <w:rsid w:val="0F69792E"/>
    <w:rsid w:val="10937610"/>
    <w:rsid w:val="1288063A"/>
    <w:rsid w:val="12E64D4C"/>
    <w:rsid w:val="13390737"/>
    <w:rsid w:val="135B692A"/>
    <w:rsid w:val="140C15D1"/>
    <w:rsid w:val="148E7382"/>
    <w:rsid w:val="167C0860"/>
    <w:rsid w:val="175353D7"/>
    <w:rsid w:val="17B35DB7"/>
    <w:rsid w:val="18982224"/>
    <w:rsid w:val="1A037B71"/>
    <w:rsid w:val="1A047263"/>
    <w:rsid w:val="1A765416"/>
    <w:rsid w:val="1C3547EC"/>
    <w:rsid w:val="1CD676AD"/>
    <w:rsid w:val="1CFA48ED"/>
    <w:rsid w:val="1E6C79BE"/>
    <w:rsid w:val="1FB8106C"/>
    <w:rsid w:val="200A2CF9"/>
    <w:rsid w:val="20374FAF"/>
    <w:rsid w:val="2054498F"/>
    <w:rsid w:val="2062583F"/>
    <w:rsid w:val="223905D4"/>
    <w:rsid w:val="2493704D"/>
    <w:rsid w:val="2505497D"/>
    <w:rsid w:val="25D32AED"/>
    <w:rsid w:val="2644007A"/>
    <w:rsid w:val="266100F9"/>
    <w:rsid w:val="28153891"/>
    <w:rsid w:val="28651CF9"/>
    <w:rsid w:val="29BA1697"/>
    <w:rsid w:val="29D12347"/>
    <w:rsid w:val="2A0722F0"/>
    <w:rsid w:val="2AA0481A"/>
    <w:rsid w:val="2B1732E2"/>
    <w:rsid w:val="2D035FCE"/>
    <w:rsid w:val="2DB568C2"/>
    <w:rsid w:val="2E941121"/>
    <w:rsid w:val="2FAF5F15"/>
    <w:rsid w:val="2FC938ED"/>
    <w:rsid w:val="306F163B"/>
    <w:rsid w:val="307236DE"/>
    <w:rsid w:val="31562E94"/>
    <w:rsid w:val="328637ED"/>
    <w:rsid w:val="332A4510"/>
    <w:rsid w:val="33BB2B0C"/>
    <w:rsid w:val="34197D30"/>
    <w:rsid w:val="34651D60"/>
    <w:rsid w:val="34A03915"/>
    <w:rsid w:val="35496A51"/>
    <w:rsid w:val="356E624F"/>
    <w:rsid w:val="367A41E5"/>
    <w:rsid w:val="39330366"/>
    <w:rsid w:val="39C03EA5"/>
    <w:rsid w:val="3AB17BEE"/>
    <w:rsid w:val="3B0401FD"/>
    <w:rsid w:val="3B9C4EA4"/>
    <w:rsid w:val="3D397027"/>
    <w:rsid w:val="3DB040EC"/>
    <w:rsid w:val="3F0331D2"/>
    <w:rsid w:val="3F4F30F7"/>
    <w:rsid w:val="3F6768FF"/>
    <w:rsid w:val="3FAD084D"/>
    <w:rsid w:val="40A2448B"/>
    <w:rsid w:val="41BB054D"/>
    <w:rsid w:val="41C85424"/>
    <w:rsid w:val="42B263BC"/>
    <w:rsid w:val="43D163CE"/>
    <w:rsid w:val="454442ED"/>
    <w:rsid w:val="468772B0"/>
    <w:rsid w:val="47A520E4"/>
    <w:rsid w:val="47ED377C"/>
    <w:rsid w:val="4A01554A"/>
    <w:rsid w:val="4ACE7E35"/>
    <w:rsid w:val="4B233142"/>
    <w:rsid w:val="4D6B4CF6"/>
    <w:rsid w:val="4E0D2791"/>
    <w:rsid w:val="4F5A6AE8"/>
    <w:rsid w:val="51034A9D"/>
    <w:rsid w:val="516756CC"/>
    <w:rsid w:val="51894824"/>
    <w:rsid w:val="52C55120"/>
    <w:rsid w:val="539435F4"/>
    <w:rsid w:val="53F8370C"/>
    <w:rsid w:val="54684850"/>
    <w:rsid w:val="552B61BF"/>
    <w:rsid w:val="558C043F"/>
    <w:rsid w:val="56877C24"/>
    <w:rsid w:val="569F1B7A"/>
    <w:rsid w:val="573A2E40"/>
    <w:rsid w:val="58A822FD"/>
    <w:rsid w:val="5ADA1C4D"/>
    <w:rsid w:val="5B1C5D82"/>
    <w:rsid w:val="5BBB47C4"/>
    <w:rsid w:val="5E2A1B5D"/>
    <w:rsid w:val="5E9D0F6C"/>
    <w:rsid w:val="5EBC5637"/>
    <w:rsid w:val="5ECB7A0E"/>
    <w:rsid w:val="609C79A1"/>
    <w:rsid w:val="60CA4585"/>
    <w:rsid w:val="62E7773E"/>
    <w:rsid w:val="63DE10E9"/>
    <w:rsid w:val="65A36562"/>
    <w:rsid w:val="65DD31AE"/>
    <w:rsid w:val="65E9620C"/>
    <w:rsid w:val="67BC3C79"/>
    <w:rsid w:val="69B01D77"/>
    <w:rsid w:val="6A015733"/>
    <w:rsid w:val="6B3709F5"/>
    <w:rsid w:val="6BD523D2"/>
    <w:rsid w:val="6E0E5716"/>
    <w:rsid w:val="6E8B7C84"/>
    <w:rsid w:val="6ED01F5D"/>
    <w:rsid w:val="6FB870D9"/>
    <w:rsid w:val="705C3A7D"/>
    <w:rsid w:val="70CD54FA"/>
    <w:rsid w:val="70DD2366"/>
    <w:rsid w:val="70F3572C"/>
    <w:rsid w:val="714F6A99"/>
    <w:rsid w:val="723D52D7"/>
    <w:rsid w:val="740E280E"/>
    <w:rsid w:val="755E20FE"/>
    <w:rsid w:val="78054355"/>
    <w:rsid w:val="78BE0E43"/>
    <w:rsid w:val="78C20DB3"/>
    <w:rsid w:val="797F3308"/>
    <w:rsid w:val="79F12A79"/>
    <w:rsid w:val="79F63EF5"/>
    <w:rsid w:val="7A3339FB"/>
    <w:rsid w:val="7A3F354F"/>
    <w:rsid w:val="7AC0456B"/>
    <w:rsid w:val="7B6F4839"/>
    <w:rsid w:val="7C00118E"/>
    <w:rsid w:val="7F0D1E11"/>
    <w:rsid w:val="7F48083C"/>
    <w:rsid w:val="7FD8598D"/>
    <w:rsid w:val="7FF91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正文文本缩进 21"/>
    <w:basedOn w:val="1"/>
    <w:qFormat/>
    <w:uiPriority w:val="0"/>
    <w:pPr>
      <w:spacing w:afterLines="0" w:line="480" w:lineRule="auto"/>
      <w:ind w:left="420" w:leftChars="200"/>
    </w:pPr>
    <w:rPr>
      <w:szCs w:val="24"/>
    </w:r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10558</Words>
  <Characters>11242</Characters>
  <Lines>0</Lines>
  <Paragraphs>0</Paragraphs>
  <TotalTime>10</TotalTime>
  <ScaleCrop>false</ScaleCrop>
  <LinksUpToDate>false</LinksUpToDate>
  <CharactersWithSpaces>11248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Administrator</cp:lastModifiedBy>
  <dcterms:modified xsi:type="dcterms:W3CDTF">2024-08-19T11:46:45Z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60DD2C802D114C81B3758316795F5C97_12</vt:lpwstr>
  </property>
</Properties>
</file>