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ascii="黑体" w:hAnsi="黑体" w:eastAsia="黑体" w:cs="黑体"/>
          <w:b/>
          <w:bCs/>
          <w:color w:val="auto"/>
          <w:sz w:val="36"/>
          <w:szCs w:val="36"/>
          <w:highlight w:val="none"/>
        </w:rPr>
      </w:pPr>
      <w:bookmarkStart w:id="18" w:name="_GoBack"/>
      <w:bookmarkEnd w:id="18"/>
      <w:r>
        <w:rPr>
          <w:rFonts w:hint="eastAsia" w:ascii="黑体" w:hAnsi="黑体" w:eastAsia="黑体" w:cs="黑体"/>
          <w:b/>
          <w:bCs/>
          <w:color w:val="auto"/>
          <w:sz w:val="36"/>
          <w:szCs w:val="36"/>
          <w:highlight w:val="none"/>
        </w:rPr>
        <w:t>托克逊县2023年克尔碱镇英阿瓦提村渠道硬化项目支出绩效评价报告</w:t>
      </w:r>
    </w:p>
    <w:p>
      <w:pPr>
        <w:pStyle w:val="3"/>
        <w:ind w:firstLine="640"/>
        <w:rPr>
          <w:color w:val="auto"/>
          <w:highlight w:val="none"/>
        </w:rPr>
      </w:pPr>
      <w:r>
        <w:rPr>
          <w:rFonts w:hint="eastAsia"/>
          <w:color w:val="auto"/>
          <w:highlight w:val="none"/>
        </w:rPr>
        <w:t>一、基本情况</w:t>
      </w:r>
    </w:p>
    <w:p>
      <w:pPr>
        <w:pStyle w:val="4"/>
        <w:ind w:firstLine="643"/>
        <w:rPr>
          <w:color w:val="auto"/>
          <w:highlight w:val="none"/>
        </w:rPr>
      </w:pPr>
      <w:r>
        <w:rPr>
          <w:rFonts w:hint="eastAsia"/>
          <w:color w:val="auto"/>
          <w:highlight w:val="none"/>
        </w:rPr>
        <w:t>（一）项目概况</w:t>
      </w:r>
    </w:p>
    <w:p>
      <w:pPr>
        <w:pStyle w:val="5"/>
        <w:ind w:firstLine="562"/>
        <w:rPr>
          <w:color w:val="auto"/>
          <w:highlight w:val="none"/>
        </w:rPr>
      </w:pPr>
      <w:r>
        <w:rPr>
          <w:rFonts w:hint="eastAsia"/>
          <w:color w:val="auto"/>
          <w:highlight w:val="none"/>
        </w:rPr>
        <w:t>1.项目背景</w:t>
      </w:r>
    </w:p>
    <w:p>
      <w:pPr>
        <w:ind w:firstLine="560"/>
        <w:rPr>
          <w:rFonts w:hint="default"/>
          <w:color w:val="auto"/>
          <w:highlight w:val="none"/>
          <w:lang w:val="en-US" w:eastAsia="zh-CN"/>
        </w:rPr>
      </w:pPr>
      <w:r>
        <w:rPr>
          <w:rFonts w:hint="eastAsia"/>
          <w:color w:val="auto"/>
          <w:highlight w:val="none"/>
          <w:lang w:val="en-US" w:eastAsia="zh-CN"/>
        </w:rPr>
        <w:t>随着乡村振兴战略的实施，克尔碱镇英阿瓦提村辖区村民生活质量逐渐改善，改善基础设施，提高村委会集体经济收入，而且能有效改善全村村民的生活环境，提升农村农产品生产销售，让村民生活更加便利，巩固脱贫攻坚成果、全面推进乡村振兴，加快推进美丽乡村振兴，大力推动镇经济发展。</w:t>
      </w:r>
    </w:p>
    <w:p>
      <w:pPr>
        <w:pStyle w:val="5"/>
        <w:ind w:firstLine="562"/>
        <w:rPr>
          <w:color w:val="auto"/>
          <w:highlight w:val="none"/>
        </w:rPr>
      </w:pPr>
      <w:r>
        <w:rPr>
          <w:rFonts w:hint="eastAsia"/>
          <w:color w:val="auto"/>
          <w:highlight w:val="none"/>
        </w:rPr>
        <w:t>2.主要内容</w:t>
      </w:r>
    </w:p>
    <w:p>
      <w:pPr>
        <w:ind w:firstLine="560"/>
        <w:rPr>
          <w:rFonts w:hint="eastAsia"/>
          <w:color w:val="auto"/>
          <w:highlight w:val="none"/>
          <w:lang w:val="en-US" w:eastAsia="zh-CN"/>
        </w:rPr>
      </w:pPr>
      <w:r>
        <w:rPr>
          <w:rFonts w:hint="eastAsia"/>
          <w:color w:val="auto"/>
          <w:highlight w:val="none"/>
          <w:lang w:val="en-US" w:eastAsia="zh-CN"/>
        </w:rPr>
        <w:t>项目名称：托克逊县2023年克尔碱镇英阿瓦提村渠道硬化项目</w:t>
      </w:r>
    </w:p>
    <w:p>
      <w:pPr>
        <w:ind w:firstLine="562"/>
        <w:rPr>
          <w:rFonts w:hint="eastAsia"/>
          <w:color w:val="auto"/>
          <w:highlight w:val="none"/>
          <w:lang w:val="en-US" w:eastAsia="zh-CN"/>
        </w:rPr>
      </w:pPr>
      <w:r>
        <w:rPr>
          <w:rFonts w:hint="eastAsia"/>
          <w:color w:val="auto"/>
          <w:highlight w:val="none"/>
          <w:lang w:val="en-US" w:eastAsia="zh-CN"/>
        </w:rPr>
        <w:t>项目主要内容：计划为克尔碱镇英阿瓦提村灌溉渠道进行硬化12.5公里，总投资196万元，最终价格以建设价格为准，若有剩余，将剩余资金继续用于其他壮大集体经济项目建设。</w:t>
      </w:r>
    </w:p>
    <w:p>
      <w:pPr>
        <w:pStyle w:val="5"/>
        <w:ind w:firstLine="562"/>
        <w:rPr>
          <w:color w:val="auto"/>
          <w:highlight w:val="none"/>
        </w:rPr>
      </w:pPr>
      <w:r>
        <w:rPr>
          <w:rFonts w:hint="eastAsia"/>
          <w:color w:val="auto"/>
          <w:highlight w:val="none"/>
          <w:lang w:val="en-US" w:eastAsia="zh-CN"/>
        </w:rPr>
        <w:t>3</w:t>
      </w:r>
      <w:r>
        <w:rPr>
          <w:rFonts w:hint="eastAsia"/>
          <w:color w:val="auto"/>
          <w:highlight w:val="none"/>
        </w:rPr>
        <w:t>.实施情况</w:t>
      </w:r>
    </w:p>
    <w:p>
      <w:pPr>
        <w:ind w:firstLine="560"/>
        <w:jc w:val="left"/>
        <w:rPr>
          <w:rFonts w:hint="default" w:eastAsia="仿宋_GB2312"/>
          <w:color w:val="auto"/>
          <w:highlight w:val="none"/>
          <w:lang w:val="en-US" w:eastAsia="zh-CN"/>
        </w:rPr>
      </w:pPr>
      <w:r>
        <w:rPr>
          <w:rFonts w:hint="eastAsia"/>
          <w:color w:val="auto"/>
          <w:highlight w:val="none"/>
          <w:lang w:val="en-US" w:eastAsia="zh-CN"/>
        </w:rPr>
        <w:t>项目</w:t>
      </w:r>
      <w:r>
        <w:rPr>
          <w:color w:val="auto"/>
          <w:highlight w:val="none"/>
        </w:rPr>
        <w:t>实施主体：</w:t>
      </w:r>
      <w:r>
        <w:rPr>
          <w:rFonts w:hint="eastAsia"/>
          <w:color w:val="auto"/>
          <w:highlight w:val="none"/>
        </w:rPr>
        <w:t>托克逊县</w:t>
      </w:r>
      <w:r>
        <w:rPr>
          <w:rFonts w:hint="eastAsia"/>
          <w:color w:val="auto"/>
          <w:highlight w:val="none"/>
          <w:lang w:eastAsia="zh-CN"/>
        </w:rPr>
        <w:t>克尔碱</w:t>
      </w:r>
      <w:r>
        <w:rPr>
          <w:rFonts w:hint="eastAsia"/>
          <w:color w:val="auto"/>
          <w:highlight w:val="none"/>
        </w:rPr>
        <w:t>镇人民政府</w:t>
      </w:r>
      <w:r>
        <w:rPr>
          <w:rFonts w:hint="eastAsia"/>
          <w:color w:val="auto"/>
          <w:highlight w:val="none"/>
          <w:lang w:val="en-US" w:eastAsia="zh-CN"/>
        </w:rPr>
        <w:t>英阿瓦提村</w:t>
      </w:r>
    </w:p>
    <w:p>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3</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3</w:t>
      </w:r>
      <w:r>
        <w:rPr>
          <w:rFonts w:hint="eastAsia" w:cs="仿宋_GB2312"/>
          <w:color w:val="auto"/>
          <w:highlight w:val="none"/>
          <w:lang w:eastAsia="zh-CN"/>
        </w:rPr>
        <w:t>年</w:t>
      </w:r>
      <w:r>
        <w:rPr>
          <w:rFonts w:hint="eastAsia" w:cs="仿宋_GB2312"/>
          <w:color w:val="auto"/>
          <w:highlight w:val="none"/>
          <w:lang w:val="en-US" w:eastAsia="zh-CN"/>
        </w:rPr>
        <w:t>8</w:t>
      </w:r>
      <w:r>
        <w:rPr>
          <w:rFonts w:hint="eastAsia" w:cs="仿宋_GB2312"/>
          <w:color w:val="auto"/>
          <w:highlight w:val="none"/>
        </w:rPr>
        <w:t>月</w:t>
      </w:r>
      <w:r>
        <w:rPr>
          <w:color w:val="auto"/>
          <w:highlight w:val="none"/>
        </w:rPr>
        <w:t>。</w:t>
      </w:r>
    </w:p>
    <w:p>
      <w:pPr>
        <w:rPr>
          <w:rFonts w:hint="eastAsia"/>
          <w:color w:val="auto"/>
          <w:highlight w:val="none"/>
          <w:lang w:val="en-US" w:eastAsia="zh-CN"/>
        </w:rPr>
      </w:pPr>
      <w:r>
        <w:rPr>
          <w:rFonts w:hint="eastAsia"/>
          <w:color w:val="auto"/>
          <w:highlight w:val="none"/>
          <w:lang w:val="en-US" w:eastAsia="zh-CN"/>
        </w:rPr>
        <w:t>项目实施情况：</w:t>
      </w:r>
    </w:p>
    <w:p>
      <w:pPr>
        <w:ind w:firstLine="560"/>
        <w:rPr>
          <w:rFonts w:hint="eastAsia"/>
          <w:color w:val="auto"/>
          <w:highlight w:val="none"/>
          <w:lang w:val="en-US" w:eastAsia="zh-CN"/>
        </w:rPr>
      </w:pPr>
      <w:r>
        <w:rPr>
          <w:rFonts w:hint="eastAsia"/>
          <w:color w:val="auto"/>
          <w:highlight w:val="none"/>
        </w:rPr>
        <w:t>2023年，由新疆瑞昶设计院有限公司《托克逊县 2023年克尔碱镇英阿瓦提村渠道硬化项目实施方案》，并将《项目实施方案》上报市水利局审查，2023年3月15日托克逊县发改委以《关于托克逊县 2023 克尔碱镇英阿瓦提村渠道硬化项目实施方案的批复》(托发改项(2023)58号)文件下达审查批复该工程进行了批复实施。2023年3月15日委托新疆德宏招标代理有限公司对托克逊县克尔碱镇英阿瓦提村渠道硬化项目完成工程招投标等有关事宜，于3月27日在新疆德宏招标代理有限公司进行了工程开标，确定中标企业为新疆圣源建工集团有限公司。3月28日对中标企业发放了中标通知书，并限期签订合同协议书。该项目于2023年4月7日开工，2023年8月25日完工，2023年8月28日完成单位验收，该项目已完成审计工作</w:t>
      </w:r>
      <w:r>
        <w:rPr>
          <w:rFonts w:hint="eastAsia"/>
          <w:color w:val="auto"/>
          <w:highlight w:val="none"/>
          <w:lang w:eastAsia="zh-CN"/>
        </w:rPr>
        <w:t>，</w:t>
      </w:r>
      <w:r>
        <w:rPr>
          <w:rFonts w:hint="eastAsia"/>
          <w:color w:val="auto"/>
          <w:highlight w:val="none"/>
        </w:rPr>
        <w:t>按照计划完成</w:t>
      </w:r>
      <w:r>
        <w:rPr>
          <w:rFonts w:hint="eastAsia"/>
          <w:color w:val="auto"/>
          <w:highlight w:val="none"/>
          <w:lang w:eastAsia="zh-CN"/>
        </w:rPr>
        <w:t>了</w:t>
      </w:r>
      <w:r>
        <w:rPr>
          <w:rFonts w:hint="eastAsia"/>
          <w:color w:val="auto"/>
          <w:highlight w:val="none"/>
        </w:rPr>
        <w:t>克尔碱镇英阿瓦提村渠道硬化工程12.5公里，改善了当地移民群众的生活环境质量，有效提高了农作物的浇灌质量，</w:t>
      </w:r>
      <w:r>
        <w:rPr>
          <w:rFonts w:hint="eastAsia"/>
          <w:color w:val="auto"/>
          <w:highlight w:val="none"/>
          <w:lang w:eastAsia="zh-CN"/>
        </w:rPr>
        <w:t>带动</w:t>
      </w:r>
      <w:r>
        <w:rPr>
          <w:rFonts w:hint="eastAsia"/>
          <w:color w:val="auto"/>
          <w:highlight w:val="none"/>
          <w:lang w:val="en-US" w:eastAsia="zh-CN"/>
        </w:rPr>
        <w:t>401名</w:t>
      </w:r>
      <w:r>
        <w:rPr>
          <w:rFonts w:hint="eastAsia"/>
          <w:color w:val="auto"/>
          <w:highlight w:val="none"/>
        </w:rPr>
        <w:t>英阿瓦提村村民收入增加，巩固脱贫攻坚成果，让村民生活更加便利，全面推进乡村振兴。</w:t>
      </w:r>
    </w:p>
    <w:p>
      <w:pPr>
        <w:pStyle w:val="5"/>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0"/>
        <w:rPr>
          <w:rFonts w:hint="eastAsia"/>
          <w:color w:val="auto"/>
          <w:highlight w:val="none"/>
        </w:rPr>
      </w:pPr>
      <w:r>
        <w:rPr>
          <w:rFonts w:hint="eastAsia"/>
          <w:color w:val="auto"/>
          <w:highlight w:val="none"/>
          <w:lang w:val="en-US" w:eastAsia="zh-CN"/>
        </w:rPr>
        <w:t>本</w:t>
      </w:r>
      <w:r>
        <w:rPr>
          <w:color w:val="auto"/>
          <w:highlight w:val="none"/>
        </w:rPr>
        <w:t>项目预算安排总额</w:t>
      </w:r>
      <w:r>
        <w:rPr>
          <w:rFonts w:ascii="Times New Roman" w:hAnsi="Times New Roman" w:cs="Times New Roman"/>
          <w:color w:val="auto"/>
          <w:highlight w:val="none"/>
        </w:rPr>
        <w:t>为</w:t>
      </w:r>
      <w:r>
        <w:rPr>
          <w:rFonts w:hint="eastAsia" w:ascii="Times New Roman" w:hAnsi="Times New Roman" w:cs="Times New Roman"/>
          <w:color w:val="auto"/>
          <w:highlight w:val="none"/>
          <w:lang w:val="en-US" w:eastAsia="zh-CN"/>
        </w:rPr>
        <w:t>196</w:t>
      </w:r>
      <w:r>
        <w:rPr>
          <w:rFonts w:ascii="Times New Roman" w:hAnsi="Times New Roman" w:cs="Times New Roman"/>
          <w:color w:val="auto"/>
          <w:highlight w:val="none"/>
        </w:rPr>
        <w:t>万元，其中财政资金</w:t>
      </w:r>
      <w:r>
        <w:rPr>
          <w:rFonts w:hint="eastAsia" w:ascii="Times New Roman" w:hAnsi="Times New Roman" w:cs="Times New Roman"/>
          <w:color w:val="auto"/>
          <w:highlight w:val="none"/>
          <w:lang w:val="en-US" w:eastAsia="zh-CN"/>
        </w:rPr>
        <w:t>196</w:t>
      </w:r>
      <w:r>
        <w:rPr>
          <w:rFonts w:ascii="Times New Roman" w:hAnsi="Times New Roman" w:cs="Times New Roman"/>
          <w:color w:val="auto"/>
          <w:highlight w:val="none"/>
        </w:rPr>
        <w:t>万</w:t>
      </w:r>
      <w:r>
        <w:rPr>
          <w:color w:val="auto"/>
          <w:highlight w:val="none"/>
        </w:rPr>
        <w:t>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ascii="仿宋_GB2312" w:hAnsi="仿宋" w:cs="仿宋_GB2312"/>
          <w:color w:val="auto"/>
          <w:sz w:val="28"/>
          <w:szCs w:val="28"/>
          <w:highlight w:val="none"/>
          <w:rtl w:val="0"/>
          <w:lang w:val="en-US" w:eastAsia="zh-CN"/>
        </w:rPr>
        <w:t>196</w:t>
      </w:r>
      <w:r>
        <w:rPr>
          <w:rFonts w:hint="eastAsia" w:ascii="仿宋_GB2312" w:hAnsi="仿宋" w:eastAsia="仿宋_GB2312" w:cs="仿宋_GB2312"/>
          <w:color w:val="auto"/>
          <w:sz w:val="28"/>
          <w:szCs w:val="28"/>
          <w:highlight w:val="none"/>
          <w:rtl w:val="0"/>
          <w:lang w:val="en-US" w:eastAsia="zh-CN"/>
        </w:rPr>
        <w:t>万元</w:t>
      </w:r>
      <w:r>
        <w:rPr>
          <w:color w:val="auto"/>
          <w:highlight w:val="none"/>
        </w:rPr>
        <w:t>，预算资金到位率为</w:t>
      </w:r>
      <w:r>
        <w:rPr>
          <w:rFonts w:hint="eastAsia"/>
          <w:color w:val="auto"/>
          <w:highlight w:val="none"/>
          <w:lang w:val="en-US" w:eastAsia="zh-CN"/>
        </w:rPr>
        <w:t>100</w:t>
      </w:r>
      <w:r>
        <w:rPr>
          <w:color w:val="auto"/>
          <w:highlight w:val="none"/>
        </w:rPr>
        <w:t>%。</w:t>
      </w:r>
    </w:p>
    <w:p>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pStyle w:val="5"/>
        <w:bidi w:val="0"/>
        <w:rPr>
          <w:b w:val="0"/>
          <w:bCs w:val="0"/>
          <w:color w:val="auto"/>
          <w:highlight w:val="none"/>
        </w:rPr>
      </w:pPr>
      <w:r>
        <w:rPr>
          <w:rFonts w:hint="eastAsia"/>
          <w:b w:val="0"/>
          <w:bCs w:val="0"/>
          <w:color w:val="auto"/>
          <w:highlight w:val="none"/>
          <w:lang w:val="en-US" w:eastAsia="zh-CN"/>
        </w:rPr>
        <w:t>截止到2023年12月31日，本项目实际支付资金</w:t>
      </w:r>
      <w:r>
        <w:rPr>
          <w:rFonts w:hint="eastAsia"/>
          <w:b w:val="0"/>
          <w:bCs w:val="0"/>
          <w:color w:val="auto"/>
          <w:highlight w:val="none"/>
          <w:rtl w:val="0"/>
          <w:lang w:val="en-US" w:eastAsia="zh-CN"/>
        </w:rPr>
        <w:t>156.530411</w:t>
      </w:r>
      <w:r>
        <w:rPr>
          <w:rFonts w:hint="eastAsia"/>
          <w:b w:val="0"/>
          <w:bCs w:val="0"/>
          <w:color w:val="auto"/>
          <w:highlight w:val="none"/>
          <w:lang w:val="en-US" w:eastAsia="zh-CN"/>
        </w:rPr>
        <w:t>万元，项目结转资金39.469589万元，预算执行率79.9%，资金主要用于支付硬化灌溉渠道费用</w:t>
      </w:r>
      <w:r>
        <w:rPr>
          <w:rFonts w:hint="default"/>
          <w:b w:val="0"/>
          <w:bCs w:val="0"/>
          <w:color w:val="auto"/>
          <w:highlight w:val="none"/>
          <w:lang w:val="en-US" w:eastAsia="zh-CN"/>
        </w:rPr>
        <w:t>150.393262万元</w:t>
      </w:r>
      <w:r>
        <w:rPr>
          <w:rFonts w:hint="eastAsia"/>
          <w:b w:val="0"/>
          <w:bCs w:val="0"/>
          <w:color w:val="auto"/>
          <w:highlight w:val="none"/>
          <w:lang w:val="en-US" w:eastAsia="zh-CN"/>
        </w:rPr>
        <w:t>，支付项目设计费、造价费、监理费等共计</w:t>
      </w:r>
      <w:r>
        <w:rPr>
          <w:rFonts w:hint="default"/>
          <w:b w:val="0"/>
          <w:bCs w:val="0"/>
          <w:color w:val="auto"/>
          <w:highlight w:val="none"/>
          <w:lang w:val="en-US" w:eastAsia="zh-CN"/>
        </w:rPr>
        <w:t>6.137149万元</w:t>
      </w:r>
      <w:r>
        <w:rPr>
          <w:rFonts w:hint="eastAsia"/>
          <w:b w:val="0"/>
          <w:bCs w:val="0"/>
          <w:color w:val="auto"/>
          <w:highlight w:val="none"/>
          <w:lang w:val="en-US" w:eastAsia="zh-CN"/>
        </w:rPr>
        <w:t>。</w:t>
      </w:r>
      <w:r>
        <w:rPr>
          <w:rFonts w:hint="eastAsia"/>
          <w:b w:val="0"/>
          <w:bCs w:val="0"/>
          <w:color w:val="auto"/>
          <w:highlight w:val="none"/>
        </w:rPr>
        <w:t>目前全部</w:t>
      </w:r>
      <w:r>
        <w:rPr>
          <w:rFonts w:hint="eastAsia"/>
          <w:b w:val="0"/>
          <w:bCs w:val="0"/>
          <w:color w:val="auto"/>
          <w:highlight w:val="none"/>
          <w:lang w:eastAsia="zh-CN"/>
        </w:rPr>
        <w:t>施工</w:t>
      </w:r>
      <w:r>
        <w:rPr>
          <w:rFonts w:hint="eastAsia"/>
          <w:b w:val="0"/>
          <w:bCs w:val="0"/>
          <w:color w:val="auto"/>
          <w:highlight w:val="none"/>
        </w:rPr>
        <w:t xml:space="preserve">完毕，且验收通过。 </w:t>
      </w:r>
    </w:p>
    <w:p>
      <w:pPr>
        <w:pStyle w:val="4"/>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5"/>
        <w:bidi w:val="0"/>
        <w:rPr>
          <w:color w:val="auto"/>
          <w:highlight w:val="none"/>
        </w:rPr>
      </w:pPr>
      <w:r>
        <w:rPr>
          <w:rFonts w:hint="eastAsia"/>
          <w:color w:val="auto"/>
          <w:highlight w:val="none"/>
        </w:rPr>
        <w:t>1.总体目标</w:t>
      </w:r>
    </w:p>
    <w:p>
      <w:pPr>
        <w:pStyle w:val="5"/>
        <w:bidi w:val="0"/>
        <w:rPr>
          <w:rFonts w:hint="eastAsia"/>
          <w:b w:val="0"/>
          <w:bCs w:val="0"/>
          <w:color w:val="auto"/>
          <w:highlight w:val="none"/>
          <w:lang w:val="en-US" w:eastAsia="zh-CN"/>
        </w:rPr>
      </w:pPr>
      <w:r>
        <w:rPr>
          <w:rFonts w:hint="eastAsia"/>
          <w:b w:val="0"/>
          <w:bCs w:val="0"/>
          <w:color w:val="auto"/>
          <w:highlight w:val="none"/>
          <w:lang w:val="en-US" w:eastAsia="zh-CN"/>
        </w:rPr>
        <w:t>本项目绩效总体目标</w:t>
      </w:r>
      <w:r>
        <w:rPr>
          <w:rFonts w:hint="eastAsia" w:cs="宋体"/>
          <w:b w:val="0"/>
          <w:bCs w:val="0"/>
          <w:color w:val="auto"/>
          <w:highlight w:val="none"/>
          <w:shd w:val="clear" w:color="auto" w:fill="auto"/>
          <w:lang w:val="en-US" w:eastAsia="zh-CN"/>
        </w:rPr>
        <w:t>为</w:t>
      </w:r>
      <w:r>
        <w:rPr>
          <w:rFonts w:hint="eastAsia"/>
          <w:b w:val="0"/>
          <w:bCs w:val="0"/>
          <w:color w:val="auto"/>
          <w:highlight w:val="none"/>
          <w:lang w:val="en-US" w:eastAsia="zh-CN"/>
        </w:rPr>
        <w:t>：项目的实施将提高村委会集体经济收入，而且能有效改善全村266户666人的生活环境，提高农作物的浇灌质量为英阿瓦提村村民收入增加，巩固脱贫攻坚成果、提高群众满意度，让村民生活更加便利，巩固脱贫攻坚成果、全面推进乡村振兴。</w:t>
      </w:r>
    </w:p>
    <w:p>
      <w:pPr>
        <w:pStyle w:val="5"/>
        <w:ind w:firstLine="562"/>
        <w:rPr>
          <w:rFonts w:hint="eastAsia" w:eastAsia="仿宋_GB2312"/>
          <w:color w:val="auto"/>
          <w:highlight w:val="none"/>
          <w:lang w:val="en-US" w:eastAsia="zh-CN"/>
        </w:rPr>
      </w:pPr>
      <w:r>
        <w:rPr>
          <w:rFonts w:hint="eastAsia"/>
          <w:color w:val="auto"/>
          <w:highlight w:val="none"/>
        </w:rPr>
        <w:t>2.阶段性目标</w:t>
      </w:r>
    </w:p>
    <w:p>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（1）项目产出指标</w:t>
      </w:r>
    </w:p>
    <w:p>
      <w:pPr>
        <w:ind w:firstLine="560"/>
        <w:rPr>
          <w:color w:val="auto"/>
          <w:highlight w:val="none"/>
        </w:rPr>
      </w:pPr>
      <w:r>
        <w:rPr>
          <w:rFonts w:hint="eastAsia"/>
          <w:color w:val="auto"/>
          <w:highlight w:val="none"/>
        </w:rPr>
        <w:t>①数量指标</w:t>
      </w:r>
    </w:p>
    <w:p>
      <w:pPr>
        <w:ind w:firstLine="560"/>
        <w:rPr>
          <w:rFonts w:hint="default" w:hAnsi="Arial" w:cs="宋体"/>
          <w:bCs/>
          <w:color w:val="auto"/>
          <w:highlight w:val="none"/>
          <w:lang w:val="en-US" w:eastAsia="zh-CN"/>
        </w:rPr>
      </w:pPr>
      <w:r>
        <w:rPr>
          <w:rFonts w:hint="eastAsia" w:hAnsi="Arial" w:cs="宋体"/>
          <w:bCs/>
          <w:color w:val="auto"/>
          <w:highlight w:val="none"/>
          <w:lang w:val="en-US" w:eastAsia="zh-CN"/>
        </w:rPr>
        <w:t>“后期扶持受益移民人口（人）”指标，预期指标值为大于等于40人。</w:t>
      </w:r>
    </w:p>
    <w:p>
      <w:pPr>
        <w:ind w:firstLine="560"/>
        <w:rPr>
          <w:rFonts w:hint="eastAsia" w:hAnsi="Arial" w:cs="宋体"/>
          <w:bCs/>
          <w:color w:val="auto"/>
          <w:highlight w:val="none"/>
          <w:lang w:val="en-US" w:eastAsia="zh-CN"/>
        </w:rPr>
      </w:pPr>
      <w:r>
        <w:rPr>
          <w:rFonts w:hint="eastAsia" w:hAnsi="Arial" w:cs="宋体"/>
          <w:bCs/>
          <w:color w:val="auto"/>
          <w:highlight w:val="none"/>
        </w:rPr>
        <w:t>“生产开发及配套设施项目</w:t>
      </w:r>
      <w:r>
        <w:rPr>
          <w:rFonts w:hint="eastAsia" w:hAnsi="Arial" w:cs="宋体"/>
          <w:bCs/>
          <w:color w:val="auto"/>
          <w:highlight w:val="none"/>
          <w:lang w:eastAsia="zh-CN"/>
        </w:rPr>
        <w:t>（个）</w:t>
      </w:r>
      <w:r>
        <w:rPr>
          <w:rFonts w:hint="eastAsia" w:hAnsi="Arial" w:cs="宋体"/>
          <w:bCs/>
          <w:color w:val="auto"/>
          <w:highlight w:val="none"/>
        </w:rPr>
        <w:t>”指标，预期指标值</w:t>
      </w:r>
      <w:r>
        <w:rPr>
          <w:rFonts w:hint="eastAsia" w:hAnsi="Arial" w:cs="宋体"/>
          <w:bCs/>
          <w:color w:val="auto"/>
          <w:highlight w:val="none"/>
          <w:lang w:val="en-US" w:eastAsia="zh-CN"/>
        </w:rPr>
        <w:t>等于1个。</w:t>
      </w:r>
    </w:p>
    <w:p>
      <w:pPr>
        <w:ind w:firstLine="560"/>
        <w:rPr>
          <w:rFonts w:hint="default" w:hAnsi="Arial" w:cs="宋体"/>
          <w:bCs/>
          <w:color w:val="auto"/>
          <w:highlight w:val="none"/>
          <w:lang w:val="en-US"/>
        </w:rPr>
      </w:pPr>
      <w:r>
        <w:rPr>
          <w:rFonts w:hint="eastAsia" w:hAnsi="Arial" w:cs="宋体"/>
          <w:bCs/>
          <w:color w:val="auto"/>
          <w:highlight w:val="none"/>
        </w:rPr>
        <w:t>“渠道硬化工程量</w:t>
      </w:r>
      <w:r>
        <w:rPr>
          <w:rFonts w:hint="eastAsia" w:hAnsi="Arial" w:cs="宋体"/>
          <w:bCs/>
          <w:color w:val="auto"/>
          <w:highlight w:val="none"/>
          <w:lang w:eastAsia="zh-CN"/>
        </w:rPr>
        <w:t>（公里）</w:t>
      </w:r>
      <w:r>
        <w:rPr>
          <w:rFonts w:hint="eastAsia" w:hAnsi="Arial" w:cs="宋体"/>
          <w:bCs/>
          <w:color w:val="auto"/>
          <w:highlight w:val="none"/>
        </w:rPr>
        <w:t>”指标，预期指标值</w:t>
      </w:r>
      <w:r>
        <w:rPr>
          <w:rFonts w:hint="eastAsia" w:hAnsi="Arial" w:cs="宋体"/>
          <w:bCs/>
          <w:color w:val="auto"/>
          <w:highlight w:val="none"/>
          <w:lang w:val="en-US" w:eastAsia="zh-CN"/>
        </w:rPr>
        <w:t>为大于等于12.5公里。</w:t>
      </w:r>
    </w:p>
    <w:p>
      <w:pPr>
        <w:ind w:firstLine="560"/>
        <w:rPr>
          <w:rFonts w:hint="eastAsia"/>
          <w:color w:val="auto"/>
          <w:highlight w:val="none"/>
          <w:lang w:val="en-US" w:eastAsia="zh-CN"/>
        </w:rPr>
      </w:pPr>
      <w:r>
        <w:rPr>
          <w:rFonts w:hint="eastAsia"/>
          <w:color w:val="auto"/>
          <w:highlight w:val="none"/>
        </w:rPr>
        <w:t>②质量指标</w:t>
      </w:r>
    </w:p>
    <w:p>
      <w:pPr>
        <w:ind w:firstLine="560"/>
        <w:rPr>
          <w:color w:val="auto"/>
          <w:highlight w:val="none"/>
        </w:rPr>
      </w:pPr>
      <w:r>
        <w:rPr>
          <w:rFonts w:hint="eastAsia"/>
          <w:color w:val="auto"/>
          <w:highlight w:val="none"/>
        </w:rPr>
        <w:t>“项目验收合格率</w:t>
      </w:r>
      <w:r>
        <w:rPr>
          <w:rFonts w:hint="eastAsia"/>
          <w:color w:val="auto"/>
          <w:highlight w:val="none"/>
          <w:lang w:eastAsia="zh-CN"/>
        </w:rPr>
        <w:t>（</w:t>
      </w:r>
      <w:r>
        <w:rPr>
          <w:rFonts w:hint="eastAsia"/>
          <w:color w:val="auto"/>
          <w:highlight w:val="none"/>
          <w:lang w:val="en-US" w:eastAsia="zh-CN"/>
        </w:rPr>
        <w:t>%）</w:t>
      </w:r>
      <w:r>
        <w:rPr>
          <w:rFonts w:hint="eastAsia"/>
          <w:color w:val="auto"/>
          <w:highlight w:val="none"/>
        </w:rPr>
        <w:t>”指标，预期指标值</w:t>
      </w:r>
      <w:r>
        <w:rPr>
          <w:rFonts w:hint="eastAsia"/>
          <w:color w:val="auto"/>
          <w:highlight w:val="none"/>
          <w:lang w:eastAsia="zh-CN"/>
        </w:rPr>
        <w:t>为</w:t>
      </w:r>
      <w:r>
        <w:rPr>
          <w:rFonts w:hint="eastAsia"/>
          <w:color w:val="auto"/>
          <w:highlight w:val="none"/>
        </w:rPr>
        <w:t>100%</w:t>
      </w:r>
      <w:r>
        <w:rPr>
          <w:rFonts w:hint="eastAsia"/>
          <w:color w:val="auto"/>
          <w:highlight w:val="none"/>
          <w:lang w:val="en-US" w:eastAsia="zh-CN"/>
        </w:rPr>
        <w:t>。</w:t>
      </w:r>
    </w:p>
    <w:p>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pPr>
        <w:ind w:firstLine="560"/>
        <w:rPr>
          <w:rFonts w:hint="eastAsia"/>
          <w:color w:val="auto"/>
          <w:highlight w:val="none"/>
          <w:lang w:eastAsia="zh-CN"/>
        </w:rPr>
      </w:pPr>
      <w:r>
        <w:rPr>
          <w:rFonts w:hint="eastAsia"/>
          <w:color w:val="auto"/>
          <w:highlight w:val="none"/>
        </w:rPr>
        <w:t>“项目启动时间”指标，预期指标值</w:t>
      </w:r>
      <w:r>
        <w:rPr>
          <w:rFonts w:hint="eastAsia"/>
          <w:color w:val="auto"/>
          <w:highlight w:val="none"/>
          <w:lang w:eastAsia="zh-CN"/>
        </w:rPr>
        <w:t>为</w:t>
      </w:r>
      <w:r>
        <w:rPr>
          <w:rFonts w:hint="eastAsia"/>
          <w:color w:val="auto"/>
          <w:highlight w:val="none"/>
          <w:lang w:val="en-US" w:eastAsia="zh-CN"/>
        </w:rPr>
        <w:t>2023年3月</w:t>
      </w:r>
      <w:r>
        <w:rPr>
          <w:rFonts w:hint="eastAsia"/>
          <w:color w:val="auto"/>
          <w:highlight w:val="none"/>
          <w:lang w:eastAsia="zh-CN"/>
        </w:rPr>
        <w:t>。</w:t>
      </w:r>
    </w:p>
    <w:p>
      <w:pPr>
        <w:ind w:firstLine="560"/>
        <w:rPr>
          <w:rFonts w:hint="eastAsia"/>
          <w:color w:val="auto"/>
          <w:highlight w:val="none"/>
          <w:lang w:eastAsia="zh-CN"/>
        </w:rPr>
      </w:pPr>
      <w:r>
        <w:rPr>
          <w:rFonts w:hint="eastAsia"/>
          <w:color w:val="auto"/>
          <w:highlight w:val="none"/>
        </w:rPr>
        <w:t>“项目</w:t>
      </w:r>
      <w:r>
        <w:rPr>
          <w:rFonts w:hint="eastAsia"/>
          <w:color w:val="auto"/>
          <w:highlight w:val="none"/>
          <w:lang w:eastAsia="zh-CN"/>
        </w:rPr>
        <w:t>完成</w:t>
      </w:r>
      <w:r>
        <w:rPr>
          <w:rFonts w:hint="eastAsia"/>
          <w:color w:val="auto"/>
          <w:highlight w:val="none"/>
        </w:rPr>
        <w:t>时间”指标，预期指标值</w:t>
      </w:r>
      <w:r>
        <w:rPr>
          <w:rFonts w:hint="eastAsia"/>
          <w:color w:val="auto"/>
          <w:highlight w:val="none"/>
          <w:lang w:eastAsia="zh-CN"/>
        </w:rPr>
        <w:t>为</w:t>
      </w:r>
      <w:r>
        <w:rPr>
          <w:rFonts w:hint="eastAsia"/>
          <w:color w:val="auto"/>
          <w:highlight w:val="none"/>
          <w:lang w:val="en-US" w:eastAsia="zh-CN"/>
        </w:rPr>
        <w:t>2023年8月</w:t>
      </w:r>
      <w:r>
        <w:rPr>
          <w:rFonts w:hint="eastAsia"/>
          <w:color w:val="auto"/>
          <w:highlight w:val="none"/>
          <w:lang w:eastAsia="zh-CN"/>
        </w:rPr>
        <w:t>。</w:t>
      </w:r>
    </w:p>
    <w:p>
      <w:pPr>
        <w:ind w:firstLine="560"/>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（2）项目成本指标</w:t>
      </w:r>
    </w:p>
    <w:p>
      <w:pPr>
        <w:ind w:firstLine="560"/>
        <w:rPr>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ind w:firstLine="560"/>
        <w:rPr>
          <w:rFonts w:hint="eastAsia"/>
          <w:color w:val="auto"/>
          <w:highlight w:val="none"/>
        </w:rPr>
      </w:pPr>
      <w:r>
        <w:rPr>
          <w:rFonts w:hint="eastAsia"/>
          <w:color w:val="auto"/>
          <w:highlight w:val="none"/>
        </w:rPr>
        <w:t>“硬化灌溉渠道费用”指标，预期指标值为</w:t>
      </w:r>
      <w:r>
        <w:rPr>
          <w:rFonts w:hint="eastAsia"/>
          <w:color w:val="auto"/>
          <w:highlight w:val="none"/>
          <w:lang w:val="en-US" w:eastAsia="zh-CN"/>
        </w:rPr>
        <w:t>小于等于171.94万元</w:t>
      </w:r>
      <w:r>
        <w:rPr>
          <w:rFonts w:hint="eastAsia"/>
          <w:color w:val="auto"/>
          <w:highlight w:val="none"/>
        </w:rPr>
        <w:t>；</w:t>
      </w:r>
    </w:p>
    <w:p>
      <w:pPr>
        <w:ind w:firstLine="560"/>
        <w:rPr>
          <w:color w:val="auto"/>
          <w:highlight w:val="none"/>
        </w:rPr>
      </w:pPr>
      <w:r>
        <w:rPr>
          <w:rFonts w:hint="eastAsia"/>
          <w:color w:val="auto"/>
          <w:highlight w:val="none"/>
        </w:rPr>
        <w:t>“前期费用”指标，预期指标值为</w:t>
      </w:r>
      <w:r>
        <w:rPr>
          <w:rFonts w:hint="eastAsia"/>
          <w:color w:val="auto"/>
          <w:highlight w:val="none"/>
          <w:lang w:val="en-US" w:eastAsia="zh-CN"/>
        </w:rPr>
        <w:t>小于等于7.26万元</w:t>
      </w:r>
      <w:r>
        <w:rPr>
          <w:rFonts w:hint="eastAsia"/>
          <w:color w:val="auto"/>
          <w:highlight w:val="none"/>
        </w:rPr>
        <w:t>；</w:t>
      </w:r>
    </w:p>
    <w:p>
      <w:pPr>
        <w:ind w:firstLine="560"/>
        <w:rPr>
          <w:color w:val="auto"/>
          <w:highlight w:val="none"/>
        </w:rPr>
      </w:pPr>
      <w:r>
        <w:rPr>
          <w:rFonts w:hint="eastAsia"/>
          <w:color w:val="auto"/>
          <w:highlight w:val="none"/>
        </w:rPr>
        <w:t>②</w:t>
      </w:r>
      <w:r>
        <w:rPr>
          <w:rFonts w:hint="eastAsia"/>
          <w:color w:val="auto"/>
          <w:highlight w:val="none"/>
          <w:lang w:val="en-US" w:eastAsia="zh-CN"/>
        </w:rPr>
        <w:t>社会</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color w:val="auto"/>
          <w:highlight w:val="none"/>
        </w:rPr>
      </w:pPr>
      <w:r>
        <w:rPr>
          <w:rFonts w:hint="eastAsia"/>
          <w:color w:val="auto"/>
          <w:highlight w:val="none"/>
        </w:rPr>
        <w:t>③</w:t>
      </w:r>
      <w:r>
        <w:rPr>
          <w:rFonts w:hint="eastAsia"/>
          <w:color w:val="auto"/>
          <w:highlight w:val="none"/>
          <w:lang w:val="en-US" w:eastAsia="zh-CN"/>
        </w:rPr>
        <w:t>生态环境</w:t>
      </w:r>
      <w:r>
        <w:rPr>
          <w:rFonts w:hint="eastAsia"/>
          <w:color w:val="auto"/>
          <w:highlight w:val="none"/>
        </w:rPr>
        <w:t>成本指标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lang w:val="en-US" w:eastAsia="zh-CN"/>
        </w:rPr>
        <w:t>（3）项目效益指标</w:t>
      </w:r>
    </w:p>
    <w:p>
      <w:pPr>
        <w:ind w:firstLine="560"/>
        <w:rPr>
          <w:color w:val="auto"/>
          <w:highlight w:val="none"/>
        </w:rPr>
      </w:pPr>
      <w:r>
        <w:rPr>
          <w:rFonts w:hint="eastAsia"/>
          <w:color w:val="auto"/>
          <w:highlight w:val="none"/>
        </w:rPr>
        <w:t>①社会效益指标</w:t>
      </w:r>
    </w:p>
    <w:p>
      <w:pPr>
        <w:ind w:firstLine="560"/>
        <w:rPr>
          <w:color w:val="auto"/>
          <w:highlight w:val="none"/>
        </w:rPr>
      </w:pPr>
      <w:r>
        <w:rPr>
          <w:rFonts w:hint="eastAsia"/>
          <w:color w:val="auto"/>
          <w:highlight w:val="none"/>
        </w:rPr>
        <w:t>“项目扶持受益移民村(不含建成美丽）</w:t>
      </w:r>
      <w:r>
        <w:rPr>
          <w:rFonts w:hint="eastAsia"/>
          <w:color w:val="auto"/>
          <w:highlight w:val="none"/>
          <w:lang w:eastAsia="zh-CN"/>
        </w:rPr>
        <w:t>（个）</w:t>
      </w:r>
      <w:r>
        <w:rPr>
          <w:rFonts w:hint="eastAsia"/>
          <w:color w:val="auto"/>
          <w:highlight w:val="none"/>
        </w:rPr>
        <w:t>”指标，预期指标值为</w:t>
      </w:r>
      <w:r>
        <w:rPr>
          <w:rFonts w:hint="eastAsia"/>
          <w:color w:val="auto"/>
          <w:highlight w:val="none"/>
          <w:lang w:val="en-US" w:eastAsia="zh-CN"/>
        </w:rPr>
        <w:t>1个</w:t>
      </w:r>
      <w:r>
        <w:rPr>
          <w:rFonts w:hint="eastAsia"/>
          <w:color w:val="auto"/>
          <w:highlight w:val="none"/>
        </w:rPr>
        <w:t>；</w:t>
      </w:r>
    </w:p>
    <w:p>
      <w:pPr>
        <w:ind w:firstLine="560"/>
        <w:rPr>
          <w:color w:val="auto"/>
          <w:highlight w:val="none"/>
        </w:rPr>
      </w:pPr>
      <w:r>
        <w:rPr>
          <w:rFonts w:hint="eastAsia"/>
          <w:color w:val="auto"/>
          <w:highlight w:val="none"/>
        </w:rPr>
        <w:t>“</w:t>
      </w:r>
      <w:r>
        <w:rPr>
          <w:rFonts w:hint="eastAsia" w:ascii="仿宋_GB2312" w:hAnsi="仿宋_GB2312" w:cs="仿宋_GB2312"/>
          <w:color w:val="auto"/>
          <w:sz w:val="28"/>
          <w:szCs w:val="28"/>
          <w:highlight w:val="none"/>
          <w:lang w:val="en-US" w:eastAsia="zh-CN"/>
        </w:rPr>
        <w:t>带动收入增加的村民人数</w:t>
      </w:r>
      <w:r>
        <w:rPr>
          <w:rFonts w:hint="eastAsia"/>
          <w:color w:val="auto"/>
          <w:highlight w:val="none"/>
        </w:rPr>
        <w:t>”指标，预期指标值为</w:t>
      </w:r>
      <w:r>
        <w:rPr>
          <w:rFonts w:hint="eastAsia"/>
          <w:color w:val="auto"/>
          <w:highlight w:val="none"/>
          <w:lang w:val="en-US" w:eastAsia="zh-CN"/>
        </w:rPr>
        <w:t>401</w:t>
      </w:r>
      <w:r>
        <w:rPr>
          <w:rFonts w:hint="eastAsia"/>
          <w:color w:val="auto"/>
          <w:highlight w:val="none"/>
        </w:rPr>
        <w:t>人；</w:t>
      </w:r>
    </w:p>
    <w:p>
      <w:pPr>
        <w:ind w:firstLine="560"/>
        <w:rPr>
          <w:color w:val="auto"/>
          <w:highlight w:val="none"/>
        </w:rPr>
      </w:pPr>
      <w:r>
        <w:rPr>
          <w:rFonts w:hint="eastAsia"/>
          <w:color w:val="auto"/>
          <w:highlight w:val="none"/>
        </w:rPr>
        <w:t>②生态效益指标</w:t>
      </w:r>
    </w:p>
    <w:p>
      <w:pPr>
        <w:ind w:firstLine="560"/>
        <w:rPr>
          <w:color w:val="auto"/>
          <w:highlight w:val="none"/>
        </w:rPr>
      </w:pPr>
      <w:r>
        <w:rPr>
          <w:rFonts w:hint="eastAsia"/>
          <w:color w:val="auto"/>
          <w:highlight w:val="none"/>
        </w:rPr>
        <w:t>“</w:t>
      </w:r>
      <w:r>
        <w:rPr>
          <w:rFonts w:hint="eastAsia"/>
          <w:color w:val="auto"/>
          <w:highlight w:val="none"/>
          <w:lang w:val="en-US" w:eastAsia="zh-CN"/>
        </w:rPr>
        <w:t>改善当地移民群众生活环境质量</w:t>
      </w:r>
      <w:r>
        <w:rPr>
          <w:rFonts w:hint="eastAsia"/>
          <w:color w:val="auto"/>
          <w:highlight w:val="none"/>
        </w:rPr>
        <w:t>”</w:t>
      </w:r>
      <w:r>
        <w:rPr>
          <w:rFonts w:hint="eastAsia"/>
          <w:color w:val="auto"/>
          <w:highlight w:val="none"/>
          <w:lang w:val="en-US" w:eastAsia="zh-CN"/>
        </w:rPr>
        <w:t>指标，</w:t>
      </w:r>
      <w:r>
        <w:rPr>
          <w:rFonts w:hint="eastAsia"/>
          <w:color w:val="auto"/>
          <w:highlight w:val="none"/>
        </w:rPr>
        <w:t>预期指标值为</w:t>
      </w:r>
      <w:r>
        <w:rPr>
          <w:rFonts w:hint="eastAsia"/>
          <w:color w:val="auto"/>
          <w:highlight w:val="none"/>
          <w:lang w:val="en-US" w:eastAsia="zh-CN"/>
        </w:rPr>
        <w:t>明显改善</w:t>
      </w:r>
      <w:r>
        <w:rPr>
          <w:rFonts w:hint="eastAsia"/>
          <w:color w:val="auto"/>
          <w:highlight w:val="none"/>
        </w:rPr>
        <w:t>；</w:t>
      </w:r>
    </w:p>
    <w:p>
      <w:pPr>
        <w:ind w:firstLine="562"/>
        <w:rPr>
          <w:rFonts w:hint="eastAsia" w:ascii="仿宋" w:hAnsi="仿宋" w:eastAsia="仿宋"/>
          <w:b/>
          <w:color w:val="auto"/>
          <w:highlight w:val="none"/>
          <w:lang w:val="en-US" w:eastAsia="zh-CN"/>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4</w:t>
      </w:r>
      <w:r>
        <w:rPr>
          <w:rFonts w:hint="eastAsia" w:ascii="仿宋" w:hAnsi="仿宋" w:eastAsia="仿宋"/>
          <w:b/>
          <w:color w:val="auto"/>
          <w:highlight w:val="none"/>
        </w:rPr>
        <w:t>）满意度</w:t>
      </w:r>
      <w:r>
        <w:rPr>
          <w:rFonts w:hint="eastAsia" w:ascii="仿宋" w:hAnsi="仿宋" w:eastAsia="仿宋"/>
          <w:b/>
          <w:color w:val="auto"/>
          <w:highlight w:val="none"/>
          <w:lang w:val="en-US" w:eastAsia="zh-CN"/>
        </w:rPr>
        <w:t>指标</w:t>
      </w:r>
    </w:p>
    <w:p>
      <w:pPr>
        <w:ind w:firstLine="560"/>
        <w:rPr>
          <w:rFonts w:hint="eastAsia"/>
          <w:color w:val="auto"/>
          <w:highlight w:val="none"/>
        </w:rPr>
      </w:pPr>
      <w:r>
        <w:rPr>
          <w:rFonts w:hint="eastAsia"/>
          <w:color w:val="auto"/>
          <w:highlight w:val="none"/>
        </w:rPr>
        <w:t>“移民对后期扶持政策实施满意度</w:t>
      </w:r>
      <w:r>
        <w:rPr>
          <w:rFonts w:hint="eastAsia"/>
          <w:color w:val="auto"/>
          <w:highlight w:val="none"/>
          <w:lang w:eastAsia="zh-CN"/>
        </w:rPr>
        <w:t>（</w:t>
      </w:r>
      <w:r>
        <w:rPr>
          <w:rFonts w:hint="eastAsia"/>
          <w:color w:val="auto"/>
          <w:highlight w:val="none"/>
          <w:lang w:val="en-US" w:eastAsia="zh-CN"/>
        </w:rPr>
        <w:t>%</w:t>
      </w:r>
      <w:r>
        <w:rPr>
          <w:rFonts w:hint="eastAsia"/>
          <w:color w:val="auto"/>
          <w:highlight w:val="none"/>
          <w:lang w:eastAsia="zh-CN"/>
        </w:rPr>
        <w:t>）</w:t>
      </w:r>
      <w:r>
        <w:rPr>
          <w:rFonts w:hint="eastAsia"/>
          <w:color w:val="auto"/>
          <w:highlight w:val="none"/>
        </w:rPr>
        <w:t>”指标，预期指标值为</w:t>
      </w:r>
      <w:r>
        <w:rPr>
          <w:rFonts w:hint="eastAsia"/>
          <w:color w:val="auto"/>
          <w:highlight w:val="none"/>
          <w:lang w:val="en-US" w:eastAsia="zh-CN"/>
        </w:rPr>
        <w:t>大于等于</w:t>
      </w:r>
      <w:r>
        <w:rPr>
          <w:rFonts w:hint="eastAsia"/>
          <w:color w:val="auto"/>
          <w:highlight w:val="none"/>
        </w:rPr>
        <w:t>9</w:t>
      </w:r>
      <w:r>
        <w:rPr>
          <w:rFonts w:hint="eastAsia"/>
          <w:color w:val="auto"/>
          <w:highlight w:val="none"/>
          <w:lang w:val="en-US" w:eastAsia="zh-CN"/>
        </w:rPr>
        <w:t>0</w:t>
      </w:r>
      <w:r>
        <w:rPr>
          <w:rFonts w:hint="eastAsia"/>
          <w:color w:val="auto"/>
          <w:highlight w:val="none"/>
        </w:rPr>
        <w:t>%；</w:t>
      </w:r>
    </w:p>
    <w:p>
      <w:pPr>
        <w:pStyle w:val="3"/>
        <w:ind w:firstLine="640"/>
        <w:rPr>
          <w:color w:val="auto"/>
          <w:highlight w:val="none"/>
        </w:rPr>
      </w:pPr>
      <w:r>
        <w:rPr>
          <w:rFonts w:hint="eastAsia"/>
          <w:color w:val="auto"/>
          <w:highlight w:val="none"/>
        </w:rPr>
        <w:t>二、绩效评价工作开展情况</w:t>
      </w:r>
    </w:p>
    <w:p>
      <w:pPr>
        <w:pStyle w:val="4"/>
        <w:numPr>
          <w:ilvl w:val="0"/>
          <w:numId w:val="1"/>
        </w:numPr>
        <w:ind w:firstLine="643"/>
        <w:rPr>
          <w:rFonts w:ascii="楷体" w:hAnsi="楷体" w:cs="楷体"/>
          <w:color w:val="auto"/>
          <w:szCs w:val="32"/>
          <w:highlight w:val="none"/>
        </w:rPr>
      </w:pPr>
      <w:bookmarkStart w:id="0" w:name="_Toc22169_WPSOffice_Level2"/>
      <w:bookmarkStart w:id="1" w:name="_Toc480473081"/>
      <w:bookmarkStart w:id="2" w:name="_Toc26632"/>
      <w:bookmarkStart w:id="3" w:name="_Toc5462343"/>
      <w:bookmarkStart w:id="4" w:name="_Toc21664"/>
      <w:bookmarkStart w:id="5" w:name="_Toc5258"/>
      <w:bookmarkStart w:id="6" w:name="_Toc12868"/>
      <w:bookmarkStart w:id="7" w:name="_Toc2292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5"/>
        <w:ind w:firstLine="562"/>
        <w:rPr>
          <w:rFonts w:hint="eastAsia"/>
          <w:color w:val="auto"/>
          <w:highlight w:val="none"/>
        </w:rPr>
      </w:pPr>
      <w:r>
        <w:rPr>
          <w:rFonts w:hint="eastAsia"/>
          <w:color w:val="auto"/>
          <w:highlight w:val="none"/>
        </w:rPr>
        <w:t>1.绩效评价的目的</w:t>
      </w:r>
    </w:p>
    <w:p>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5"/>
        <w:ind w:firstLine="562"/>
        <w:rPr>
          <w:rFonts w:hint="eastAsia"/>
          <w:color w:val="auto"/>
          <w:highlight w:val="none"/>
        </w:rPr>
      </w:pPr>
      <w:r>
        <w:rPr>
          <w:rFonts w:hint="eastAsia"/>
          <w:color w:val="auto"/>
          <w:highlight w:val="none"/>
        </w:rPr>
        <w:t>2.绩效评价对象</w:t>
      </w:r>
    </w:p>
    <w:p>
      <w:pPr>
        <w:spacing w:line="600" w:lineRule="exact"/>
        <w:ind w:firstLine="560"/>
        <w:rPr>
          <w:rFonts w:hint="eastAsia"/>
          <w:color w:val="auto"/>
          <w:highlight w:val="none"/>
        </w:rPr>
      </w:pPr>
      <w:r>
        <w:rPr>
          <w:rFonts w:hint="eastAsia"/>
          <w:color w:val="auto"/>
          <w:highlight w:val="none"/>
        </w:rPr>
        <w:t>此次我单位根据《财政支出绩效评价管理暂行办法》（财预〔2020〕10号）文件要求实施评价工作，本次评价对象为</w:t>
      </w:r>
      <w:r>
        <w:rPr>
          <w:rFonts w:hint="default"/>
          <w:color w:val="auto"/>
          <w:highlight w:val="none"/>
        </w:rPr>
        <w:t>托克逊县2023年克尔碱镇英阿瓦提村渠道硬化项目</w:t>
      </w:r>
      <w:r>
        <w:rPr>
          <w:rFonts w:hint="eastAsia"/>
          <w:color w:val="auto"/>
          <w:highlight w:val="none"/>
        </w:rPr>
        <w:t>，评价核心为项目</w:t>
      </w:r>
      <w:r>
        <w:rPr>
          <w:rFonts w:hint="eastAsia"/>
          <w:color w:val="auto"/>
          <w:highlight w:val="none"/>
          <w:lang w:val="en-US" w:eastAsia="zh-CN"/>
        </w:rPr>
        <w:t>的资金投入、产出及效益</w:t>
      </w:r>
      <w:r>
        <w:rPr>
          <w:rFonts w:hint="eastAsia"/>
          <w:color w:val="auto"/>
          <w:highlight w:val="none"/>
        </w:rPr>
        <w:t>。</w:t>
      </w:r>
    </w:p>
    <w:p>
      <w:pPr>
        <w:pStyle w:val="5"/>
        <w:ind w:firstLine="562"/>
        <w:rPr>
          <w:rFonts w:hint="eastAsia"/>
          <w:color w:val="auto"/>
          <w:highlight w:val="none"/>
        </w:rPr>
      </w:pPr>
      <w:r>
        <w:rPr>
          <w:rFonts w:hint="eastAsia"/>
          <w:color w:val="auto"/>
          <w:highlight w:val="none"/>
        </w:rPr>
        <w:t>3.绩效评价范围</w:t>
      </w:r>
    </w:p>
    <w:p>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pPr>
        <w:pStyle w:val="4"/>
        <w:numPr>
          <w:ilvl w:val="0"/>
          <w:numId w:val="1"/>
        </w:numPr>
        <w:ind w:firstLine="643"/>
        <w:rPr>
          <w:color w:val="auto"/>
          <w:highlight w:val="none"/>
        </w:rPr>
      </w:pPr>
      <w:r>
        <w:rPr>
          <w:rFonts w:hint="eastAsia"/>
          <w:color w:val="auto"/>
          <w:highlight w:val="none"/>
        </w:rPr>
        <w:t>绩效评价原则、评价指标体系、评价方法评价标准</w:t>
      </w:r>
    </w:p>
    <w:p>
      <w:pPr>
        <w:pStyle w:val="5"/>
        <w:ind w:firstLine="562"/>
        <w:rPr>
          <w:color w:val="auto"/>
          <w:highlight w:val="none"/>
        </w:rPr>
      </w:pPr>
      <w:r>
        <w:rPr>
          <w:rFonts w:hint="eastAsia"/>
          <w:color w:val="auto"/>
          <w:highlight w:val="none"/>
        </w:rPr>
        <w:t>1.绩效评价原则</w:t>
      </w:r>
    </w:p>
    <w:p>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pPr>
        <w:snapToGrid w:val="0"/>
        <w:ind w:firstLine="560"/>
        <w:rPr>
          <w:color w:val="auto"/>
          <w:highlight w:val="none"/>
        </w:rPr>
      </w:pPr>
      <w:r>
        <w:rPr>
          <w:rFonts w:hint="eastAsia"/>
          <w:color w:val="auto"/>
          <w:highlight w:val="none"/>
        </w:rPr>
        <w:t>（4）公开透明。绩效评价结果应依法依规公开，并自觉接受社会监督。</w:t>
      </w:r>
    </w:p>
    <w:p>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5"/>
        <w:ind w:firstLine="562"/>
        <w:rPr>
          <w:color w:val="auto"/>
          <w:highlight w:val="none"/>
        </w:rPr>
      </w:pPr>
      <w:bookmarkStart w:id="8" w:name="_Toc428278230"/>
      <w:bookmarkStart w:id="9" w:name="_Toc419984722"/>
      <w:bookmarkStart w:id="10" w:name="_Toc26131"/>
      <w:bookmarkStart w:id="11" w:name="_Toc1913"/>
      <w:r>
        <w:rPr>
          <w:rFonts w:hint="eastAsia"/>
          <w:color w:val="auto"/>
          <w:highlight w:val="none"/>
        </w:rPr>
        <w:t>2.绩效评价指标体系</w:t>
      </w:r>
      <w:bookmarkEnd w:id="8"/>
      <w:bookmarkEnd w:id="9"/>
      <w:bookmarkEnd w:id="10"/>
      <w:bookmarkEnd w:id="11"/>
    </w:p>
    <w:p>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pPr>
        <w:pStyle w:val="5"/>
        <w:ind w:firstLine="562"/>
        <w:rPr>
          <w:color w:val="auto"/>
          <w:highlight w:val="none"/>
        </w:rPr>
      </w:pPr>
      <w:r>
        <w:rPr>
          <w:rFonts w:hint="eastAsia"/>
          <w:color w:val="auto"/>
          <w:highlight w:val="none"/>
        </w:rPr>
        <w:t>3.评价方法</w:t>
      </w:r>
    </w:p>
    <w:p>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pPr>
        <w:pStyle w:val="8"/>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pPr>
        <w:pStyle w:val="8"/>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pPr>
        <w:pStyle w:val="8"/>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pPr>
        <w:pStyle w:val="8"/>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pPr>
        <w:pStyle w:val="8"/>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pPr>
        <w:pStyle w:val="8"/>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pPr>
        <w:pStyle w:val="8"/>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pPr>
        <w:pStyle w:val="8"/>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8"/>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8"/>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pPr>
        <w:pStyle w:val="8"/>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pPr>
        <w:pStyle w:val="5"/>
        <w:ind w:firstLine="562"/>
        <w:rPr>
          <w:color w:val="auto"/>
          <w:highlight w:val="none"/>
        </w:rPr>
      </w:pPr>
      <w:r>
        <w:rPr>
          <w:rFonts w:hint="eastAsia"/>
          <w:color w:val="auto"/>
          <w:highlight w:val="none"/>
        </w:rPr>
        <w:t>4.评价标准</w:t>
      </w:r>
    </w:p>
    <w:p>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4"/>
        <w:numPr>
          <w:ilvl w:val="0"/>
          <w:numId w:val="1"/>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keepNext w:val="0"/>
        <w:keepLines w:val="0"/>
        <w:pageBreakBefore w:val="0"/>
        <w:widowControl w:val="0"/>
        <w:kinsoku/>
        <w:wordWrap/>
        <w:overflowPunct/>
        <w:topLinePunct w:val="0"/>
        <w:bidi w:val="0"/>
        <w:spacing w:line="560" w:lineRule="exact"/>
        <w:ind w:left="0" w:leftChars="0" w:firstLine="560" w:firstLineChars="200"/>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ind w:firstLine="560"/>
        <w:rPr>
          <w:rFonts w:hint="default"/>
          <w:color w:val="auto"/>
          <w:highlight w:val="none"/>
          <w:lang w:val="en-US" w:eastAsia="zh-CN"/>
        </w:rPr>
      </w:pPr>
      <w:r>
        <w:rPr>
          <w:rFonts w:hint="eastAsia"/>
          <w:color w:val="auto"/>
          <w:highlight w:val="none"/>
          <w:lang w:val="en-US" w:eastAsia="zh-CN"/>
        </w:rPr>
        <w:t>（1）评价组组长：</w:t>
      </w:r>
      <w:r>
        <w:rPr>
          <w:rStyle w:val="16"/>
          <w:rFonts w:hint="eastAsia" w:ascii="仿宋_GB2312" w:hAnsi="仿宋_GB2312" w:cs="仿宋_GB2312"/>
          <w:b w:val="0"/>
          <w:color w:val="auto"/>
          <w:spacing w:val="-4"/>
          <w:sz w:val="28"/>
          <w:szCs w:val="28"/>
          <w:highlight w:val="none"/>
          <w:lang w:val="en-US" w:eastAsia="zh-CN"/>
        </w:rPr>
        <w:t>朱永刚书记</w:t>
      </w:r>
      <w:r>
        <w:rPr>
          <w:rFonts w:hint="eastAsia"/>
          <w:color w:val="auto"/>
          <w:highlight w:val="none"/>
          <w:lang w:val="en-US" w:eastAsia="zh-CN"/>
        </w:rPr>
        <w:t>，</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（2）评价组成员：</w:t>
      </w:r>
      <w:r>
        <w:rPr>
          <w:rStyle w:val="16"/>
          <w:rFonts w:hint="eastAsia" w:ascii="仿宋_GB2312" w:hAnsi="仿宋_GB2312" w:cs="仿宋_GB2312"/>
          <w:b w:val="0"/>
          <w:color w:val="auto"/>
          <w:spacing w:val="-4"/>
          <w:sz w:val="28"/>
          <w:szCs w:val="28"/>
          <w:highlight w:val="none"/>
          <w:lang w:val="en-US" w:eastAsia="zh-CN"/>
        </w:rPr>
        <w:t>依再提古丽·艾米都力、阿拉法特·艾合拜</w:t>
      </w:r>
      <w:r>
        <w:rPr>
          <w:rFonts w:hint="eastAsia"/>
          <w:color w:val="auto"/>
          <w:highlight w:val="none"/>
          <w:lang w:val="en-US" w:eastAsia="zh-CN"/>
        </w:rPr>
        <w:t>，</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keepNext w:val="0"/>
        <w:keepLines w:val="0"/>
        <w:pageBreakBefore w:val="0"/>
        <w:widowControl w:val="0"/>
        <w:kinsoku/>
        <w:wordWrap/>
        <w:overflowPunct/>
        <w:topLinePunct w:val="0"/>
        <w:bidi w:val="0"/>
        <w:spacing w:line="560" w:lineRule="exact"/>
        <w:ind w:left="0" w:leftChars="0" w:firstLine="560" w:firstLineChars="200"/>
        <w:textAlignment w:val="auto"/>
        <w:rPr>
          <w:rFonts w:hint="eastAsia"/>
          <w:color w:val="auto"/>
          <w:highlight w:val="none"/>
          <w:lang w:val="en-US" w:eastAsia="zh-CN"/>
        </w:rPr>
      </w:pPr>
      <w:r>
        <w:rPr>
          <w:rFonts w:hint="eastAsia"/>
          <w:color w:val="auto"/>
          <w:highlight w:val="none"/>
          <w:lang w:val="en-US" w:eastAsia="zh-CN"/>
        </w:rPr>
        <w:t>（3）评价组成员：</w:t>
      </w:r>
      <w:r>
        <w:rPr>
          <w:rStyle w:val="16"/>
          <w:rFonts w:hint="eastAsia" w:ascii="仿宋_GB2312" w:hAnsi="仿宋_GB2312" w:cs="仿宋_GB2312"/>
          <w:b w:val="0"/>
          <w:color w:val="auto"/>
          <w:spacing w:val="-4"/>
          <w:sz w:val="28"/>
          <w:szCs w:val="28"/>
          <w:highlight w:val="none"/>
          <w:lang w:val="en-US" w:eastAsia="zh-CN"/>
        </w:rPr>
        <w:t>阿不都外力·艾音丁、李东伟、余栎</w:t>
      </w:r>
      <w:r>
        <w:rPr>
          <w:rFonts w:hint="eastAsia"/>
          <w:color w:val="auto"/>
          <w:highlight w:val="none"/>
          <w:lang w:val="en-US" w:eastAsia="zh-CN"/>
        </w:rPr>
        <w:t>，</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keepNext w:val="0"/>
        <w:keepLines w:val="0"/>
        <w:pageBreakBefore w:val="0"/>
        <w:widowControl w:val="0"/>
        <w:numPr>
          <w:ilvl w:val="0"/>
          <w:numId w:val="0"/>
        </w:numPr>
        <w:kinsoku/>
        <w:wordWrap/>
        <w:overflowPunct/>
        <w:topLinePunct w:val="0"/>
        <w:bidi w:val="0"/>
        <w:spacing w:line="560" w:lineRule="exact"/>
        <w:ind w:left="0" w:leftChars="0" w:firstLine="560" w:firstLineChars="200"/>
        <w:jc w:val="left"/>
        <w:textAlignment w:val="auto"/>
        <w:rPr>
          <w:rStyle w:val="16"/>
          <w:rFonts w:hint="eastAsia" w:ascii="仿宋_GB2312" w:hAnsi="仿宋_GB2312" w:eastAsia="仿宋_GB2312" w:cs="仿宋_GB2312"/>
          <w:b w:val="0"/>
          <w:color w:val="auto"/>
          <w:spacing w:val="-4"/>
          <w:sz w:val="28"/>
          <w:szCs w:val="28"/>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2</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8</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6</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11</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12</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5"/>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5"/>
        <w:bidi w:val="0"/>
        <w:rPr>
          <w:rFonts w:hint="eastAsia"/>
          <w:color w:val="auto"/>
          <w:highlight w:val="none"/>
          <w:lang w:val="en-US" w:eastAsia="zh-CN"/>
        </w:rPr>
      </w:pPr>
      <w:r>
        <w:rPr>
          <w:rFonts w:hint="eastAsia"/>
          <w:color w:val="auto"/>
          <w:highlight w:val="none"/>
          <w:lang w:val="en-US" w:eastAsia="zh-CN"/>
        </w:rPr>
        <w:t>5.归集档案</w:t>
      </w:r>
      <w:bookmarkEnd w:id="12"/>
    </w:p>
    <w:p>
      <w:pPr>
        <w:bidi w:val="0"/>
        <w:rPr>
          <w:rFonts w:hint="eastAsia"/>
          <w:color w:val="auto"/>
          <w:highlight w:val="none"/>
          <w:lang w:val="en-US" w:eastAsia="zh-CN"/>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rPr>
          <w:color w:val="auto"/>
          <w:highlight w:val="none"/>
        </w:rPr>
      </w:pPr>
      <w:r>
        <w:rPr>
          <w:rFonts w:hint="eastAsia"/>
          <w:color w:val="auto"/>
          <w:highlight w:val="none"/>
        </w:rPr>
        <w:t>　</w:t>
      </w:r>
    </w:p>
    <w:p>
      <w:pPr>
        <w:pStyle w:val="3"/>
        <w:numPr>
          <w:ilvl w:val="0"/>
          <w:numId w:val="2"/>
        </w:numPr>
        <w:ind w:firstLine="640"/>
        <w:rPr>
          <w:color w:val="auto"/>
          <w:highlight w:val="none"/>
        </w:rPr>
      </w:pPr>
      <w:r>
        <w:rPr>
          <w:rFonts w:hint="eastAsia"/>
          <w:color w:val="auto"/>
          <w:highlight w:val="none"/>
        </w:rPr>
        <w:t>综合评价情况及评价结论</w:t>
      </w:r>
    </w:p>
    <w:p>
      <w:pPr>
        <w:pStyle w:val="4"/>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rPr>
          <w:rFonts w:hint="eastAsia" w:ascii="Times New Roman" w:hAnsi="Times New Roman" w:cs="Times New Roman"/>
          <w:color w:val="auto"/>
          <w:highlight w:val="none"/>
          <w:lang w:val="en-US" w:eastAsia="zh-CN"/>
        </w:rPr>
      </w:pPr>
      <w:bookmarkStart w:id="14" w:name="_Toc68364666"/>
      <w:r>
        <w:rPr>
          <w:rFonts w:hint="eastAsia" w:ascii="Times New Roman" w:hAnsi="Times New Roman" w:cs="Times New Roman"/>
          <w:color w:val="auto"/>
          <w:highlight w:val="none"/>
          <w:lang w:val="en-US" w:eastAsia="zh-CN"/>
        </w:rPr>
        <w:t>经评价，本项目达成年初设立的绩效目标，项目总体组织规范，在实施过程中取得了良好的成效，具体表现在以下三个方面：</w:t>
      </w:r>
    </w:p>
    <w:p>
      <w:pPr>
        <w:bidi w:val="0"/>
        <w:rPr>
          <w:rFonts w:hint="eastAsia"/>
          <w:color w:val="auto"/>
          <w:highlight w:val="none"/>
        </w:rPr>
      </w:pPr>
      <w:r>
        <w:rPr>
          <w:rFonts w:hint="eastAsia"/>
          <w:color w:val="auto"/>
          <w:highlight w:val="none"/>
        </w:rPr>
        <w:t>项目决策方面</w:t>
      </w:r>
      <w:r>
        <w:rPr>
          <w:rFonts w:hint="eastAsia"/>
          <w:color w:val="auto"/>
          <w:highlight w:val="none"/>
          <w:lang w:eastAsia="zh-CN"/>
        </w:rPr>
        <w:t>：</w:t>
      </w:r>
      <w:r>
        <w:rPr>
          <w:rFonts w:hint="eastAsia"/>
          <w:color w:val="auto"/>
          <w:highlight w:val="none"/>
          <w:lang w:val="en-US" w:eastAsia="zh-CN"/>
        </w:rPr>
        <w:t>项目立项符合法律法规、相关政策、发展规划以及部门职责；项目申请、设立过程符合相关要求；项目所设定的绩效目标依据充分，符合客观实际；项目预算编制经过科学论证、有明确标准，资金额度与年度目标相适应；项目预算资金分配有测算依据，与补助单位或地方实际相适应；依据绩效目标设定的绩效指标虽然进行了细化，但不够清晰明确、个别指标可衡量性不足，需要进一步提升绩效目标填报质量。</w:t>
      </w:r>
    </w:p>
    <w:p>
      <w:pPr>
        <w:bidi w:val="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lang w:val="en-US" w:eastAsia="zh-CN"/>
        </w:rPr>
        <w:t>项目预算资金按照计划执行，项目资金使用符合相关的财务管理制度规定，项目实施单位的财务和业务管理制度健全，项目实施符合相关管理规定，项目资料归档及时并完整。</w:t>
      </w:r>
    </w:p>
    <w:p>
      <w:pPr>
        <w:bidi w:val="0"/>
        <w:rPr>
          <w:rFonts w:hint="default"/>
          <w:color w:val="auto"/>
          <w:highlight w:val="none"/>
          <w:lang w:val="en-US" w:eastAsia="zh-CN"/>
        </w:rPr>
      </w:pPr>
      <w:r>
        <w:rPr>
          <w:rFonts w:hint="eastAsia"/>
          <w:color w:val="auto"/>
          <w:highlight w:val="none"/>
          <w:lang w:eastAsia="zh-CN"/>
        </w:rPr>
        <w:t>项目产出及效益方面：本项目于</w:t>
      </w:r>
      <w:r>
        <w:rPr>
          <w:rFonts w:hint="eastAsia"/>
          <w:color w:val="auto"/>
          <w:highlight w:val="none"/>
        </w:rPr>
        <w:t>2023年3月15日委托新疆德宏招标代理有限公司对托克逊县克尔碱镇英阿瓦提村渠道硬化项目完成工程招投标等有关事宜，于2023年4月7日开工，2023年8月完工</w:t>
      </w:r>
      <w:r>
        <w:rPr>
          <w:rFonts w:hint="eastAsia"/>
          <w:color w:val="auto"/>
          <w:highlight w:val="none"/>
          <w:lang w:eastAsia="zh-CN"/>
        </w:rPr>
        <w:t>并</w:t>
      </w:r>
      <w:r>
        <w:rPr>
          <w:rFonts w:hint="eastAsia"/>
          <w:color w:val="auto"/>
          <w:highlight w:val="none"/>
        </w:rPr>
        <w:t>验收，按照计划完成</w:t>
      </w:r>
      <w:r>
        <w:rPr>
          <w:rFonts w:hint="eastAsia"/>
          <w:color w:val="auto"/>
          <w:highlight w:val="none"/>
          <w:lang w:eastAsia="zh-CN"/>
        </w:rPr>
        <w:t>了</w:t>
      </w:r>
      <w:r>
        <w:rPr>
          <w:rFonts w:hint="eastAsia"/>
          <w:color w:val="auto"/>
          <w:highlight w:val="none"/>
        </w:rPr>
        <w:t>克尔碱镇英阿瓦提村渠道硬化工程12.5公里，</w:t>
      </w:r>
      <w:r>
        <w:rPr>
          <w:rFonts w:hint="eastAsia"/>
          <w:color w:val="auto"/>
          <w:highlight w:val="none"/>
          <w:lang w:val="en-US" w:eastAsia="zh-CN"/>
        </w:rPr>
        <w:t>进一步改善了灌溉条件，给农户灌溉农田提供便利，有效改善2200亩农田</w:t>
      </w:r>
      <w:r>
        <w:rPr>
          <w:rFonts w:hint="eastAsia"/>
          <w:color w:val="auto"/>
          <w:highlight w:val="none"/>
        </w:rPr>
        <w:t>的浇灌质量，</w:t>
      </w:r>
      <w:r>
        <w:rPr>
          <w:rFonts w:hint="eastAsia"/>
          <w:color w:val="auto"/>
          <w:highlight w:val="none"/>
          <w:lang w:eastAsia="zh-CN"/>
        </w:rPr>
        <w:t>带动</w:t>
      </w:r>
      <w:r>
        <w:rPr>
          <w:rFonts w:hint="eastAsia"/>
          <w:color w:val="auto"/>
          <w:highlight w:val="none"/>
          <w:lang w:val="en-US" w:eastAsia="zh-CN"/>
        </w:rPr>
        <w:t>401名</w:t>
      </w:r>
      <w:r>
        <w:rPr>
          <w:rFonts w:hint="eastAsia"/>
          <w:color w:val="auto"/>
          <w:highlight w:val="none"/>
        </w:rPr>
        <w:t>英阿瓦提村村民收入增加，巩固脱贫攻坚成果，让村民生活更加便利，全面推进乡村振兴。</w:t>
      </w:r>
      <w:r>
        <w:rPr>
          <w:rFonts w:hint="eastAsia"/>
          <w:color w:val="auto"/>
          <w:highlight w:val="none"/>
          <w:lang w:val="en-US" w:eastAsia="zh-CN"/>
        </w:rPr>
        <w:t xml:space="preserve"> </w:t>
      </w:r>
    </w:p>
    <w:p>
      <w:pPr>
        <w:pStyle w:val="4"/>
        <w:bidi w:val="0"/>
        <w:rPr>
          <w:rFonts w:hint="eastAsia"/>
          <w:color w:val="auto"/>
          <w:highlight w:val="none"/>
        </w:rPr>
      </w:pPr>
      <w:r>
        <w:rPr>
          <w:rFonts w:hint="eastAsia"/>
          <w:color w:val="auto"/>
          <w:highlight w:val="none"/>
        </w:rPr>
        <w:t>（二）综合评价结论</w:t>
      </w:r>
    </w:p>
    <w:bookmarkEnd w:id="14"/>
    <w:p>
      <w:pPr>
        <w:bidi w:val="0"/>
        <w:rPr>
          <w:rFonts w:hint="eastAsia" w:eastAsia="仿宋_GB2312"/>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97.06分，绩效评级为“优秀”。综合评价结论如下：本项目决策指标共设置6个，满分20分，得分率94%；项目过程指标共设置5个，满分20分，得分率95.95%；项目产出指标共设置6个，满分24分，得分率100%；项目成本指标共设置2个，满分12分，得分率92.25%；项目效益指标共设置5个，满分24分，得分率100%。</w:t>
      </w:r>
      <w:r>
        <w:rPr>
          <w:rFonts w:hint="eastAsia"/>
          <w:color w:val="auto"/>
          <w:highlight w:val="none"/>
          <w:lang w:val="zh-TW" w:eastAsia="zh-CN"/>
        </w:rPr>
        <w:t>详细情况见</w:t>
      </w:r>
      <w:r>
        <w:rPr>
          <w:rFonts w:hint="eastAsia"/>
          <w:color w:val="auto"/>
          <w:highlight w:val="none"/>
        </w:rPr>
        <w:t>“附件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r>
        <w:rPr>
          <w:rFonts w:hint="eastAsia"/>
          <w:color w:val="auto"/>
          <w:highlight w:val="none"/>
          <w:lang w:eastAsia="zh-CN"/>
        </w:rPr>
        <w:t>。</w:t>
      </w:r>
    </w:p>
    <w:p>
      <w:pPr>
        <w:pStyle w:val="3"/>
        <w:numPr>
          <w:ilvl w:val="0"/>
          <w:numId w:val="2"/>
        </w:numPr>
        <w:ind w:firstLine="640"/>
        <w:rPr>
          <w:rFonts w:hint="eastAsia"/>
          <w:color w:val="auto"/>
          <w:highlight w:val="none"/>
        </w:rPr>
      </w:pPr>
      <w:r>
        <w:rPr>
          <w:rFonts w:hint="eastAsia"/>
          <w:color w:val="auto"/>
          <w:highlight w:val="none"/>
        </w:rPr>
        <w:t>绩效评价指标分析</w:t>
      </w:r>
    </w:p>
    <w:p>
      <w:pPr>
        <w:pStyle w:val="4"/>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18.8</w:t>
      </w:r>
      <w:r>
        <w:rPr>
          <w:rFonts w:hint="eastAsia" w:ascii="仿宋_GB2312" w:hAns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rPr>
          <w:rFonts w:hint="eastAsia"/>
          <w:color w:val="auto"/>
          <w:highlight w:val="none"/>
        </w:rPr>
      </w:pP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自治区财政厅</w:t>
      </w:r>
      <w:r>
        <w:rPr>
          <w:rFonts w:hint="eastAsia" w:cs="Times New Roman"/>
          <w:color w:val="auto"/>
          <w:highlight w:val="none"/>
          <w:lang w:val="en-US" w:eastAsia="zh-CN"/>
        </w:rPr>
        <w:t>《关于提前下达2023年中央大中型水库移民后期扶持资金预算的通知》</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新</w:t>
      </w:r>
      <w:r>
        <w:rPr>
          <w:rFonts w:hint="eastAsia" w:ascii="Times New Roman" w:hAnsi="Times New Roman" w:cs="Times New Roman"/>
          <w:color w:val="auto"/>
          <w:highlight w:val="none"/>
          <w:lang w:val="en-US" w:eastAsia="zh-CN"/>
        </w:rPr>
        <w:t>财</w:t>
      </w:r>
      <w:r>
        <w:rPr>
          <w:rFonts w:hint="eastAsia" w:cs="Times New Roman"/>
          <w:color w:val="auto"/>
          <w:highlight w:val="none"/>
          <w:lang w:val="en-US" w:eastAsia="zh-CN"/>
        </w:rPr>
        <w:t>农</w:t>
      </w:r>
      <w:r>
        <w:rPr>
          <w:rFonts w:hint="eastAsia" w:ascii="Times New Roman" w:hAnsi="Times New Roman" w:cs="Times New Roman"/>
          <w:color w:val="auto"/>
          <w:highlight w:val="none"/>
          <w:lang w:val="en-US" w:eastAsia="zh-CN"/>
        </w:rPr>
        <w:t>[202</w:t>
      </w:r>
      <w:r>
        <w:rPr>
          <w:rFonts w:hint="eastAsia" w:cs="Times New Roman"/>
          <w:color w:val="auto"/>
          <w:highlight w:val="none"/>
          <w:lang w:val="en-US" w:eastAsia="zh-CN"/>
        </w:rPr>
        <w:t>2</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75</w:t>
      </w:r>
      <w:r>
        <w:rPr>
          <w:rFonts w:hint="eastAsia" w:ascii="Times New Roman" w:hAnsi="Times New Roman" w:cs="Times New Roman"/>
          <w:color w:val="auto"/>
          <w:highlight w:val="none"/>
          <w:lang w:val="en-US" w:eastAsia="zh-CN"/>
        </w:rPr>
        <w:t>号）</w:t>
      </w:r>
      <w:r>
        <w:rPr>
          <w:rFonts w:hint="eastAsia"/>
          <w:color w:val="auto"/>
          <w:highlight w:val="none"/>
          <w:lang w:val="en-US" w:eastAsia="zh-CN"/>
        </w:rPr>
        <w:t>文件要求</w:t>
      </w:r>
      <w:r>
        <w:rPr>
          <w:rFonts w:hint="eastAsia"/>
          <w:color w:val="auto"/>
          <w:highlight w:val="none"/>
        </w:rPr>
        <w:t>；本</w:t>
      </w:r>
      <w:r>
        <w:rPr>
          <w:rFonts w:hint="eastAsia"/>
          <w:color w:val="auto"/>
          <w:highlight w:val="none"/>
          <w:lang w:eastAsia="zh-Hans"/>
        </w:rPr>
        <w:t>项目立项符合</w:t>
      </w:r>
      <w:r>
        <w:rPr>
          <w:rFonts w:hint="eastAsia"/>
          <w:color w:val="auto"/>
          <w:highlight w:val="none"/>
        </w:rPr>
        <w:t>与</w:t>
      </w:r>
      <w:r>
        <w:rPr>
          <w:rFonts w:hint="eastAsia"/>
          <w:color w:val="auto"/>
          <w:highlight w:val="none"/>
          <w:lang w:val="en-US" w:eastAsia="zh-CN"/>
        </w:rPr>
        <w:t>我单位</w:t>
      </w:r>
      <w:r>
        <w:rPr>
          <w:rFonts w:hint="eastAsia"/>
          <w:color w:val="auto"/>
          <w:highlight w:val="none"/>
        </w:rPr>
        <w:t>开展</w:t>
      </w:r>
      <w:r>
        <w:rPr>
          <w:rFonts w:hint="eastAsia" w:cs="Times New Roman"/>
          <w:color w:val="auto"/>
          <w:highlight w:val="none"/>
          <w:lang w:val="en-US" w:eastAsia="zh-CN"/>
        </w:rPr>
        <w:t>中央大中型水库移民后期扶持资金预算</w:t>
      </w:r>
      <w:r>
        <w:rPr>
          <w:rFonts w:hint="eastAsia"/>
          <w:color w:val="auto"/>
          <w:highlight w:val="none"/>
        </w:rPr>
        <w:t>工作这一部门职责范围相符，</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rPr>
        <w:t>；根据《财政资金直接支付申请书》，本项目资金性质为</w:t>
      </w:r>
      <w:r>
        <w:rPr>
          <w:rFonts w:hint="eastAsia"/>
          <w:color w:val="auto"/>
          <w:highlight w:val="none"/>
          <w:lang w:val="en-US" w:eastAsia="zh-CN"/>
        </w:rPr>
        <w:t>中央</w:t>
      </w:r>
      <w:r>
        <w:rPr>
          <w:rFonts w:hint="eastAsia"/>
          <w:color w:val="auto"/>
          <w:highlight w:val="none"/>
        </w:rPr>
        <w:t>资金</w:t>
      </w:r>
      <w:r>
        <w:rPr>
          <w:rFonts w:hint="eastAsia"/>
          <w:color w:val="auto"/>
          <w:highlight w:val="none"/>
          <w:lang w:eastAsia="zh-CN"/>
        </w:rPr>
        <w:t>，</w:t>
      </w:r>
      <w:r>
        <w:rPr>
          <w:rFonts w:hint="eastAsia"/>
          <w:color w:val="auto"/>
          <w:highlight w:val="none"/>
        </w:rPr>
        <w:t>功能分类为</w:t>
      </w:r>
      <w:r>
        <w:rPr>
          <w:rFonts w:hint="eastAsia"/>
          <w:color w:val="auto"/>
          <w:highlight w:val="none"/>
          <w:lang w:val="en-US" w:eastAsia="zh-CN"/>
        </w:rPr>
        <w:t>2130321</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对村级公益事业建设的补助</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r>
        <w:rPr>
          <w:rFonts w:hint="eastAsia"/>
          <w:color w:val="auto"/>
          <w:highlight w:val="none"/>
        </w:rPr>
        <w:t>。</w:t>
      </w:r>
    </w:p>
    <w:p>
      <w:pPr>
        <w:bidi w:val="0"/>
        <w:rPr>
          <w:rFonts w:hint="eastAsia"/>
          <w:color w:val="auto"/>
          <w:highlight w:val="none"/>
        </w:rPr>
      </w:pPr>
      <w:r>
        <w:rPr>
          <w:rFonts w:hint="eastAsia"/>
          <w:color w:val="auto"/>
          <w:highlight w:val="none"/>
        </w:rPr>
        <w:t>综上</w:t>
      </w:r>
      <w:r>
        <w:rPr>
          <w:rFonts w:hint="eastAsia"/>
          <w:color w:val="auto"/>
          <w:highlight w:val="none"/>
          <w:lang w:val="en-US"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color w:val="auto"/>
          <w:highlight w:val="none"/>
          <w:lang w:val="en-US" w:eastAsia="zh-CN"/>
        </w:rPr>
        <w:t>资金</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单位按照程序向县财政局提交了</w:t>
      </w:r>
      <w:r>
        <w:rPr>
          <w:rFonts w:hint="eastAsia"/>
          <w:color w:val="auto"/>
          <w:highlight w:val="none"/>
          <w:lang w:eastAsia="zh-Hans" w:bidi="ar"/>
        </w:rPr>
        <w:t>《关于</w:t>
      </w:r>
      <w:r>
        <w:rPr>
          <w:rFonts w:hint="eastAsia"/>
          <w:color w:val="auto"/>
          <w:highlight w:val="none"/>
          <w:lang w:bidi="ar"/>
        </w:rPr>
        <w:t>申请托克逊县2023年克尔碱镇英阿瓦提村渠道硬化项目资金的请示</w:t>
      </w:r>
      <w:r>
        <w:rPr>
          <w:rFonts w:hint="eastAsia"/>
          <w:color w:val="auto"/>
          <w:highlight w:val="none"/>
          <w:lang w:eastAsia="zh-Hans" w:bidi="ar"/>
        </w:rPr>
        <w:t>》</w:t>
      </w:r>
      <w:r>
        <w:rPr>
          <w:rFonts w:hint="eastAsia"/>
          <w:color w:val="auto"/>
          <w:highlight w:val="none"/>
          <w:lang w:bidi="ar"/>
        </w:rPr>
        <w:t>和《托克逊县2023年克尔碱镇英阿瓦提村渠道硬化项目实施方案》</w:t>
      </w:r>
      <w:r>
        <w:rPr>
          <w:rFonts w:hint="eastAsia"/>
          <w:color w:val="auto"/>
          <w:highlight w:val="none"/>
          <w:lang w:val="en-US" w:eastAsia="zh-CN"/>
        </w:rPr>
        <w:t>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5"/>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rPr>
        <w:t>项目的实施将提高村委会集体经济收入，而且能有效改善全村266户666人的生活环境，提高农作物的浇灌质量为英阿瓦提村村民收入增加，巩固脱贫攻坚成果、提高群众满意度，让村民生活更加便利，巩固脱贫攻坚成果、全面推进乡村振兴</w:t>
      </w:r>
      <w:r>
        <w:rPr>
          <w:rFonts w:hint="eastAsia"/>
          <w:color w:val="auto"/>
          <w:highlight w:val="none"/>
          <w:lang w:val="en-US" w:eastAsia="zh-CN"/>
        </w:rPr>
        <w:t>。</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了各项产出指标和效益指标</w:t>
      </w:r>
      <w:r>
        <w:rPr>
          <w:rFonts w:hint="eastAsia"/>
          <w:color w:val="auto"/>
          <w:highlight w:val="none"/>
        </w:rPr>
        <w:t>，预期产出效益和效果符合正常的业绩水平。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196</w:t>
      </w:r>
      <w:r>
        <w:rPr>
          <w:color w:val="auto"/>
          <w:highlight w:val="none"/>
        </w:rPr>
        <w:t>万元，《财政项目支出绩效目标表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lang w:val="en-US" w:eastAsia="zh-CN"/>
        </w:rPr>
        <w:t>196</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pageBreakBefore w:val="0"/>
        <w:kinsoku/>
        <w:wordWrap/>
        <w:topLinePunct w:val="0"/>
        <w:autoSpaceDE/>
        <w:autoSpaceDN/>
        <w:bidi w:val="0"/>
        <w:spacing w:line="560" w:lineRule="exact"/>
        <w:ind w:right="0" w:rightChars="0" w:firstLine="643"/>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量化率达70%以上；</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《项目支出绩效目标表》，该项目</w:t>
      </w:r>
      <w:r>
        <w:rPr>
          <w:rFonts w:hint="eastAsia"/>
          <w:color w:val="auto"/>
          <w:highlight w:val="none"/>
          <w:lang w:val="en-US" w:eastAsia="zh-CN"/>
        </w:rPr>
        <w:t>绩效指标具有可实现性，但绩效目标和指标指向不够明确，关联性不足，根据评分要点扣0.6分；绩效目标和指标不够清晰，个别指标可衡量性不足，根据评分要点扣0.6分。改进措施：开展定期学习，将绩效管理深入到工作中，加强绩效审核工作，财务人员和项目人员做好充分沟通，并提交项目负责人审核，提高工作质量。</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1.8</w:t>
      </w:r>
      <w:r>
        <w:rPr>
          <w:rFonts w:hint="eastAsia" w:ascii="仿宋_GB2312" w:cs="仿宋_GB2312"/>
          <w:color w:val="auto"/>
          <w:szCs w:val="28"/>
          <w:highlight w:val="none"/>
          <w:lang w:eastAsia="zh-CN"/>
        </w:rPr>
        <w:t>分，本项目所设置绩效指标不够明确。</w:t>
      </w:r>
    </w:p>
    <w:p>
      <w:pPr>
        <w:pStyle w:val="5"/>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196</w:t>
      </w:r>
      <w:r>
        <w:rPr>
          <w:rFonts w:hint="eastAsia" w:ascii="仿宋_GB2312" w:cs="仿宋_GB2312"/>
          <w:color w:val="auto"/>
          <w:sz w:val="28"/>
          <w:szCs w:val="28"/>
          <w:highlight w:val="none"/>
        </w:rPr>
        <w:t>万元，主要用于支付托克逊县2023年克尔碱镇英阿瓦提村渠道硬化项目</w:t>
      </w:r>
      <w:r>
        <w:rPr>
          <w:rFonts w:hint="eastAsia" w:ascii="仿宋_GB2312" w:cs="仿宋_GB2312"/>
          <w:color w:val="auto"/>
          <w:sz w:val="28"/>
          <w:szCs w:val="28"/>
          <w:highlight w:val="none"/>
          <w:lang w:val="en-US" w:eastAsia="zh-CN"/>
        </w:rPr>
        <w:t>支付</w:t>
      </w:r>
      <w:r>
        <w:rPr>
          <w:rFonts w:hint="eastAsia" w:ascii="仿宋_GB2312" w:cs="仿宋_GB2312"/>
          <w:color w:val="auto"/>
          <w:sz w:val="28"/>
          <w:szCs w:val="28"/>
          <w:highlight w:val="none"/>
        </w:rPr>
        <w:t>资金，</w:t>
      </w:r>
      <w:r>
        <w:rPr>
          <w:rFonts w:hint="eastAsia"/>
          <w:color w:val="auto"/>
          <w:highlight w:val="none"/>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lang w:eastAsia="zh-CN"/>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本项目资金主要用于</w:t>
      </w:r>
      <w:r>
        <w:rPr>
          <w:rFonts w:hint="eastAsia"/>
          <w:b w:val="0"/>
          <w:bCs w:val="0"/>
          <w:color w:val="auto"/>
          <w:highlight w:val="none"/>
        </w:rPr>
        <w:t>支付</w:t>
      </w:r>
      <w:r>
        <w:rPr>
          <w:rFonts w:hint="eastAsia" w:ascii="仿宋_GB2312" w:cs="仿宋_GB2312"/>
          <w:color w:val="auto"/>
          <w:sz w:val="28"/>
          <w:szCs w:val="28"/>
          <w:highlight w:val="none"/>
        </w:rPr>
        <w:t>托克逊县2023年克尔碱镇英阿瓦提村渠道硬化项目</w:t>
      </w:r>
      <w:r>
        <w:rPr>
          <w:rFonts w:hint="eastAsia"/>
          <w:b w:val="0"/>
          <w:bCs w:val="0"/>
          <w:color w:val="auto"/>
          <w:highlight w:val="none"/>
        </w:rPr>
        <w:t>费用</w:t>
      </w:r>
      <w:r>
        <w:rPr>
          <w:rFonts w:hint="eastAsia"/>
          <w:b w:val="0"/>
          <w:bCs w:val="0"/>
          <w:color w:val="auto"/>
          <w:highlight w:val="none"/>
          <w:lang w:val="en-US" w:eastAsia="zh-CN"/>
        </w:rPr>
        <w:t>196</w:t>
      </w:r>
      <w:r>
        <w:rPr>
          <w:rFonts w:hint="eastAsia"/>
          <w:b w:val="0"/>
          <w:bCs w:val="0"/>
          <w:color w:val="auto"/>
          <w:highlight w:val="none"/>
        </w:rPr>
        <w:t>万元</w:t>
      </w:r>
      <w:r>
        <w:rPr>
          <w:rFonts w:hint="eastAsia"/>
          <w:b w:val="0"/>
          <w:bCs w:val="0"/>
          <w:color w:val="auto"/>
          <w:highlight w:val="none"/>
          <w:lang w:eastAsia="zh-CN"/>
        </w:rPr>
        <w:t>，</w:t>
      </w:r>
      <w:r>
        <w:rPr>
          <w:rFonts w:hint="eastAsia"/>
          <w:b w:val="0"/>
          <w:bCs w:val="0"/>
          <w:color w:val="auto"/>
          <w:highlight w:val="none"/>
        </w:rPr>
        <w:t>目前全部</w:t>
      </w:r>
      <w:r>
        <w:rPr>
          <w:rFonts w:hint="eastAsia"/>
          <w:b w:val="0"/>
          <w:bCs w:val="0"/>
          <w:color w:val="auto"/>
          <w:highlight w:val="none"/>
          <w:lang w:val="en-US" w:eastAsia="zh-CN"/>
        </w:rPr>
        <w:t>施工</w:t>
      </w:r>
      <w:r>
        <w:rPr>
          <w:rFonts w:hint="eastAsia"/>
          <w:b w:val="0"/>
          <w:bCs w:val="0"/>
          <w:color w:val="auto"/>
          <w:highlight w:val="none"/>
        </w:rPr>
        <w:t>完毕，且验收通过</w:t>
      </w:r>
      <w:r>
        <w:rPr>
          <w:rFonts w:hint="eastAsia"/>
          <w:b w:val="0"/>
          <w:bCs w:val="0"/>
          <w:color w:val="auto"/>
          <w:highlight w:val="none"/>
          <w:lang w:eastAsia="zh-CN"/>
        </w:rPr>
        <w:t>，</w:t>
      </w:r>
      <w:r>
        <w:rPr>
          <w:rFonts w:hint="eastAsia" w:ascii="仿宋_GB2312" w:cs="仿宋_GB2312"/>
          <w:color w:val="auto"/>
          <w:sz w:val="28"/>
          <w:szCs w:val="28"/>
          <w:highlight w:val="none"/>
        </w:rPr>
        <w:t>预算确定资金量与实际工作任务相匹配。</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color w:val="auto"/>
          <w:highlight w:val="none"/>
          <w:lang w:bidi="ar"/>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w:t>
      </w:r>
      <w:r>
        <w:rPr>
          <w:rFonts w:hint="eastAsia" w:ascii="仿宋_GB2312" w:cs="仿宋_GB2312"/>
          <w:color w:val="auto"/>
          <w:sz w:val="28"/>
          <w:szCs w:val="28"/>
          <w:highlight w:val="none"/>
        </w:rPr>
        <w:t>托克逊县2023年克尔碱镇英阿瓦提村渠道硬化项目</w:t>
      </w:r>
      <w:r>
        <w:rPr>
          <w:rFonts w:hint="eastAsia"/>
          <w:color w:val="auto"/>
          <w:highlight w:val="none"/>
          <w:lang w:bidi="ar"/>
        </w:rPr>
        <w:t>资金的请示</w:t>
      </w:r>
      <w:r>
        <w:rPr>
          <w:rFonts w:hint="eastAsia"/>
          <w:color w:val="auto"/>
          <w:highlight w:val="none"/>
          <w:lang w:eastAsia="zh-Hans" w:bidi="ar"/>
        </w:rPr>
        <w:t>》</w:t>
      </w:r>
      <w:r>
        <w:rPr>
          <w:rFonts w:hint="eastAsia"/>
          <w:color w:val="auto"/>
          <w:highlight w:val="none"/>
          <w:lang w:bidi="ar"/>
        </w:rPr>
        <w:t>和《</w:t>
      </w:r>
      <w:r>
        <w:rPr>
          <w:rFonts w:hint="eastAsia" w:ascii="仿宋_GB2312" w:cs="仿宋_GB2312"/>
          <w:color w:val="auto"/>
          <w:sz w:val="28"/>
          <w:szCs w:val="28"/>
          <w:highlight w:val="none"/>
        </w:rPr>
        <w:t>托克逊县2023年克尔碱镇英阿瓦提村渠道硬化项目</w:t>
      </w:r>
      <w:r>
        <w:rPr>
          <w:rFonts w:hint="eastAsia"/>
          <w:color w:val="auto"/>
          <w:highlight w:val="none"/>
          <w:lang w:bidi="ar"/>
        </w:rPr>
        <w:t>实施方案》</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color w:val="auto"/>
          <w:highlight w:val="none"/>
          <w:lang w:val="en-US" w:eastAsia="zh-CN" w:bidi="ar"/>
        </w:rPr>
        <w:t>2023年大中型水库移民后期扶持项目资金</w:t>
      </w:r>
      <w:r>
        <w:rPr>
          <w:rFonts w:hint="eastAsia"/>
          <w:color w:val="auto"/>
          <w:highlight w:val="none"/>
          <w:lang w:eastAsia="zh-Hans" w:bidi="ar"/>
        </w:rPr>
        <w:t>》文件显示，本项目实际到位资金</w:t>
      </w:r>
      <w:r>
        <w:rPr>
          <w:rFonts w:hint="eastAsia"/>
          <w:color w:val="auto"/>
          <w:highlight w:val="none"/>
          <w:lang w:val="en-US" w:eastAsia="zh-CN" w:bidi="ar"/>
        </w:rPr>
        <w:t>196</w:t>
      </w:r>
      <w:r>
        <w:rPr>
          <w:rFonts w:hint="eastAsia"/>
          <w:color w:val="auto"/>
          <w:highlight w:val="none"/>
          <w:lang w:bidi="ar"/>
        </w:rPr>
        <w:t>万元，实际分配资金与我单位提交申请的资金额度一致，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p>
    <w:p>
      <w:pPr>
        <w:pStyle w:val="4"/>
        <w:bidi w:val="0"/>
        <w:ind w:left="560" w:leftChars="200" w:firstLine="0" w:firstLineChars="0"/>
        <w:rPr>
          <w:rFonts w:hint="eastAsia" w:ascii="仿宋_GB2312" w:hAnsi="仿宋_GB2312" w:cs="仿宋_GB2312"/>
          <w:color w:val="auto"/>
          <w:sz w:val="32"/>
          <w:highlight w:val="none"/>
        </w:rPr>
      </w:pPr>
      <w:r>
        <w:rPr>
          <w:rFonts w:hint="eastAsia" w:ascii="Times New Roman" w:hAnsi="Times New Roman" w:eastAsia="仿宋_GB2312" w:cs="Times New Roman"/>
          <w:b w:val="0"/>
          <w:color w:val="auto"/>
          <w:kern w:val="2"/>
          <w:sz w:val="28"/>
          <w:szCs w:val="24"/>
          <w:highlight w:val="none"/>
          <w:lang w:val="en-US" w:eastAsia="zh-CN" w:bidi="ar"/>
        </w:rPr>
        <w:t>综上所述，本指标满分为2分，根据评分标准得2分，本项目资金分配合理</w:t>
      </w:r>
      <w:r>
        <w:rPr>
          <w:rFonts w:hint="eastAsia" w:ascii="仿宋_GB2312" w:hAnsi="仿宋_GB2312" w:cs="仿宋_GB2312"/>
          <w:color w:val="auto"/>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19.19</w:t>
      </w:r>
      <w:r>
        <w:rPr>
          <w:rFonts w:hint="eastAsia" w:asci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本项目预算资金为</w:t>
      </w:r>
      <w:r>
        <w:rPr>
          <w:rFonts w:hint="eastAsia"/>
          <w:color w:val="auto"/>
          <w:highlight w:val="none"/>
          <w:lang w:val="en-US" w:eastAsia="zh-CN"/>
        </w:rPr>
        <w:t>196</w:t>
      </w:r>
      <w:r>
        <w:rPr>
          <w:rFonts w:hint="eastAsia"/>
          <w:color w:val="auto"/>
          <w:highlight w:val="none"/>
        </w:rPr>
        <w:t>万元，其中：本级财政安排资金</w:t>
      </w:r>
      <w:r>
        <w:rPr>
          <w:rFonts w:hint="eastAsia"/>
          <w:color w:val="auto"/>
          <w:highlight w:val="none"/>
          <w:lang w:val="en-US" w:eastAsia="zh-CN"/>
        </w:rPr>
        <w:t>196</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万元，实际到位资金</w:t>
      </w:r>
      <w:r>
        <w:rPr>
          <w:rFonts w:hint="eastAsia"/>
          <w:color w:val="auto"/>
          <w:highlight w:val="none"/>
          <w:lang w:val="en-US" w:eastAsia="zh-CN"/>
        </w:rPr>
        <w:t>196</w:t>
      </w:r>
      <w:r>
        <w:rPr>
          <w:rFonts w:hint="eastAsia"/>
          <w:color w:val="auto"/>
          <w:highlight w:val="none"/>
        </w:rPr>
        <w:t>万元，资金到位率=（实际到位资金/预算资金）×100%=（</w:t>
      </w:r>
      <w:r>
        <w:rPr>
          <w:rFonts w:hint="eastAsia"/>
          <w:color w:val="auto"/>
          <w:highlight w:val="none"/>
          <w:lang w:val="en-US" w:eastAsia="zh-CN"/>
        </w:rPr>
        <w:t>196</w:t>
      </w:r>
      <w:r>
        <w:rPr>
          <w:rFonts w:hint="eastAsia"/>
          <w:color w:val="auto"/>
          <w:highlight w:val="none"/>
        </w:rPr>
        <w:t>/</w:t>
      </w:r>
      <w:r>
        <w:rPr>
          <w:rFonts w:hint="eastAsia"/>
          <w:color w:val="auto"/>
          <w:highlight w:val="none"/>
          <w:lang w:val="en-US" w:eastAsia="zh-CN"/>
        </w:rPr>
        <w:t>196</w:t>
      </w:r>
      <w:r>
        <w:rPr>
          <w:rFonts w:hint="eastAsia"/>
          <w:color w:val="auto"/>
          <w:highlight w:val="none"/>
        </w:rPr>
        <w:t>）*100%=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4</w:t>
      </w:r>
      <w:r>
        <w:rPr>
          <w:rFonts w:hint="eastAsia"/>
          <w:color w:val="auto"/>
          <w:highlight w:val="none"/>
        </w:rPr>
        <w:t>分。</w:t>
      </w:r>
    </w:p>
    <w:p>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196</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cs="Times New Roman"/>
          <w:b w:val="0"/>
          <w:bCs w:val="0"/>
          <w:color w:val="auto"/>
          <w:highlight w:val="none"/>
          <w:rtl w:val="0"/>
          <w:lang w:val="en-US" w:eastAsia="zh-CN"/>
        </w:rPr>
        <w:t>156.530411</w:t>
      </w:r>
      <w:r>
        <w:rPr>
          <w:rFonts w:hint="eastAsia" w:ascii="仿宋_GB2312" w:cs="仿宋_GB2312"/>
          <w:color w:val="auto"/>
          <w:sz w:val="28"/>
          <w:szCs w:val="28"/>
          <w:highlight w:val="none"/>
        </w:rPr>
        <w:t>万元，预算执行率=（实际支出资金/实际到位资金）×100%=（</w:t>
      </w:r>
      <w:r>
        <w:rPr>
          <w:rFonts w:hint="eastAsia" w:cs="Times New Roman"/>
          <w:b w:val="0"/>
          <w:bCs w:val="0"/>
          <w:color w:val="auto"/>
          <w:highlight w:val="none"/>
          <w:rtl w:val="0"/>
          <w:lang w:val="en-US" w:eastAsia="zh-CN"/>
        </w:rPr>
        <w:t>156.530411</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196</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79.86</w:t>
      </w:r>
      <w:r>
        <w:rPr>
          <w:rFonts w:hint="eastAsia" w:ascii="仿宋_GB2312" w:cs="仿宋_GB2312"/>
          <w:color w:val="auto"/>
          <w:sz w:val="28"/>
          <w:szCs w:val="28"/>
          <w:highlight w:val="none"/>
        </w:rPr>
        <w:t>%。</w:t>
      </w:r>
    </w:p>
    <w:p>
      <w:pPr>
        <w:pStyle w:val="2"/>
        <w:rPr>
          <w:rFonts w:hint="eastAsia" w:eastAsia="仿宋_GB2312"/>
          <w:color w:val="auto"/>
          <w:highlight w:val="none"/>
          <w:lang w:eastAsia="zh-CN"/>
        </w:rPr>
      </w:pPr>
      <w:r>
        <w:rPr>
          <w:rFonts w:hint="eastAsia" w:ascii="仿宋_GB2312" w:cs="仿宋_GB2312"/>
          <w:color w:val="auto"/>
          <w:sz w:val="28"/>
          <w:szCs w:val="28"/>
          <w:highlight w:val="none"/>
          <w:lang w:eastAsia="zh-CN"/>
        </w:rPr>
        <w:t>改进措施：根据项目进度，及时与监理机构联系，按进度支付监理费。</w:t>
      </w:r>
    </w:p>
    <w:p>
      <w:pPr>
        <w:pageBreakBefore w:val="0"/>
        <w:kinsoku/>
        <w:wordWrap/>
        <w:topLinePunct w:val="0"/>
        <w:autoSpaceDE/>
        <w:autoSpaceDN/>
        <w:bidi w:val="0"/>
        <w:spacing w:line="560" w:lineRule="exact"/>
        <w:ind w:right="0" w:rightChars="0" w:firstLine="643"/>
        <w:rPr>
          <w:rFonts w:hint="default" w:ascii="Times New Roman" w:hAnsi="Times New Roman" w:eastAsia="仿宋_GB2312"/>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5</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3.19</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79.86</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 xml:space="preserve"> 。</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val="en-US" w:eastAsia="zh-CN"/>
        </w:rPr>
        <w:t>托克逊县克尔碱镇人民政府</w:t>
      </w:r>
      <w:r>
        <w:rPr>
          <w:rFonts w:hint="eastAsia"/>
          <w:color w:val="auto"/>
          <w:highlight w:val="none"/>
        </w:rPr>
        <w:t>单位资金管理办法》，资金的拨付有完整的审批程序和手续，资金实际使用方向与预算批复用途一致，不存在截留、挤占、挪用、虚列支出的情况。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5"/>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财务管理</w:t>
      </w:r>
      <w:r>
        <w:rPr>
          <w:rFonts w:hint="eastAsia"/>
          <w:color w:val="auto"/>
          <w:highlight w:val="none"/>
        </w:rPr>
        <w:t>办法》《</w:t>
      </w:r>
      <w:r>
        <w:rPr>
          <w:rFonts w:hint="eastAsia"/>
          <w:color w:val="auto"/>
          <w:highlight w:val="none"/>
          <w:lang w:val="en-US" w:eastAsia="zh-CN"/>
        </w:rPr>
        <w:t>内部控制</w:t>
      </w:r>
      <w:r>
        <w:rPr>
          <w:rFonts w:hint="eastAsia"/>
          <w:color w:val="auto"/>
          <w:highlight w:val="none"/>
        </w:rPr>
        <w:t>管理制度》《</w:t>
      </w:r>
      <w:r>
        <w:rPr>
          <w:rFonts w:hint="eastAsia"/>
          <w:color w:val="auto"/>
          <w:highlight w:val="none"/>
          <w:lang w:val="en-US" w:eastAsia="zh-CN"/>
        </w:rPr>
        <w:t>托克逊县克尔碱镇人民政府</w:t>
      </w:r>
      <w:r>
        <w:rPr>
          <w:rFonts w:hint="eastAsia"/>
          <w:color w:val="auto"/>
          <w:highlight w:val="none"/>
        </w:rPr>
        <w:t>采购业务管理制度》《</w:t>
      </w:r>
      <w:r>
        <w:rPr>
          <w:rFonts w:hint="eastAsia"/>
          <w:color w:val="auto"/>
          <w:highlight w:val="none"/>
          <w:lang w:val="en-US" w:eastAsia="zh-CN"/>
        </w:rPr>
        <w:t>托克逊县克尔碱镇人民政府</w:t>
      </w:r>
      <w:r>
        <w:rPr>
          <w:rFonts w:hint="eastAsia"/>
          <w:color w:val="auto"/>
          <w:highlight w:val="none"/>
        </w:rPr>
        <w:t>合同管理制度》等，上述已建立的制度均符合行政事业单位内控管理要求，财务和业务管理制度合法、合规、完整，本项目执行符合上述制度规定。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rPr>
        <w:t>经对比分析本项目实际执行过程资料和已建立的项目管理制度和财务管理制度，得出本项目严格按照本单位已建立制度执行。项目具备完整规范的立项程序</w:t>
      </w:r>
      <w:r>
        <w:rPr>
          <w:rFonts w:hint="eastAsia"/>
          <w:color w:val="auto"/>
          <w:highlight w:val="none"/>
          <w:lang w:eastAsia="zh-CN"/>
        </w:rPr>
        <w:t>。</w:t>
      </w:r>
      <w:r>
        <w:rPr>
          <w:rFonts w:hint="eastAsia"/>
          <w:color w:val="auto"/>
          <w:highlight w:val="none"/>
        </w:rPr>
        <w:t>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pPr>
        <w:bidi w:val="0"/>
        <w:rPr>
          <w:rFonts w:hint="eastAsia"/>
          <w:color w:val="auto"/>
          <w:highlight w:val="none"/>
        </w:rPr>
      </w:pPr>
      <w:r>
        <w:rPr>
          <w:rFonts w:hint="eastAsia"/>
          <w:color w:val="auto"/>
          <w:highlight w:val="none"/>
        </w:rPr>
        <w:t>项目启动实施后，为了加快本项目的实施，成立了</w:t>
      </w:r>
      <w:r>
        <w:rPr>
          <w:rFonts w:hint="eastAsia" w:ascii="仿宋_GB2312" w:cs="仿宋_GB2312"/>
          <w:color w:val="auto"/>
          <w:sz w:val="28"/>
          <w:szCs w:val="28"/>
          <w:highlight w:val="none"/>
        </w:rPr>
        <w:t>托克逊县2023年克尔碱镇英阿瓦提村渠道硬化项目</w:t>
      </w:r>
      <w:r>
        <w:rPr>
          <w:rFonts w:hint="eastAsia"/>
          <w:color w:val="auto"/>
          <w:highlight w:val="none"/>
        </w:rPr>
        <w:t>工作领导小组，由党组书记</w:t>
      </w:r>
      <w:r>
        <w:rPr>
          <w:rFonts w:hint="eastAsia"/>
          <w:color w:val="auto"/>
          <w:highlight w:val="none"/>
          <w:lang w:val="en-US" w:eastAsia="zh-CN"/>
        </w:rPr>
        <w:t>朱永刚</w:t>
      </w:r>
      <w:r>
        <w:rPr>
          <w:rFonts w:hint="eastAsia"/>
          <w:color w:val="auto"/>
          <w:highlight w:val="none"/>
        </w:rPr>
        <w:t>任组长，负责项目的组织工作；</w:t>
      </w:r>
      <w:r>
        <w:rPr>
          <w:rFonts w:hint="eastAsia"/>
          <w:color w:val="auto"/>
          <w:highlight w:val="none"/>
          <w:lang w:val="en-US" w:eastAsia="zh-CN"/>
        </w:rPr>
        <w:t>依再提古丽·艾米都力</w:t>
      </w:r>
      <w:r>
        <w:rPr>
          <w:rFonts w:hint="eastAsia"/>
          <w:color w:val="auto"/>
          <w:highlight w:val="none"/>
        </w:rPr>
        <w:t>任副组长，负责项目的实施工作；组员包括：</w:t>
      </w:r>
      <w:r>
        <w:rPr>
          <w:rFonts w:hint="eastAsia"/>
          <w:color w:val="auto"/>
          <w:highlight w:val="none"/>
          <w:lang w:val="en-US" w:eastAsia="zh-CN"/>
        </w:rPr>
        <w:t>朱瑞团</w:t>
      </w:r>
      <w:r>
        <w:rPr>
          <w:rFonts w:hint="eastAsia"/>
          <w:color w:val="auto"/>
          <w:highlight w:val="none"/>
        </w:rPr>
        <w:t>和</w:t>
      </w:r>
      <w:r>
        <w:rPr>
          <w:rFonts w:hint="eastAsia"/>
          <w:color w:val="auto"/>
          <w:highlight w:val="none"/>
          <w:lang w:val="en-US" w:eastAsia="zh-CN"/>
        </w:rPr>
        <w:t>李东伟</w:t>
      </w:r>
      <w:r>
        <w:rPr>
          <w:rFonts w:hint="eastAsia"/>
          <w:color w:val="auto"/>
          <w:highlight w:val="none"/>
        </w:rPr>
        <w:t>，主要负责项目监督管理、验收以及资金核拨等工作。</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w:t>
      </w:r>
      <w:r>
        <w:rPr>
          <w:rFonts w:hint="eastAsia"/>
          <w:color w:val="auto"/>
          <w:highlight w:val="none"/>
          <w:lang w:eastAsia="zh-CN"/>
        </w:rPr>
        <w:t>执行有效</w:t>
      </w:r>
      <w:r>
        <w:rPr>
          <w:rFonts w:hint="eastAsia"/>
          <w:color w:val="auto"/>
          <w:highlight w:val="none"/>
          <w:lang w:val="en-US" w:eastAsia="zh-CN"/>
        </w:rPr>
        <w:t>。</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val="en-US"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1.数量指标完成情况分析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 xml:space="preserve">后期扶持受益移民人口(人) </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大于等于40人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40人，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生产开发及配套设施项目(个)”指标：预期指标值为等于1个，实际完成指标值为1个，指标完成率为100%。</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“渠道硬化工程量(公里)”指标：预期指标值为大于等于12.5公里，实际完成指标值为12.5公里，指标完成率为100%。</w:t>
      </w:r>
    </w:p>
    <w:p>
      <w:pPr>
        <w:pStyle w:val="5"/>
        <w:bidi w:val="0"/>
        <w:rPr>
          <w:rFonts w:hint="eastAsia"/>
          <w:color w:val="auto"/>
          <w:highlight w:val="none"/>
          <w:lang w:val="en-US" w:eastAsia="zh-CN"/>
        </w:rPr>
      </w:pPr>
      <w:r>
        <w:rPr>
          <w:rFonts w:hint="eastAsia"/>
          <w:color w:val="auto"/>
          <w:highlight w:val="none"/>
          <w:lang w:val="en-US" w:eastAsia="zh-CN"/>
        </w:rPr>
        <w:t>2.质量指标完成情况分析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 xml:space="preserve">项目验收合格率(%) </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5"/>
        <w:bidi w:val="0"/>
        <w:rPr>
          <w:rFonts w:hint="eastAsia"/>
          <w:color w:val="auto"/>
          <w:highlight w:val="none"/>
        </w:rPr>
      </w:pPr>
      <w:r>
        <w:rPr>
          <w:rFonts w:hint="eastAsia"/>
          <w:color w:val="auto"/>
          <w:highlight w:val="none"/>
          <w:lang w:val="en-US" w:eastAsia="zh-CN"/>
        </w:rPr>
        <w:t>3.时效指标完成情况分析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项目启动时间</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2023年3月</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2023年3月</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8"/>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项目完成时间</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2023年8月</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2023年8月</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5"/>
        <w:bidi w:val="0"/>
        <w:rPr>
          <w:rFonts w:hint="eastAsia" w:ascii="仿宋_GB2312" w:hAnsi="仿宋_GB2312" w:cs="仿宋_GB2312"/>
          <w:color w:val="auto"/>
          <w:sz w:val="32"/>
          <w:highlight w:val="none"/>
        </w:rPr>
      </w:pPr>
      <w:r>
        <w:rPr>
          <w:rFonts w:hint="eastAsia" w:cs="仿宋_GB2312"/>
          <w:color w:val="auto"/>
          <w:sz w:val="32"/>
          <w:highlight w:val="none"/>
          <w:lang w:val="en-US" w:eastAsia="zh-CN"/>
        </w:rPr>
        <w:t>4.</w:t>
      </w:r>
      <w:r>
        <w:rPr>
          <w:rFonts w:hint="eastAsia" w:ascii="仿宋_GB2312" w:hAnsi="仿宋_GB2312" w:cs="仿宋_GB2312"/>
          <w:color w:val="auto"/>
          <w:sz w:val="32"/>
          <w:highlight w:val="none"/>
        </w:rPr>
        <w:t>项目</w:t>
      </w:r>
      <w:r>
        <w:rPr>
          <w:rFonts w:hint="eastAsia" w:cs="仿宋_GB2312"/>
          <w:color w:val="auto"/>
          <w:sz w:val="32"/>
          <w:highlight w:val="none"/>
          <w:lang w:val="en-US" w:eastAsia="zh-CN"/>
        </w:rPr>
        <w:t>成本</w:t>
      </w:r>
      <w:r>
        <w:rPr>
          <w:rFonts w:hint="eastAsia" w:ascii="仿宋_GB2312" w:hAnsi="仿宋_GB2312" w:cs="仿宋_GB2312"/>
          <w:color w:val="auto"/>
          <w:sz w:val="32"/>
          <w:highlight w:val="none"/>
        </w:rPr>
        <w:t>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w:t>
      </w:r>
      <w:r>
        <w:rPr>
          <w:rFonts w:hint="eastAsia" w:ascii="仿宋_GB2312" w:cs="仿宋_GB2312"/>
          <w:color w:val="auto"/>
          <w:sz w:val="28"/>
          <w:szCs w:val="28"/>
          <w:highlight w:val="none"/>
          <w:lang w:eastAsia="zh-CN"/>
        </w:rPr>
        <w:t>成本</w:t>
      </w:r>
      <w:r>
        <w:rPr>
          <w:rFonts w:hint="eastAsia" w:ascii="仿宋_GB2312" w:cs="仿宋_GB2312"/>
          <w:color w:val="auto"/>
          <w:sz w:val="28"/>
          <w:szCs w:val="28"/>
          <w:highlight w:val="none"/>
        </w:rPr>
        <w:t>类指标包括</w:t>
      </w:r>
      <w:r>
        <w:rPr>
          <w:rFonts w:hint="eastAsia" w:ascii="仿宋_GB2312" w:cs="仿宋_GB2312"/>
          <w:color w:val="auto"/>
          <w:sz w:val="28"/>
          <w:szCs w:val="28"/>
          <w:highlight w:val="none"/>
          <w:lang w:eastAsia="zh-CN"/>
        </w:rPr>
        <w:t>经济成本、社会成本、生态环境成本共三项成本指标</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val="en-US" w:eastAsia="zh-CN"/>
        </w:rPr>
        <w:t>本项目仅涉及经济成本指标，</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p>
    <w:p>
      <w:pPr>
        <w:pStyle w:val="5"/>
        <w:bidi w:val="0"/>
        <w:rPr>
          <w:rFonts w:hint="eastAsia"/>
          <w:color w:val="auto"/>
          <w:highlight w:val="none"/>
        </w:rPr>
      </w:pPr>
      <w:r>
        <w:rPr>
          <w:rFonts w:hint="eastAsia"/>
          <w:color w:val="auto"/>
          <w:highlight w:val="none"/>
          <w:lang w:val="en-US" w:eastAsia="zh-CN"/>
        </w:rPr>
        <w:t>（1）</w:t>
      </w:r>
      <w:r>
        <w:rPr>
          <w:rFonts w:hint="eastAsia" w:cs="仿宋_GB2312"/>
          <w:color w:val="auto"/>
          <w:sz w:val="28"/>
          <w:szCs w:val="28"/>
          <w:highlight w:val="none"/>
          <w:lang w:val="en-US" w:eastAsia="zh-CN"/>
        </w:rPr>
        <w:t>经济成本指标</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cs="仿宋_GB2312"/>
          <w:color w:val="auto"/>
          <w:sz w:val="28"/>
          <w:szCs w:val="28"/>
          <w:highlight w:val="none"/>
          <w:lang w:val="en-US" w:eastAsia="zh-CN"/>
        </w:rPr>
        <w:t>硬化灌溉渠道费用</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小于等于171.94万元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150.393262万元</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bidi w:val="0"/>
        <w:rPr>
          <w:rFonts w:hint="eastAsia" w:ascii="仿宋_GB2312" w:hAnsi="仿宋_GB2312" w:cs="仿宋_GB2312"/>
          <w:color w:val="auto"/>
          <w:sz w:val="28"/>
          <w:szCs w:val="28"/>
          <w:highlight w:val="none"/>
          <w:lang w:eastAsia="zh-CN"/>
        </w:rPr>
      </w:pPr>
      <w:r>
        <w:rPr>
          <w:rFonts w:hint="eastAsia" w:ascii="仿宋_GB2312" w:hAnsi="仿宋_GB2312" w:cs="仿宋_GB2312"/>
          <w:color w:val="auto"/>
          <w:sz w:val="28"/>
          <w:szCs w:val="28"/>
          <w:highlight w:val="none"/>
        </w:rPr>
        <w:t>“</w:t>
      </w:r>
      <w:r>
        <w:rPr>
          <w:rFonts w:hint="eastAsia" w:ascii="仿宋_GB2312" w:cs="仿宋_GB2312"/>
          <w:color w:val="auto"/>
          <w:sz w:val="28"/>
          <w:szCs w:val="28"/>
          <w:highlight w:val="none"/>
          <w:lang w:val="en-US" w:eastAsia="zh-CN"/>
        </w:rPr>
        <w:t>前期费用</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小于等于7.26万元</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6.137149万元，指标完成率为84.5%。主要原因是：</w:t>
      </w:r>
      <w:r>
        <w:rPr>
          <w:rFonts w:hint="eastAsia" w:ascii="仿宋_GB2312" w:hAnsi="仿宋_GB2312" w:cs="仿宋_GB2312"/>
          <w:color w:val="auto"/>
          <w:sz w:val="28"/>
          <w:szCs w:val="28"/>
          <w:highlight w:val="none"/>
        </w:rPr>
        <w:t>未及时申请支付监理费尾款；改进措施：做好工程进度监控，及时根据完成进度支付对应款项。</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w:t>
      </w:r>
      <w:r>
        <w:rPr>
          <w:rFonts w:hint="eastAsia" w:ascii="仿宋_GB2312" w:cs="仿宋_GB2312"/>
          <w:color w:val="auto"/>
          <w:sz w:val="28"/>
          <w:szCs w:val="28"/>
          <w:highlight w:val="none"/>
        </w:rPr>
        <w:t>包括</w:t>
      </w:r>
      <w:r>
        <w:rPr>
          <w:rFonts w:hint="eastAsia" w:ascii="仿宋_GB2312" w:cs="仿宋_GB2312"/>
          <w:color w:val="auto"/>
          <w:sz w:val="28"/>
          <w:szCs w:val="28"/>
          <w:highlight w:val="none"/>
          <w:lang w:val="en-US" w:eastAsia="zh-CN"/>
        </w:rPr>
        <w:t>社会效益、生态效益、服务对象满意度三个</w:t>
      </w:r>
      <w:r>
        <w:rPr>
          <w:rFonts w:hint="eastAsia" w:ascii="仿宋_GB2312" w:cs="仿宋_GB2312"/>
          <w:color w:val="auto"/>
          <w:sz w:val="28"/>
          <w:szCs w:val="28"/>
          <w:highlight w:val="none"/>
        </w:rPr>
        <w:t>方面，权重分为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w:t>
      </w:r>
    </w:p>
    <w:p>
      <w:pPr>
        <w:pStyle w:val="5"/>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1.</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项目扶持受益移民村(不含建成美丽）（个）</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等于1个</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1个</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default"/>
          <w:color w:val="auto"/>
          <w:highlight w:val="none"/>
          <w:lang w:val="en-US" w:eastAsia="zh-CN"/>
        </w:rPr>
      </w:pPr>
      <w:r>
        <w:rPr>
          <w:rFonts w:hint="eastAsia" w:ascii="仿宋_GB2312" w:hAnsi="仿宋_GB2312" w:cs="仿宋_GB2312"/>
          <w:color w:val="auto"/>
          <w:sz w:val="28"/>
          <w:szCs w:val="28"/>
          <w:highlight w:val="none"/>
          <w:lang w:val="en-US" w:eastAsia="zh-CN"/>
        </w:rPr>
        <w:t xml:space="preserve"> </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带动收入增加的村民人数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等于401人个</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401人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pStyle w:val="5"/>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olor w:val="auto"/>
          <w:highlight w:val="none"/>
          <w:lang w:val="en-US" w:eastAsia="zh-CN"/>
        </w:rPr>
        <w:t>生态效益指标完成情况分析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改善当地移民群众生活环境质量</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明显改善</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p>
      <w:pPr>
        <w:bidi w:val="0"/>
        <w:rPr>
          <w:rFonts w:hint="eastAsia" w:ascii="仿宋_GB2312" w:hAnsi="仿宋_GB2312" w:eastAsia="仿宋_GB2312" w:cs="Times New Roman"/>
          <w:b/>
          <w:bCs/>
          <w:color w:val="auto"/>
          <w:kern w:val="0"/>
          <w:sz w:val="28"/>
          <w:szCs w:val="32"/>
          <w:highlight w:val="none"/>
          <w:lang w:val="en-US" w:eastAsia="zh-CN" w:bidi="ar-SA"/>
        </w:rPr>
      </w:pPr>
      <w:r>
        <w:rPr>
          <w:rFonts w:hint="eastAsia" w:ascii="仿宋_GB2312" w:hAnsi="仿宋_GB2312" w:eastAsia="仿宋_GB2312" w:cs="Times New Roman"/>
          <w:b/>
          <w:bCs/>
          <w:color w:val="auto"/>
          <w:kern w:val="0"/>
          <w:sz w:val="28"/>
          <w:szCs w:val="32"/>
          <w:highlight w:val="none"/>
          <w:lang w:val="en-US" w:eastAsia="zh-CN" w:bidi="ar-SA"/>
        </w:rPr>
        <w:t>3.服务对象满意度指标完成情况分析</w:t>
      </w:r>
    </w:p>
    <w:p>
      <w:pPr>
        <w:bidi w:val="0"/>
        <w:rPr>
          <w:rFonts w:hint="eastAsia" w:ascii="仿宋_GB2312" w:hAnsi="仿宋_GB2312" w:eastAsia="仿宋_GB2312" w:cs="仿宋_GB2312"/>
          <w:color w:val="auto"/>
          <w:sz w:val="28"/>
          <w:szCs w:val="28"/>
          <w:highlight w:val="none"/>
          <w:lang w:eastAsia="zh-CN"/>
        </w:rPr>
      </w:pPr>
      <w:r>
        <w:rPr>
          <w:rFonts w:hint="eastAsia"/>
          <w:color w:val="auto"/>
          <w:highlight w:val="none"/>
          <w:lang w:val="en-US" w:eastAsia="zh-CN"/>
        </w:rPr>
        <w:t xml:space="preserve"> </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移民对后期扶持政策实施满意度（%）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p>
    <w:bookmarkEnd w:id="15"/>
    <w:p>
      <w:pPr>
        <w:pStyle w:val="3"/>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pPr>
        <w:pStyle w:val="8"/>
        <w:rPr>
          <w:rFonts w:hint="eastAsia"/>
          <w:color w:val="auto"/>
          <w:highlight w:val="none"/>
          <w:lang w:val="en-US" w:eastAsia="zh-CN"/>
        </w:rPr>
      </w:pPr>
      <w:r>
        <w:rPr>
          <w:rFonts w:hint="eastAsia"/>
          <w:color w:val="auto"/>
          <w:highlight w:val="none"/>
          <w:lang w:eastAsia="zh-CN"/>
        </w:rPr>
        <w:t>本项目</w:t>
      </w:r>
      <w:r>
        <w:rPr>
          <w:rFonts w:hint="eastAsia"/>
          <w:color w:val="auto"/>
          <w:highlight w:val="none"/>
          <w:lang w:val="en-US" w:eastAsia="zh-CN"/>
        </w:rPr>
        <w:t>全年预算数为196万元，全年到位数为196万元，全年执行数为</w:t>
      </w:r>
      <w:r>
        <w:rPr>
          <w:rFonts w:hint="eastAsia"/>
          <w:color w:val="auto"/>
          <w:highlight w:val="none"/>
        </w:rPr>
        <w:t>150.39326</w:t>
      </w:r>
      <w:r>
        <w:rPr>
          <w:rFonts w:hint="eastAsia"/>
          <w:color w:val="auto"/>
          <w:highlight w:val="none"/>
          <w:lang w:val="en-US" w:eastAsia="zh-CN"/>
        </w:rPr>
        <w:t>2万元，预算执行率为79.86%。</w:t>
      </w:r>
    </w:p>
    <w:p>
      <w:pPr>
        <w:pStyle w:val="8"/>
        <w:rPr>
          <w:color w:val="auto"/>
          <w:highlight w:val="none"/>
        </w:rPr>
      </w:pPr>
      <w:r>
        <w:rPr>
          <w:rFonts w:hint="eastAsia"/>
          <w:color w:val="auto"/>
          <w:highlight w:val="none"/>
        </w:rPr>
        <w:t>本</w:t>
      </w:r>
      <w:r>
        <w:rPr>
          <w:rFonts w:hint="eastAsia"/>
          <w:color w:val="auto"/>
          <w:highlight w:val="none"/>
          <w:lang w:val="zh-TW" w:eastAsia="zh-TW"/>
        </w:rPr>
        <w:t>项目</w:t>
      </w:r>
      <w:r>
        <w:rPr>
          <w:rFonts w:hint="eastAsia"/>
          <w:color w:val="auto"/>
          <w:highlight w:val="none"/>
          <w:lang w:val="zh-TW" w:eastAsia="zh-CN"/>
        </w:rPr>
        <w:t>绩效指标体系表</w:t>
      </w:r>
      <w:r>
        <w:rPr>
          <w:rFonts w:hint="eastAsia"/>
          <w:color w:val="auto"/>
          <w:highlight w:val="none"/>
          <w:lang w:val="zh-TW" w:eastAsia="zh-TW"/>
        </w:rPr>
        <w:t>共设置</w:t>
      </w:r>
      <w:r>
        <w:rPr>
          <w:rFonts w:hint="eastAsia"/>
          <w:color w:val="auto"/>
          <w:highlight w:val="none"/>
        </w:rPr>
        <w:t>三级指标数量</w:t>
      </w:r>
      <w:r>
        <w:rPr>
          <w:rFonts w:hint="eastAsia"/>
          <w:color w:val="auto"/>
          <w:highlight w:val="none"/>
          <w:lang w:val="en-US" w:eastAsia="zh-CN"/>
        </w:rPr>
        <w:t>23</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20个，扣分指标数量3个，经分析计算所有三级指标完成率得出本项目</w:t>
      </w:r>
      <w:r>
        <w:rPr>
          <w:rFonts w:hint="eastAsia"/>
          <w:color w:val="auto"/>
          <w:highlight w:val="none"/>
        </w:rPr>
        <w:t>总体完成率为</w:t>
      </w:r>
      <w:r>
        <w:rPr>
          <w:rFonts w:hint="eastAsia"/>
          <w:color w:val="auto"/>
          <w:highlight w:val="none"/>
          <w:lang w:val="en-US" w:eastAsia="zh-CN"/>
        </w:rPr>
        <w:t>96.71</w:t>
      </w:r>
      <w:r>
        <w:rPr>
          <w:rFonts w:hint="eastAsia"/>
          <w:color w:val="auto"/>
          <w:highlight w:val="none"/>
          <w:lang w:val="zh-TW" w:eastAsia="zh-TW"/>
        </w:rPr>
        <w:t>%。</w:t>
      </w:r>
    </w:p>
    <w:p>
      <w:pPr>
        <w:pStyle w:val="8"/>
        <w:rPr>
          <w:rFonts w:hint="default"/>
          <w:color w:val="auto"/>
          <w:highlight w:val="none"/>
          <w:lang w:val="zh-TW" w:eastAsia="zh-CN"/>
        </w:rPr>
      </w:pPr>
      <w:r>
        <w:rPr>
          <w:rFonts w:hint="eastAsia"/>
          <w:color w:val="auto"/>
          <w:highlight w:val="none"/>
          <w:lang w:val="en-US" w:eastAsia="zh-CN"/>
        </w:rPr>
        <w:t>综上所述本项目预算执行率与总体完成率之间的偏差为16.85%。</w:t>
      </w:r>
    </w:p>
    <w:p>
      <w:pPr>
        <w:pStyle w:val="3"/>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4"/>
        <w:numPr>
          <w:ilvl w:val="0"/>
          <w:numId w:val="0"/>
        </w:numPr>
        <w:ind w:firstLine="643" w:firstLineChars="200"/>
        <w:rPr>
          <w:rFonts w:hint="eastAsia"/>
          <w:color w:val="auto"/>
          <w:highlight w:val="none"/>
          <w:lang w:eastAsia="zh-CN"/>
        </w:rPr>
      </w:pPr>
      <w:bookmarkStart w:id="16" w:name="_Toc1921"/>
      <w:bookmarkStart w:id="17" w:name="_Toc28290"/>
      <w:r>
        <w:rPr>
          <w:rFonts w:hint="eastAsia"/>
          <w:color w:val="auto"/>
          <w:highlight w:val="none"/>
          <w:lang w:eastAsia="zh-CN"/>
        </w:rPr>
        <w:t>（</w:t>
      </w:r>
      <w:r>
        <w:rPr>
          <w:rFonts w:hint="eastAsia"/>
          <w:color w:val="auto"/>
          <w:highlight w:val="none"/>
          <w:lang w:val="en-US" w:eastAsia="zh-CN"/>
        </w:rPr>
        <w:t>一</w:t>
      </w:r>
      <w:r>
        <w:rPr>
          <w:rFonts w:hint="eastAsia"/>
          <w:color w:val="auto"/>
          <w:highlight w:val="none"/>
          <w:lang w:eastAsia="zh-CN"/>
        </w:rPr>
        <w:t>）</w:t>
      </w:r>
      <w:r>
        <w:rPr>
          <w:rFonts w:hint="eastAsia"/>
          <w:color w:val="auto"/>
          <w:highlight w:val="none"/>
        </w:rPr>
        <w:t>主要经验及做法</w:t>
      </w:r>
    </w:p>
    <w:p>
      <w:pPr>
        <w:bidi w:val="0"/>
        <w:rPr>
          <w:rFonts w:hint="eastAsia" w:ascii="Times New Roman" w:hAnsi="Times New Roman" w:cs="Times New Roman"/>
          <w:color w:val="auto"/>
          <w:highlight w:val="none"/>
          <w:lang w:val="en-US" w:eastAsia="zh-CN"/>
        </w:rPr>
      </w:pPr>
      <w:r>
        <w:rPr>
          <w:rFonts w:hint="eastAsia"/>
          <w:color w:val="auto"/>
          <w:highlight w:val="none"/>
          <w:lang w:val="en-US" w:eastAsia="zh-CN"/>
        </w:rPr>
        <w:t xml:space="preserve"> </w:t>
      </w:r>
      <w:r>
        <w:rPr>
          <w:rFonts w:hint="eastAsia" w:ascii="Times New Roman" w:hAnsi="Times New Roman" w:cs="Times New Roman"/>
          <w:color w:val="auto"/>
          <w:highlight w:val="none"/>
          <w:lang w:val="en-US" w:eastAsia="zh-CN"/>
        </w:rPr>
        <w:t>在上级专项资金使用方面，严格按照相关项目资金的使用管理办法执行，由</w:t>
      </w:r>
      <w:r>
        <w:rPr>
          <w:rFonts w:hint="eastAsia" w:cs="Times New Roman"/>
          <w:color w:val="auto"/>
          <w:highlight w:val="none"/>
          <w:lang w:val="en-US" w:eastAsia="zh-CN"/>
        </w:rPr>
        <w:t>克尔碱</w:t>
      </w:r>
      <w:r>
        <w:rPr>
          <w:rFonts w:hint="eastAsia" w:ascii="Times New Roman" w:hAnsi="Times New Roman" w:cs="Times New Roman"/>
          <w:color w:val="auto"/>
          <w:highlight w:val="none"/>
          <w:lang w:val="en-US" w:eastAsia="zh-CN"/>
        </w:rPr>
        <w:t>镇人民政府、财政共同监管。严格</w:t>
      </w:r>
      <w:r>
        <w:rPr>
          <w:rFonts w:hint="eastAsia" w:ascii="Times New Roman" w:hAnsi="Times New Roman" w:cs="Times New Roman"/>
          <w:color w:val="auto"/>
          <w:highlight w:val="none"/>
          <w:lang w:val="zh-TW" w:eastAsia="zh-TW"/>
        </w:rPr>
        <w:t>按规定办理资金拨付手续,专款专用</w:t>
      </w:r>
      <w:r>
        <w:rPr>
          <w:rFonts w:hint="eastAsia" w:ascii="Times New Roman" w:hAnsi="Times New Roman" w:cs="Times New Roman"/>
          <w:color w:val="auto"/>
          <w:highlight w:val="none"/>
          <w:lang w:val="zh-TW" w:eastAsia="zh-CN"/>
        </w:rPr>
        <w:t>，没有</w:t>
      </w:r>
      <w:r>
        <w:rPr>
          <w:rFonts w:hint="eastAsia" w:ascii="Times New Roman" w:hAnsi="Times New Roman" w:cs="Times New Roman"/>
          <w:color w:val="auto"/>
          <w:highlight w:val="none"/>
          <w:lang w:val="zh-TW" w:eastAsia="zh-TW"/>
        </w:rPr>
        <w:t>截留、滞留</w:t>
      </w:r>
      <w:r>
        <w:rPr>
          <w:rFonts w:hint="eastAsia" w:ascii="Times New Roman" w:hAnsi="Times New Roman" w:cs="Times New Roman"/>
          <w:color w:val="auto"/>
          <w:highlight w:val="none"/>
          <w:lang w:val="zh-TW" w:eastAsia="zh-CN"/>
        </w:rPr>
        <w:t>、</w:t>
      </w:r>
      <w:r>
        <w:rPr>
          <w:rFonts w:hint="eastAsia" w:ascii="Times New Roman" w:hAnsi="Times New Roman" w:cs="Times New Roman"/>
          <w:color w:val="auto"/>
          <w:highlight w:val="none"/>
          <w:lang w:val="zh-TW" w:eastAsia="zh-TW"/>
        </w:rPr>
        <w:t>扩大开支范围、挤占、挪用或被骗取、侵吞等违法违纪问题。</w:t>
      </w:r>
      <w:r>
        <w:rPr>
          <w:rFonts w:hint="eastAsia" w:ascii="仿宋_GB2312" w:cs="仿宋_GB2312"/>
          <w:color w:val="auto"/>
          <w:sz w:val="28"/>
          <w:szCs w:val="28"/>
          <w:highlight w:val="none"/>
        </w:rPr>
        <w:t>托克逊县2023年克尔碱镇英阿瓦提村渠道硬化项目</w:t>
      </w:r>
      <w:r>
        <w:rPr>
          <w:rFonts w:hint="eastAsia" w:ascii="仿宋_GB2312" w:cs="仿宋_GB2312"/>
          <w:color w:val="auto"/>
          <w:sz w:val="28"/>
          <w:szCs w:val="28"/>
          <w:highlight w:val="none"/>
          <w:lang w:eastAsia="zh-CN"/>
        </w:rPr>
        <w:t>，</w:t>
      </w:r>
      <w:r>
        <w:rPr>
          <w:rFonts w:hint="eastAsia" w:ascii="Times New Roman" w:hAnsi="Times New Roman" w:cs="Times New Roman"/>
          <w:color w:val="auto"/>
          <w:highlight w:val="none"/>
          <w:lang w:val="en-US" w:eastAsia="zh-CN"/>
        </w:rPr>
        <w:t>涉及到的购买</w:t>
      </w:r>
      <w:r>
        <w:rPr>
          <w:rFonts w:hint="eastAsia" w:cs="Times New Roman"/>
          <w:color w:val="auto"/>
          <w:highlight w:val="none"/>
          <w:lang w:val="en-US" w:eastAsia="zh-CN"/>
        </w:rPr>
        <w:t>政府采购</w:t>
      </w:r>
      <w:r>
        <w:rPr>
          <w:rFonts w:hint="eastAsia" w:ascii="Times New Roman" w:hAnsi="Times New Roman" w:cs="Times New Roman"/>
          <w:color w:val="auto"/>
          <w:highlight w:val="none"/>
          <w:lang w:val="en-US" w:eastAsia="zh-CN"/>
        </w:rPr>
        <w:t>严格执行了政府采购等相关规定。我单位严格按照</w:t>
      </w:r>
      <w:r>
        <w:rPr>
          <w:rFonts w:hint="eastAsia" w:cs="Times New Roman"/>
          <w:color w:val="auto"/>
          <w:highlight w:val="none"/>
          <w:lang w:val="en-US" w:eastAsia="zh-CN"/>
        </w:rPr>
        <w:t>《关于提前下达2023年中央大中型水库移民后期扶持资金预算的通知》</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新</w:t>
      </w:r>
      <w:r>
        <w:rPr>
          <w:rFonts w:hint="eastAsia" w:ascii="Times New Roman" w:hAnsi="Times New Roman" w:cs="Times New Roman"/>
          <w:color w:val="auto"/>
          <w:highlight w:val="none"/>
          <w:lang w:val="en-US" w:eastAsia="zh-CN"/>
        </w:rPr>
        <w:t>财</w:t>
      </w:r>
      <w:r>
        <w:rPr>
          <w:rFonts w:hint="eastAsia" w:cs="Times New Roman"/>
          <w:color w:val="auto"/>
          <w:highlight w:val="none"/>
          <w:lang w:val="en-US" w:eastAsia="zh-CN"/>
        </w:rPr>
        <w:t>农</w:t>
      </w:r>
      <w:r>
        <w:rPr>
          <w:rFonts w:hint="eastAsia" w:ascii="Times New Roman" w:hAnsi="Times New Roman" w:cs="Times New Roman"/>
          <w:color w:val="auto"/>
          <w:highlight w:val="none"/>
          <w:lang w:val="en-US" w:eastAsia="zh-CN"/>
        </w:rPr>
        <w:t>[202</w:t>
      </w:r>
      <w:r>
        <w:rPr>
          <w:rFonts w:hint="eastAsia" w:cs="Times New Roman"/>
          <w:color w:val="auto"/>
          <w:highlight w:val="none"/>
          <w:lang w:val="en-US" w:eastAsia="zh-CN"/>
        </w:rPr>
        <w:t>2</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75</w:t>
      </w:r>
      <w:r>
        <w:rPr>
          <w:rFonts w:hint="eastAsia" w:ascii="Times New Roman" w:hAnsi="Times New Roman" w:cs="Times New Roman"/>
          <w:color w:val="auto"/>
          <w:highlight w:val="none"/>
          <w:lang w:val="en-US" w:eastAsia="zh-CN"/>
        </w:rPr>
        <w:t>号）要求加强资金管理。成立由单位主要领导牵头，财务科室及相关业务科室负责人组成项目监督小组，实行项目支出审核，项目材料审核，现场勘验评价、综合分析评价，确保专款专用。建立健全项目建设、运行管理、财务管理等各项规章制度。县财政、审计部门和项目主管单位，对资金的使用随时进行检查、监督，提高资金使用效益，保证专项项目的顺利实施和计划任务的完成。</w:t>
      </w:r>
    </w:p>
    <w:p>
      <w:pPr>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通过实行县级部门报账、公示公告等有效监管办法，确保资金专款专用，特别是做到资金到项目、管理到项目、核算到项目。以资金投入控制项目规模，强化对项目资金的监督管理。同时，积极配合审计等有关部门做好审计、稽查等工作，对政策落实和资金使用中出现违纪行为，进行严肃查处，依法依纪追查。</w:t>
      </w:r>
    </w:p>
    <w:bookmarkEnd w:id="16"/>
    <w:bookmarkEnd w:id="17"/>
    <w:p>
      <w:pPr>
        <w:pStyle w:val="4"/>
        <w:numPr>
          <w:ilvl w:val="0"/>
          <w:numId w:val="0"/>
        </w:numPr>
        <w:ind w:firstLine="643" w:firstLineChars="200"/>
        <w:rPr>
          <w:color w:val="auto"/>
          <w:highlight w:val="none"/>
        </w:rPr>
      </w:pPr>
      <w:r>
        <w:rPr>
          <w:rFonts w:hint="eastAsia"/>
          <w:color w:val="auto"/>
          <w:highlight w:val="none"/>
          <w:lang w:eastAsia="zh-CN"/>
        </w:rPr>
        <w:t>（</w:t>
      </w:r>
      <w:r>
        <w:rPr>
          <w:rFonts w:hint="eastAsia"/>
          <w:color w:val="auto"/>
          <w:highlight w:val="none"/>
          <w:lang w:val="en-US" w:eastAsia="zh-CN"/>
        </w:rPr>
        <w:t>二</w:t>
      </w:r>
      <w:r>
        <w:rPr>
          <w:rFonts w:hint="eastAsia"/>
          <w:color w:val="auto"/>
          <w:highlight w:val="none"/>
          <w:lang w:eastAsia="zh-CN"/>
        </w:rPr>
        <w:t>）</w:t>
      </w:r>
      <w:r>
        <w:rPr>
          <w:rFonts w:hint="eastAsia"/>
          <w:color w:val="auto"/>
          <w:highlight w:val="none"/>
        </w:rPr>
        <w:t>存在的问题及原因分析</w:t>
      </w:r>
    </w:p>
    <w:p>
      <w:pPr>
        <w:bidi w:val="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1、项目绩效指标录入错误，将时效指标录入到满意度指标中，工作质量有待进一步提高，反映绩效填报工作需要加强审核。</w:t>
      </w:r>
    </w:p>
    <w:p>
      <w:pPr>
        <w:bidi w:val="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通过近几年对单位项目进行项目支出绩效评价工作，对一个项目从开始到结束全程进行目标监控，结合单位的工作性质，相关工作人员虽然逐步树立了绩效理念，但是了解的还不够深入，未能将绩效目标进行量化，还需要进一步加强项目绩效培训。</w:t>
      </w:r>
    </w:p>
    <w:p>
      <w:pPr>
        <w:pStyle w:val="3"/>
        <w:ind w:firstLine="640"/>
        <w:rPr>
          <w:rFonts w:hint="eastAsia"/>
          <w:color w:val="auto"/>
          <w:highlight w:val="none"/>
          <w:lang w:eastAsia="zh-CN"/>
        </w:rPr>
      </w:pPr>
      <w:r>
        <w:rPr>
          <w:rFonts w:hint="eastAsia"/>
          <w:color w:val="auto"/>
          <w:highlight w:val="none"/>
          <w:lang w:eastAsia="zh-CN"/>
        </w:rPr>
        <w:t>七</w:t>
      </w:r>
      <w:r>
        <w:rPr>
          <w:rFonts w:hint="eastAsia"/>
          <w:color w:val="auto"/>
          <w:highlight w:val="none"/>
        </w:rPr>
        <w:t>、有关建议</w:t>
      </w:r>
    </w:p>
    <w:p>
      <w:pPr>
        <w:bidi w:val="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做好项目的前期调研工作和实施方案，并按照编制的预算合理填写绩效目标和绩效指标，开展定期学习，将绩效管理深入到工作中，加强绩效审核工作，财务人员和项目人员做好充分沟通，并提交项目负责人审核，提高工作质量。</w:t>
      </w:r>
    </w:p>
    <w:p>
      <w:pPr>
        <w:bidi w:val="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2、监控过程中注意资金执行率与项目开展进度相互匹配，及时向财政部门提交资金申请，按进度支付项目资金。</w:t>
      </w:r>
    </w:p>
    <w:p>
      <w:pPr>
        <w:pStyle w:val="3"/>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rPr>
          <w:rFonts w:hint="default"/>
          <w:color w:val="auto"/>
          <w:highlight w:val="none"/>
          <w:lang w:val="en-US" w:eastAsia="zh-CN"/>
        </w:rPr>
      </w:pPr>
    </w:p>
    <w:p>
      <w:pPr>
        <w:rPr>
          <w:color w:val="auto"/>
          <w:highlight w:val="none"/>
        </w:rPr>
      </w:pPr>
    </w:p>
    <w:sectPr>
      <w:headerReference r:id="rId3" w:type="default"/>
      <w:footerReference r:id="rId4"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1"/>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iMWYzMzkzNzhkMDMxMTJlNDY0OWYwMzUwNTNlODkifQ=="/>
  </w:docVars>
  <w:rsids>
    <w:rsidRoot w:val="00000000"/>
    <w:rsid w:val="00A82695"/>
    <w:rsid w:val="00D104A8"/>
    <w:rsid w:val="04444391"/>
    <w:rsid w:val="06272EC5"/>
    <w:rsid w:val="06562867"/>
    <w:rsid w:val="0B241C84"/>
    <w:rsid w:val="12541D09"/>
    <w:rsid w:val="12CD386A"/>
    <w:rsid w:val="12FA3506"/>
    <w:rsid w:val="158603DB"/>
    <w:rsid w:val="17B35DB7"/>
    <w:rsid w:val="1D526A56"/>
    <w:rsid w:val="1DCD5A01"/>
    <w:rsid w:val="1F7E7863"/>
    <w:rsid w:val="20EB5FFE"/>
    <w:rsid w:val="274F07F9"/>
    <w:rsid w:val="29567CBD"/>
    <w:rsid w:val="2E1F2956"/>
    <w:rsid w:val="2EB545DD"/>
    <w:rsid w:val="349B22FF"/>
    <w:rsid w:val="35496A51"/>
    <w:rsid w:val="38A70712"/>
    <w:rsid w:val="39330366"/>
    <w:rsid w:val="3B950B19"/>
    <w:rsid w:val="3C215F09"/>
    <w:rsid w:val="3C6B3628"/>
    <w:rsid w:val="3DD42FE3"/>
    <w:rsid w:val="3ECD5516"/>
    <w:rsid w:val="41095829"/>
    <w:rsid w:val="42034EB4"/>
    <w:rsid w:val="43256A94"/>
    <w:rsid w:val="477E06B3"/>
    <w:rsid w:val="47CD1286"/>
    <w:rsid w:val="4B945D75"/>
    <w:rsid w:val="4DB207B0"/>
    <w:rsid w:val="52C55120"/>
    <w:rsid w:val="53381D82"/>
    <w:rsid w:val="539B316C"/>
    <w:rsid w:val="53F8370C"/>
    <w:rsid w:val="54547BCE"/>
    <w:rsid w:val="5474356A"/>
    <w:rsid w:val="54C9476F"/>
    <w:rsid w:val="54F17A3A"/>
    <w:rsid w:val="55122BE3"/>
    <w:rsid w:val="55D649EE"/>
    <w:rsid w:val="55E02D50"/>
    <w:rsid w:val="59EA14FB"/>
    <w:rsid w:val="5B9718EC"/>
    <w:rsid w:val="5C693032"/>
    <w:rsid w:val="5DA27C6B"/>
    <w:rsid w:val="6353259C"/>
    <w:rsid w:val="6475434A"/>
    <w:rsid w:val="66473AAF"/>
    <w:rsid w:val="68141534"/>
    <w:rsid w:val="6B2C711C"/>
    <w:rsid w:val="6B356DC4"/>
    <w:rsid w:val="6DEE7638"/>
    <w:rsid w:val="6E3336F6"/>
    <w:rsid w:val="6E8B7C84"/>
    <w:rsid w:val="713F18E2"/>
    <w:rsid w:val="73910DB4"/>
    <w:rsid w:val="74AF312B"/>
    <w:rsid w:val="7539118F"/>
    <w:rsid w:val="777079EF"/>
    <w:rsid w:val="796E5CAB"/>
    <w:rsid w:val="79D4189E"/>
    <w:rsid w:val="7A396538"/>
    <w:rsid w:val="7D167206"/>
    <w:rsid w:val="7D171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_Style 1"/>
    <w:qFormat/>
    <w:uiPriority w:val="0"/>
    <w:pPr>
      <w:widowControl w:val="0"/>
      <w:ind w:firstLine="200" w:firstLineChars="200"/>
      <w:jc w:val="both"/>
    </w:pPr>
    <w:rPr>
      <w:rFonts w:ascii="Times New Roman" w:hAnsi="Times New Roman" w:eastAsia="仿宋_GB2312" w:cs="Times New Roman"/>
      <w:kern w:val="2"/>
      <w:sz w:val="24"/>
      <w:szCs w:val="22"/>
      <w:lang w:val="en-US" w:eastAsia="zh-CN" w:bidi="ar-SA"/>
    </w:rPr>
  </w:style>
  <w:style w:type="paragraph" w:styleId="7">
    <w:name w:val="annotation text"/>
    <w:basedOn w:val="1"/>
    <w:qFormat/>
    <w:uiPriority w:val="0"/>
    <w:pPr>
      <w:jc w:val="left"/>
    </w:pPr>
  </w:style>
  <w:style w:type="paragraph" w:styleId="8">
    <w:name w:val="Body Text"/>
    <w:basedOn w:val="1"/>
    <w:next w:val="9"/>
    <w:qFormat/>
    <w:uiPriority w:val="0"/>
  </w:style>
  <w:style w:type="paragraph" w:styleId="9">
    <w:name w:val="Body Text 2"/>
    <w:basedOn w:val="1"/>
    <w:qFormat/>
    <w:uiPriority w:val="0"/>
    <w:pPr>
      <w:spacing w:after="120" w:line="480" w:lineRule="auto"/>
    </w:pPr>
    <w:rPr>
      <w:rFonts w:ascii="Times New Roman" w:hAnsi="Times New Roman" w:eastAsia="宋体" w:cs="Times New Roman"/>
    </w:rPr>
  </w:style>
  <w:style w:type="paragraph" w:styleId="10">
    <w:name w:val="Body Text Indent"/>
    <w:basedOn w:val="1"/>
    <w:qFormat/>
    <w:uiPriority w:val="0"/>
    <w:pPr>
      <w:ind w:firstLine="645"/>
    </w:pPr>
    <w:rPr>
      <w:rFonts w:ascii="仿宋_GB2312" w:eastAsia="仿宋_GB2312"/>
      <w:sz w:val="32"/>
      <w:szCs w:val="32"/>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3">
    <w:name w:val="Body Text First Indent 2"/>
    <w:basedOn w:val="10"/>
    <w:qFormat/>
    <w:uiPriority w:val="0"/>
    <w:pPr>
      <w:ind w:firstLine="420" w:firstLineChars="200"/>
    </w:pPr>
  </w:style>
  <w:style w:type="character" w:styleId="16">
    <w:name w:val="Strong"/>
    <w:basedOn w:val="15"/>
    <w:qFormat/>
    <w:uiPriority w:val="0"/>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8773</Words>
  <Characters>9431</Characters>
  <Lines>0</Lines>
  <Paragraphs>0</Paragraphs>
  <TotalTime>13</TotalTime>
  <ScaleCrop>false</ScaleCrop>
  <LinksUpToDate>false</LinksUpToDate>
  <CharactersWithSpaces>9435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2024-08-20T03:21:49Z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