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255BD">
      <w:pPr>
        <w:jc w:val="center"/>
        <w:rPr>
          <w:rFonts w:ascii="宋体" w:hAnsi="宋体" w:eastAsia="宋体" w:cs="Arial"/>
          <w:b/>
          <w:bCs/>
          <w:sz w:val="36"/>
          <w:szCs w:val="36"/>
        </w:rPr>
      </w:pPr>
    </w:p>
    <w:p w14:paraId="6617F72D">
      <w:pPr>
        <w:jc w:val="center"/>
        <w:rPr>
          <w:rFonts w:ascii="宋体" w:hAnsi="宋体" w:eastAsia="宋体" w:cs="Arial"/>
          <w:b/>
          <w:bCs/>
          <w:sz w:val="36"/>
          <w:szCs w:val="36"/>
        </w:rPr>
      </w:pPr>
    </w:p>
    <w:p w14:paraId="78CD0098">
      <w:pPr>
        <w:jc w:val="center"/>
        <w:rPr>
          <w:rFonts w:ascii="宋体" w:hAnsi="宋体" w:eastAsia="宋体" w:cs="Arial"/>
          <w:b/>
          <w:bCs/>
          <w:sz w:val="36"/>
          <w:szCs w:val="36"/>
        </w:rPr>
      </w:pPr>
    </w:p>
    <w:p w14:paraId="34E49CE9">
      <w:pPr>
        <w:pageBreakBefore w:val="0"/>
        <w:kinsoku/>
        <w:wordWrap/>
        <w:topLinePunct w:val="0"/>
        <w:autoSpaceDE/>
        <w:autoSpaceDN/>
        <w:bidi w:val="0"/>
        <w:spacing w:line="560" w:lineRule="exact"/>
        <w:ind w:left="0" w:leftChars="0" w:firstLine="0" w:firstLineChars="0"/>
        <w:jc w:val="center"/>
        <w:textAlignment w:val="auto"/>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年中央农业资源及生态保护补助项目</w:t>
      </w:r>
    </w:p>
    <w:p w14:paraId="478E0655">
      <w:pPr>
        <w:pageBreakBefore w:val="0"/>
        <w:kinsoku/>
        <w:wordWrap/>
        <w:topLinePunct w:val="0"/>
        <w:autoSpaceDE/>
        <w:autoSpaceDN/>
        <w:bidi w:val="0"/>
        <w:spacing w:line="560" w:lineRule="exact"/>
        <w:ind w:left="0" w:leftChars="0" w:firstLine="0" w:firstLineChars="0"/>
        <w:jc w:val="center"/>
        <w:textAlignment w:val="auto"/>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支出绩效评价报告</w:t>
      </w:r>
    </w:p>
    <w:p w14:paraId="3535026D">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14:paraId="3F3EAD28">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14:paraId="1FEC47FE">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14:paraId="4B75CA3F">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14:paraId="1F388CF8">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14:paraId="5F96FDEE">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14:paraId="65B77DB2">
      <w:pPr>
        <w:pStyle w:val="8"/>
        <w:rPr>
          <w:rFonts w:ascii="宋体" w:hAnsi="宋体" w:eastAsia="宋体" w:cs="Arial"/>
          <w:b/>
          <w:bCs/>
          <w:color w:val="auto"/>
          <w:sz w:val="36"/>
          <w:szCs w:val="36"/>
          <w:highlight w:val="none"/>
        </w:rPr>
      </w:pPr>
    </w:p>
    <w:p w14:paraId="174499EF">
      <w:pPr>
        <w:pStyle w:val="8"/>
        <w:rPr>
          <w:rFonts w:ascii="宋体" w:hAnsi="宋体" w:eastAsia="宋体" w:cs="Arial"/>
          <w:b/>
          <w:bCs/>
          <w:color w:val="auto"/>
          <w:sz w:val="36"/>
          <w:szCs w:val="36"/>
          <w:highlight w:val="none"/>
        </w:rPr>
      </w:pPr>
    </w:p>
    <w:p w14:paraId="486B5B13">
      <w:pPr>
        <w:pStyle w:val="8"/>
        <w:rPr>
          <w:rFonts w:ascii="宋体" w:hAnsi="宋体" w:eastAsia="宋体" w:cs="Arial"/>
          <w:b/>
          <w:bCs/>
          <w:color w:val="auto"/>
          <w:sz w:val="36"/>
          <w:szCs w:val="36"/>
          <w:highlight w:val="none"/>
        </w:rPr>
      </w:pPr>
    </w:p>
    <w:p w14:paraId="0E706ED9">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14:paraId="006B9517">
      <w:pPr>
        <w:pStyle w:val="5"/>
        <w:pageBreakBefore w:val="0"/>
        <w:kinsoku/>
        <w:wordWrap/>
        <w:topLinePunct w:val="0"/>
        <w:autoSpaceDE/>
        <w:autoSpaceDN/>
        <w:bidi w:val="0"/>
        <w:spacing w:line="560" w:lineRule="exact"/>
        <w:textAlignment w:val="auto"/>
        <w:rPr>
          <w:color w:val="auto"/>
          <w:highlight w:val="none"/>
        </w:rPr>
      </w:pPr>
    </w:p>
    <w:p w14:paraId="2B912168">
      <w:pPr>
        <w:pageBreakBefore w:val="0"/>
        <w:kinsoku/>
        <w:wordWrap/>
        <w:topLinePunct w:val="0"/>
        <w:autoSpaceDE/>
        <w:autoSpaceDN/>
        <w:bidi w:val="0"/>
        <w:spacing w:line="560" w:lineRule="exact"/>
        <w:ind w:firstLine="600"/>
        <w:textAlignment w:val="auto"/>
        <w:rPr>
          <w:rFonts w:hint="default" w:ascii="黑体" w:eastAsia="仿宋_GB2312"/>
          <w:color w:val="auto"/>
          <w:sz w:val="32"/>
          <w:szCs w:val="32"/>
          <w:highlight w:val="none"/>
          <w:lang w:val="en-US" w:eastAsia="zh-CN"/>
        </w:rPr>
      </w:pPr>
      <w:r>
        <w:rPr>
          <w:rFonts w:hint="eastAsia" w:ascii="黑体" w:eastAsia="黑体"/>
          <w:color w:val="auto"/>
          <w:sz w:val="32"/>
          <w:szCs w:val="32"/>
          <w:highlight w:val="none"/>
        </w:rPr>
        <w:t>项目名称：</w:t>
      </w:r>
      <w:r>
        <w:rPr>
          <w:rFonts w:hint="eastAsia"/>
          <w:color w:val="auto"/>
          <w:highlight w:val="none"/>
          <w:lang w:val="en-US" w:eastAsia="zh-CN"/>
        </w:rPr>
        <w:t>2023年中央农业资源及生态保护补助项目</w:t>
      </w:r>
    </w:p>
    <w:p w14:paraId="7A35769F">
      <w:pPr>
        <w:pageBreakBefore w:val="0"/>
        <w:kinsoku/>
        <w:wordWrap/>
        <w:topLinePunct w:val="0"/>
        <w:autoSpaceDE/>
        <w:autoSpaceDN/>
        <w:bidi w:val="0"/>
        <w:spacing w:line="560" w:lineRule="exact"/>
        <w:ind w:firstLine="600"/>
        <w:textAlignment w:val="auto"/>
        <w:rPr>
          <w:rFonts w:hint="eastAsia" w:ascii="黑体" w:eastAsia="黑体"/>
          <w:color w:val="auto"/>
          <w:sz w:val="32"/>
          <w:szCs w:val="32"/>
          <w:highlight w:val="none"/>
          <w:lang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eastAsia="zh-CN"/>
        </w:rPr>
        <w:t>托克逊县农业农村局</w:t>
      </w:r>
    </w:p>
    <w:p w14:paraId="7D74B0CF">
      <w:pPr>
        <w:pageBreakBefore w:val="0"/>
        <w:kinsoku/>
        <w:wordWrap/>
        <w:topLinePunct w:val="0"/>
        <w:autoSpaceDE/>
        <w:autoSpaceDN/>
        <w:bidi w:val="0"/>
        <w:spacing w:line="560" w:lineRule="exact"/>
        <w:ind w:firstLine="600"/>
        <w:textAlignment w:val="auto"/>
        <w:rPr>
          <w:rFonts w:hint="eastAsia" w:ascii="黑体" w:eastAsia="黑体"/>
          <w:color w:val="auto"/>
          <w:sz w:val="32"/>
          <w:szCs w:val="32"/>
          <w:highlight w:val="none"/>
          <w:lang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eastAsia="zh-CN"/>
        </w:rPr>
        <w:t>张思维</w:t>
      </w:r>
    </w:p>
    <w:p w14:paraId="252061C6">
      <w:pPr>
        <w:pageBreakBefore w:val="0"/>
        <w:kinsoku/>
        <w:wordWrap/>
        <w:topLinePunct w:val="0"/>
        <w:autoSpaceDE/>
        <w:autoSpaceDN/>
        <w:bidi w:val="0"/>
        <w:spacing w:line="560" w:lineRule="exact"/>
        <w:ind w:firstLine="600"/>
        <w:textAlignment w:val="auto"/>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1</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9日</w:t>
      </w:r>
    </w:p>
    <w:p w14:paraId="59D0C540">
      <w:pPr>
        <w:pageBreakBefore w:val="0"/>
        <w:kinsoku/>
        <w:wordWrap/>
        <w:topLinePunct w:val="0"/>
        <w:autoSpaceDE/>
        <w:autoSpaceDN/>
        <w:bidi w:val="0"/>
        <w:spacing w:line="560" w:lineRule="exact"/>
        <w:ind w:left="0" w:leftChars="0" w:firstLine="0" w:firstLineChars="0"/>
        <w:jc w:val="center"/>
        <w:textAlignment w:val="auto"/>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w:t>
      </w:r>
      <w:r>
        <w:rPr>
          <w:rFonts w:hint="eastAsia" w:ascii="黑体" w:hAnsi="黑体" w:eastAsia="黑体" w:cs="黑体"/>
          <w:b/>
          <w:bCs/>
          <w:color w:val="auto"/>
          <w:sz w:val="36"/>
          <w:szCs w:val="36"/>
          <w:highlight w:val="none"/>
          <w:lang w:val="en-US" w:eastAsia="zh-CN"/>
        </w:rPr>
        <w:t>3</w:t>
      </w:r>
      <w:r>
        <w:rPr>
          <w:rFonts w:hint="eastAsia" w:ascii="黑体" w:hAnsi="黑体" w:eastAsia="黑体" w:cs="黑体"/>
          <w:b/>
          <w:bCs/>
          <w:color w:val="auto"/>
          <w:sz w:val="36"/>
          <w:szCs w:val="36"/>
          <w:highlight w:val="none"/>
        </w:rPr>
        <w:t>年中央农业资源及生态保护补助项目</w:t>
      </w:r>
    </w:p>
    <w:p w14:paraId="3B14FB80">
      <w:pPr>
        <w:pageBreakBefore w:val="0"/>
        <w:kinsoku/>
        <w:wordWrap/>
        <w:topLinePunct w:val="0"/>
        <w:autoSpaceDE/>
        <w:autoSpaceDN/>
        <w:bidi w:val="0"/>
        <w:spacing w:line="560" w:lineRule="exact"/>
        <w:jc w:val="center"/>
        <w:textAlignment w:val="auto"/>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支出绩效评价报告</w:t>
      </w:r>
    </w:p>
    <w:p w14:paraId="11174E30">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rPr>
        <w:t>一、基本情况</w:t>
      </w:r>
    </w:p>
    <w:p w14:paraId="47DBCA61">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1.项目背景</w:t>
      </w:r>
    </w:p>
    <w:p w14:paraId="0D60CE63">
      <w:pPr>
        <w:pStyle w:val="4"/>
        <w:pageBreakBefore w:val="0"/>
        <w:kinsoku/>
        <w:wordWrap/>
        <w:topLinePunct w:val="0"/>
        <w:autoSpaceDE/>
        <w:autoSpaceDN/>
        <w:bidi w:val="0"/>
        <w:spacing w:line="560" w:lineRule="exact"/>
        <w:ind w:firstLine="643"/>
        <w:textAlignment w:val="auto"/>
        <w:rPr>
          <w:color w:val="auto"/>
          <w:highlight w:val="none"/>
        </w:rPr>
      </w:pPr>
      <w:r>
        <w:rPr>
          <w:rFonts w:hint="eastAsia"/>
          <w:color w:val="auto"/>
          <w:highlight w:val="none"/>
        </w:rPr>
        <w:t>（一）项目概况</w:t>
      </w:r>
    </w:p>
    <w:p w14:paraId="1C9442BD">
      <w:pPr>
        <w:pStyle w:val="5"/>
        <w:pageBreakBefore w:val="0"/>
        <w:kinsoku/>
        <w:wordWrap/>
        <w:topLinePunct w:val="0"/>
        <w:autoSpaceDE/>
        <w:autoSpaceDN/>
        <w:bidi w:val="0"/>
        <w:spacing w:line="560" w:lineRule="exact"/>
        <w:ind w:firstLine="840" w:firstLineChars="300"/>
        <w:textAlignment w:val="auto"/>
        <w:rPr>
          <w:rFonts w:hint="eastAsia" w:ascii="仿宋_GB2312" w:hAnsi="Times New Roman" w:eastAsia="仿宋_GB2312" w:cs="Times New Roman"/>
          <w:b w:val="0"/>
          <w:bCs w:val="0"/>
          <w:color w:val="auto"/>
          <w:kern w:val="2"/>
          <w:sz w:val="28"/>
          <w:szCs w:val="28"/>
          <w:highlight w:val="none"/>
          <w:lang w:val="en-US" w:eastAsia="zh-CN" w:bidi="ar-SA"/>
        </w:rPr>
      </w:pPr>
      <w:r>
        <w:rPr>
          <w:rFonts w:hint="eastAsia" w:ascii="仿宋_GB2312" w:hAnsi="Times New Roman" w:eastAsia="仿宋_GB2312" w:cs="Times New Roman"/>
          <w:b w:val="0"/>
          <w:bCs w:val="0"/>
          <w:color w:val="auto"/>
          <w:kern w:val="2"/>
          <w:sz w:val="28"/>
          <w:szCs w:val="28"/>
          <w:highlight w:val="none"/>
          <w:lang w:val="en-US" w:eastAsia="zh-CN" w:bidi="ar-SA"/>
        </w:rPr>
        <w:t>根据《新疆维吾尔自治区第三轮草原生态保护补助奖励政策实施方案(2021-2025年)的通知》(新财农【2021】78号)，《吐鲁番市实施草原生态保护补助奖励政策实施方案（2021-2025年）的通知》(吐市财农【2021】27号)文件精神，202</w:t>
      </w:r>
      <w:r>
        <w:rPr>
          <w:rFonts w:hint="eastAsia" w:hAnsi="Times New Roman" w:cs="Times New Roman"/>
          <w:b w:val="0"/>
          <w:bCs w:val="0"/>
          <w:color w:val="auto"/>
          <w:kern w:val="2"/>
          <w:sz w:val="28"/>
          <w:szCs w:val="28"/>
          <w:highlight w:val="none"/>
          <w:lang w:val="en-US" w:eastAsia="zh-CN" w:bidi="ar-SA"/>
        </w:rPr>
        <w:t>3</w:t>
      </w:r>
      <w:r>
        <w:rPr>
          <w:rFonts w:hint="eastAsia" w:ascii="仿宋_GB2312" w:hAnsi="Times New Roman" w:eastAsia="仿宋_GB2312" w:cs="Times New Roman"/>
          <w:b w:val="0"/>
          <w:bCs w:val="0"/>
          <w:color w:val="auto"/>
          <w:kern w:val="2"/>
          <w:sz w:val="28"/>
          <w:szCs w:val="28"/>
          <w:highlight w:val="none"/>
          <w:lang w:val="en-US" w:eastAsia="zh-CN" w:bidi="ar-SA"/>
        </w:rPr>
        <w:t>年我县落实草原补助奖励总面积</w:t>
      </w:r>
      <w:r>
        <w:rPr>
          <w:rFonts w:hint="eastAsia" w:hAnsi="Times New Roman" w:cs="Times New Roman"/>
          <w:b w:val="0"/>
          <w:bCs w:val="0"/>
          <w:color w:val="auto"/>
          <w:kern w:val="2"/>
          <w:sz w:val="28"/>
          <w:szCs w:val="28"/>
          <w:highlight w:val="none"/>
          <w:lang w:val="en-US" w:eastAsia="zh-CN" w:bidi="ar-SA"/>
        </w:rPr>
        <w:t>449.42</w:t>
      </w:r>
      <w:r>
        <w:rPr>
          <w:rFonts w:hint="eastAsia" w:ascii="仿宋_GB2312" w:hAnsi="Times New Roman" w:eastAsia="仿宋_GB2312" w:cs="Times New Roman"/>
          <w:b w:val="0"/>
          <w:bCs w:val="0"/>
          <w:color w:val="auto"/>
          <w:kern w:val="2"/>
          <w:sz w:val="28"/>
          <w:szCs w:val="28"/>
          <w:highlight w:val="none"/>
          <w:lang w:val="en-US" w:eastAsia="zh-CN" w:bidi="ar-SA"/>
        </w:rPr>
        <w:t>万亩，其中禁牧草原面积38</w:t>
      </w:r>
      <w:r>
        <w:rPr>
          <w:rFonts w:hint="eastAsia" w:hAnsi="Times New Roman" w:cs="Times New Roman"/>
          <w:b w:val="0"/>
          <w:bCs w:val="0"/>
          <w:color w:val="auto"/>
          <w:kern w:val="2"/>
          <w:sz w:val="28"/>
          <w:szCs w:val="28"/>
          <w:highlight w:val="none"/>
          <w:lang w:val="en-US" w:eastAsia="zh-CN" w:bidi="ar-SA"/>
        </w:rPr>
        <w:t>7.02</w:t>
      </w:r>
      <w:r>
        <w:rPr>
          <w:rFonts w:hint="eastAsia" w:ascii="仿宋_GB2312" w:hAnsi="Times New Roman" w:eastAsia="仿宋_GB2312" w:cs="Times New Roman"/>
          <w:b w:val="0"/>
          <w:bCs w:val="0"/>
          <w:color w:val="auto"/>
          <w:kern w:val="2"/>
          <w:sz w:val="28"/>
          <w:szCs w:val="28"/>
          <w:highlight w:val="none"/>
          <w:lang w:val="en-US" w:eastAsia="zh-CN" w:bidi="ar-SA"/>
        </w:rPr>
        <w:t>万亩，按照每亩6.0</w:t>
      </w:r>
      <w:r>
        <w:rPr>
          <w:rFonts w:hint="eastAsia" w:hAnsi="Times New Roman" w:cs="Times New Roman"/>
          <w:b w:val="0"/>
          <w:bCs w:val="0"/>
          <w:color w:val="auto"/>
          <w:kern w:val="2"/>
          <w:sz w:val="28"/>
          <w:szCs w:val="28"/>
          <w:highlight w:val="none"/>
          <w:lang w:val="en-US" w:eastAsia="zh-CN" w:bidi="ar-SA"/>
        </w:rPr>
        <w:t>7</w:t>
      </w:r>
      <w:r>
        <w:rPr>
          <w:rFonts w:hint="eastAsia" w:ascii="仿宋_GB2312" w:hAnsi="Times New Roman" w:eastAsia="仿宋_GB2312" w:cs="Times New Roman"/>
          <w:b w:val="0"/>
          <w:bCs w:val="0"/>
          <w:color w:val="auto"/>
          <w:kern w:val="2"/>
          <w:sz w:val="28"/>
          <w:szCs w:val="28"/>
          <w:highlight w:val="none"/>
          <w:lang w:val="en-US" w:eastAsia="zh-CN" w:bidi="ar-SA"/>
        </w:rPr>
        <w:t>元的禁牧标准补助,每年补助资金2349.18万元;实施草畜平衡化管理面积62.4万亩，按照每年每亩2.5元的标准,每年所需草畜平衡补助资金156万元。两项合计2505.18万元。</w:t>
      </w:r>
    </w:p>
    <w:p w14:paraId="0DF56803">
      <w:pPr>
        <w:pStyle w:val="14"/>
        <w:keepNext w:val="0"/>
        <w:keepLines w:val="0"/>
        <w:pageBreakBefore w:val="0"/>
        <w:widowControl w:val="0"/>
        <w:shd w:val="clear" w:color="auto" w:fill="auto"/>
        <w:kinsoku/>
        <w:wordWrap/>
        <w:overflowPunct/>
        <w:topLinePunct w:val="0"/>
        <w:autoSpaceDE/>
        <w:autoSpaceDN/>
        <w:bidi w:val="0"/>
        <w:spacing w:line="560" w:lineRule="exact"/>
        <w:ind w:right="0" w:rightChars="0"/>
        <w:jc w:val="both"/>
        <w:textAlignment w:val="auto"/>
        <w:rPr>
          <w:rFonts w:hint="eastAsia" w:ascii="仿宋_GB2312" w:hAnsi="Times New Roman" w:eastAsia="仿宋_GB2312" w:cs="Times New Roman"/>
          <w:b w:val="0"/>
          <w:bCs w:val="0"/>
          <w:color w:val="auto"/>
          <w:kern w:val="2"/>
          <w:sz w:val="28"/>
          <w:szCs w:val="28"/>
          <w:highlight w:val="none"/>
          <w:lang w:val="en-US" w:eastAsia="zh-CN" w:bidi="ar-SA"/>
        </w:rPr>
      </w:pPr>
      <w:r>
        <w:rPr>
          <w:rFonts w:hint="eastAsia" w:ascii="仿宋_GB2312" w:hAnsi="Times New Roman" w:eastAsia="仿宋_GB2312" w:cs="Times New Roman"/>
          <w:b w:val="0"/>
          <w:bCs w:val="0"/>
          <w:color w:val="auto"/>
          <w:kern w:val="2"/>
          <w:sz w:val="28"/>
          <w:szCs w:val="28"/>
          <w:highlight w:val="none"/>
          <w:lang w:val="en-US" w:eastAsia="zh-CN" w:bidi="ar-SA"/>
        </w:rPr>
        <w:t>按照生产生态有机结合，生态优先方针，树立“环保优先，生态立区”的理念，以草原保护与生态恢复为目标，以民生改善为根本，扎实推进草原保护“三项”基本制度，保护和恢复天然草原生态环境。进一步完善草场承包和牧户信息采集录入等基础工作，巩固禁牧草原和草畜平衡区草原成果，强化监管和绩效考核，引导牧民合理使用草原生态保护补助奖励资金。“十四五”期间国家启动实施第三轮草原奖补政策，是贯彻习近平生态文明思想， 统筹我国经济社会发展全局作出的重大决策;是坚持以人民为中 心的发展思想，促进人与自然和谐共生的具体体现；是统筹推进 草原生态保护、农牧民生活改善、草牧业生产转型和可持续发展， 实现牧区生产生活生态互促共赢的重要举措；是加快建设生态文 明、实现巩固拓展脱贫攻坚成果与乡村振兴有效衔接、维护民族 团结和边疆稳定的重要抓手。</w:t>
      </w:r>
    </w:p>
    <w:p w14:paraId="0F725219">
      <w:pPr>
        <w:pStyle w:val="5"/>
        <w:pageBreakBefore w:val="0"/>
        <w:kinsoku/>
        <w:wordWrap/>
        <w:topLinePunct w:val="0"/>
        <w:autoSpaceDE/>
        <w:autoSpaceDN/>
        <w:bidi w:val="0"/>
        <w:spacing w:line="560" w:lineRule="exact"/>
        <w:ind w:firstLine="562"/>
        <w:textAlignment w:val="auto"/>
        <w:rPr>
          <w:rFonts w:hint="eastAsia"/>
          <w:color w:val="auto"/>
          <w:highlight w:val="none"/>
        </w:rPr>
      </w:pPr>
      <w:r>
        <w:rPr>
          <w:rFonts w:hint="eastAsia"/>
          <w:color w:val="auto"/>
          <w:highlight w:val="none"/>
        </w:rPr>
        <w:t>2.项目实施主体</w:t>
      </w:r>
    </w:p>
    <w:p w14:paraId="5C642A97">
      <w:pPr>
        <w:pageBreakBefore w:val="0"/>
        <w:kinsoku/>
        <w:wordWrap/>
        <w:topLinePunct w:val="0"/>
        <w:autoSpaceDE/>
        <w:autoSpaceDN/>
        <w:bidi w:val="0"/>
        <w:spacing w:line="560" w:lineRule="exact"/>
        <w:ind w:firstLine="562"/>
        <w:textAlignment w:val="auto"/>
        <w:rPr>
          <w:rFonts w:hint="eastAsia"/>
          <w:b/>
          <w:color w:val="auto"/>
          <w:highlight w:val="none"/>
        </w:rPr>
      </w:pPr>
      <w:r>
        <w:rPr>
          <w:rFonts w:hint="eastAsia"/>
          <w:b/>
          <w:color w:val="auto"/>
          <w:highlight w:val="none"/>
        </w:rPr>
        <w:t>（1）单位职能</w:t>
      </w:r>
    </w:p>
    <w:p w14:paraId="051CA381">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一是</w:t>
      </w:r>
      <w:r>
        <w:rPr>
          <w:rFonts w:hint="eastAsia" w:ascii="仿宋_GB2312" w:eastAsia="仿宋_GB2312"/>
          <w:color w:val="auto"/>
          <w:sz w:val="28"/>
          <w:szCs w:val="28"/>
          <w:highlight w:val="none"/>
        </w:rPr>
        <w:t>贯彻落实托克逊县“三农</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工作的发展规划、重大决策。起草农业农村有关政府规章草案,指导监督农业综合执法</w:t>
      </w:r>
      <w:r>
        <w:rPr>
          <w:rFonts w:hint="eastAsia" w:ascii="仿宋_GB2312" w:eastAsia="仿宋_GB2312"/>
          <w:color w:val="auto"/>
          <w:sz w:val="28"/>
          <w:szCs w:val="28"/>
          <w:highlight w:val="none"/>
          <w:lang w:eastAsia="zh-CN"/>
        </w:rPr>
        <w:t>。</w:t>
      </w:r>
    </w:p>
    <w:p w14:paraId="0DC5B0E3">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0" w:firstLineChars="200"/>
        <w:jc w:val="both"/>
        <w:textAlignment w:val="auto"/>
        <w:outlineLvl w:val="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参与涉农的财税、价格、收储、金融保险等政策研究。</w:t>
      </w:r>
    </w:p>
    <w:p w14:paraId="1FB461F1">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二是</w:t>
      </w:r>
      <w:r>
        <w:rPr>
          <w:rFonts w:hint="eastAsia" w:ascii="仿宋_GB2312" w:eastAsia="仿宋_GB2312"/>
          <w:color w:val="auto"/>
          <w:sz w:val="28"/>
          <w:szCs w:val="28"/>
          <w:highlight w:val="none"/>
        </w:rPr>
        <w:t>统筹推动发展农村社会事业</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农村公共服务</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农村文化</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农村基础设施和乡村治理</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牵头组织改善农村人居环境。指导农村精神文明和优秀农耕文化建设。指导农业行业安全生产工作</w:t>
      </w:r>
      <w:r>
        <w:rPr>
          <w:rFonts w:hint="eastAsia" w:ascii="仿宋_GB2312" w:eastAsia="仿宋_GB2312"/>
          <w:color w:val="auto"/>
          <w:sz w:val="28"/>
          <w:szCs w:val="28"/>
          <w:highlight w:val="none"/>
          <w:lang w:eastAsia="zh-CN"/>
        </w:rPr>
        <w:t>。</w:t>
      </w:r>
    </w:p>
    <w:p w14:paraId="6210FF6E">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rPr>
      </w:pPr>
      <w:r>
        <w:rPr>
          <w:rFonts w:hint="eastAsia" w:ascii="仿宋_GB2312"/>
          <w:b/>
          <w:bCs/>
          <w:color w:val="auto"/>
          <w:sz w:val="28"/>
          <w:szCs w:val="28"/>
          <w:highlight w:val="none"/>
          <w:lang w:eastAsia="zh-CN"/>
        </w:rPr>
        <w:t>三是</w:t>
      </w:r>
      <w:r>
        <w:rPr>
          <w:rFonts w:hint="eastAsia" w:ascii="仿宋_GB2312" w:eastAsia="仿宋_GB2312"/>
          <w:color w:val="auto"/>
          <w:sz w:val="28"/>
          <w:szCs w:val="28"/>
          <w:highlight w:val="none"/>
        </w:rPr>
        <w:t>贯彻深化农村经济体制改革和巩固完善农村基本经营制度的政策。负责农民承包地</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农村宅基地改革和管理有关工作</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负责农村集体产权制度改革,指导农村集体经济发展和集体资产管理工作</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指导农民合作经济组织、农业社会化服务体系、新型农业经营主体建设与发展。</w:t>
      </w:r>
    </w:p>
    <w:p w14:paraId="45EC97BA">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四是</w:t>
      </w:r>
      <w:r>
        <w:rPr>
          <w:rFonts w:hint="eastAsia" w:ascii="仿宋_GB2312" w:eastAsia="仿宋_GB2312"/>
          <w:color w:val="auto"/>
          <w:sz w:val="28"/>
          <w:szCs w:val="28"/>
          <w:highlight w:val="none"/>
        </w:rPr>
        <w:t>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_GB2312" w:eastAsia="仿宋_GB2312"/>
          <w:color w:val="auto"/>
          <w:sz w:val="28"/>
          <w:szCs w:val="28"/>
          <w:highlight w:val="none"/>
          <w:lang w:eastAsia="zh-CN"/>
        </w:rPr>
        <w:t>。</w:t>
      </w:r>
    </w:p>
    <w:p w14:paraId="3371A70E">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rPr>
      </w:pPr>
      <w:r>
        <w:rPr>
          <w:rFonts w:hint="eastAsia" w:ascii="仿宋_GB2312"/>
          <w:b/>
          <w:bCs/>
          <w:color w:val="auto"/>
          <w:sz w:val="28"/>
          <w:szCs w:val="28"/>
          <w:highlight w:val="none"/>
          <w:lang w:eastAsia="zh-CN"/>
        </w:rPr>
        <w:t>五是</w:t>
      </w:r>
      <w:r>
        <w:rPr>
          <w:rFonts w:hint="eastAsia" w:ascii="仿宋_GB2312" w:eastAsia="仿宋_GB2312"/>
          <w:color w:val="auto"/>
          <w:sz w:val="28"/>
          <w:szCs w:val="28"/>
          <w:highlight w:val="none"/>
        </w:rPr>
        <w:t>负责种植业、养殖业、国有农牧场、农业机械化等农业各产业的监督管理。指导农业产业化发展。指导粮食等农产品生产。组织构建现代化农业产业体系、生产体系、经营体系,指导农业标准化生产。负责渔业监督管理。</w:t>
      </w:r>
    </w:p>
    <w:p w14:paraId="1CFC0E6A">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rPr>
      </w:pPr>
      <w:r>
        <w:rPr>
          <w:rFonts w:hint="eastAsia" w:ascii="仿宋_GB2312"/>
          <w:b/>
          <w:bCs/>
          <w:color w:val="auto"/>
          <w:sz w:val="28"/>
          <w:szCs w:val="28"/>
          <w:highlight w:val="none"/>
          <w:lang w:eastAsia="zh-CN"/>
        </w:rPr>
        <w:t>六是</w:t>
      </w:r>
      <w:r>
        <w:rPr>
          <w:rFonts w:hint="eastAsia" w:ascii="仿宋_GB2312" w:eastAsia="仿宋_GB2312"/>
          <w:color w:val="auto"/>
          <w:sz w:val="28"/>
          <w:szCs w:val="28"/>
          <w:highlight w:val="none"/>
        </w:rPr>
        <w:t>负责农产品质量安全监督管理。组织开展农(畜禽)</w:t>
      </w:r>
    </w:p>
    <w:p w14:paraId="7277A17C">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0"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eastAsia="仿宋_GB2312"/>
          <w:color w:val="auto"/>
          <w:sz w:val="28"/>
          <w:szCs w:val="28"/>
          <w:highlight w:val="none"/>
        </w:rPr>
        <w:t>产品质量安全监测、追溯、风险评估。参与制定农产品质量安全地方标准并会同有关部门组织实施。指导农产品检验检测体系建设</w:t>
      </w:r>
      <w:r>
        <w:rPr>
          <w:rFonts w:hint="eastAsia" w:ascii="仿宋_GB2312" w:eastAsia="仿宋_GB2312"/>
          <w:color w:val="auto"/>
          <w:sz w:val="28"/>
          <w:szCs w:val="28"/>
          <w:highlight w:val="none"/>
          <w:lang w:eastAsia="zh-CN"/>
        </w:rPr>
        <w:t>。</w:t>
      </w:r>
    </w:p>
    <w:p w14:paraId="63EECE25">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七是</w:t>
      </w:r>
      <w:r>
        <w:rPr>
          <w:rFonts w:hint="eastAsia" w:ascii="仿宋_GB2312" w:eastAsia="仿宋_GB2312"/>
          <w:color w:val="auto"/>
          <w:sz w:val="28"/>
          <w:szCs w:val="28"/>
          <w:highlight w:val="none"/>
        </w:rPr>
        <w:t>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r>
        <w:rPr>
          <w:rFonts w:hint="eastAsia" w:ascii="仿宋_GB2312" w:eastAsia="仿宋_GB2312"/>
          <w:color w:val="auto"/>
          <w:sz w:val="28"/>
          <w:szCs w:val="28"/>
          <w:highlight w:val="none"/>
          <w:lang w:eastAsia="zh-CN"/>
        </w:rPr>
        <w:t>。</w:t>
      </w:r>
    </w:p>
    <w:p w14:paraId="15E00403">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八是</w:t>
      </w:r>
      <w:r>
        <w:rPr>
          <w:rFonts w:hint="eastAsia" w:ascii="仿宋_GB2312" w:eastAsia="仿宋_GB2312"/>
          <w:color w:val="auto"/>
          <w:sz w:val="28"/>
          <w:szCs w:val="28"/>
          <w:highlight w:val="none"/>
        </w:rPr>
        <w:t>负责有关农业生产资料和农业投入品的监督管理。组织农业生产资料市场体系建设,参与有关农业生产资料地方标准拟订并监督实施</w:t>
      </w:r>
      <w:r>
        <w:rPr>
          <w:rFonts w:hint="eastAsia" w:ascii="仿宋_GB2312" w:eastAsia="仿宋_GB2312"/>
          <w:color w:val="auto"/>
          <w:sz w:val="28"/>
          <w:szCs w:val="28"/>
          <w:highlight w:val="none"/>
          <w:lang w:eastAsia="zh-CN"/>
        </w:rPr>
        <w:t>。</w:t>
      </w:r>
    </w:p>
    <w:p w14:paraId="67CD525C">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九是</w:t>
      </w:r>
      <w:r>
        <w:rPr>
          <w:rFonts w:hint="eastAsia" w:ascii="仿宋_GB2312" w:eastAsia="仿宋_GB2312"/>
          <w:color w:val="auto"/>
          <w:sz w:val="28"/>
          <w:szCs w:val="28"/>
          <w:highlight w:val="none"/>
        </w:rPr>
        <w:t>负责农业防灾减灾、农作物重大病虫害防治工作。指导植物防疫体系建设,组织、监督辖区内植物防疫检疫工作,发布疫情并组织扑灭</w:t>
      </w:r>
      <w:r>
        <w:rPr>
          <w:rFonts w:hint="eastAsia" w:ascii="仿宋_GB2312" w:eastAsia="仿宋_GB2312"/>
          <w:color w:val="auto"/>
          <w:sz w:val="28"/>
          <w:szCs w:val="28"/>
          <w:highlight w:val="none"/>
          <w:lang w:eastAsia="zh-CN"/>
        </w:rPr>
        <w:t>。</w:t>
      </w:r>
    </w:p>
    <w:p w14:paraId="7C7A6DE8">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rPr>
      </w:pPr>
      <w:r>
        <w:rPr>
          <w:rFonts w:hint="eastAsia" w:ascii="仿宋_GB2312"/>
          <w:b/>
          <w:bCs/>
          <w:color w:val="auto"/>
          <w:sz w:val="28"/>
          <w:szCs w:val="28"/>
          <w:highlight w:val="none"/>
          <w:lang w:eastAsia="zh-CN"/>
        </w:rPr>
        <w:t>十是</w:t>
      </w:r>
      <w:r>
        <w:rPr>
          <w:rFonts w:hint="eastAsia" w:ascii="仿宋_GB2312" w:eastAsia="仿宋_GB2312"/>
          <w:color w:val="auto"/>
          <w:sz w:val="28"/>
          <w:szCs w:val="28"/>
          <w:highlight w:val="none"/>
        </w:rPr>
        <w:t>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p>
    <w:p w14:paraId="10E68CBB">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十一是</w:t>
      </w:r>
      <w:r>
        <w:rPr>
          <w:rFonts w:hint="eastAsia" w:ascii="仿宋_GB2312" w:eastAsia="仿宋_GB2312"/>
          <w:color w:val="auto"/>
          <w:sz w:val="28"/>
          <w:szCs w:val="28"/>
          <w:highlight w:val="none"/>
        </w:rPr>
        <w:t>参与农业科技体制改革和农业科技创新体系建设</w:t>
      </w:r>
      <w:r>
        <w:rPr>
          <w:rFonts w:hint="eastAsia" w:ascii="仿宋_GB2312" w:eastAsia="仿宋_GB2312"/>
          <w:color w:val="auto"/>
          <w:sz w:val="28"/>
          <w:szCs w:val="28"/>
          <w:highlight w:val="none"/>
          <w:lang w:eastAsia="zh-CN"/>
        </w:rPr>
        <w:t>。</w:t>
      </w:r>
    </w:p>
    <w:p w14:paraId="41D476B5">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0" w:firstLineChars="200"/>
        <w:jc w:val="both"/>
        <w:textAlignment w:val="auto"/>
        <w:outlineLvl w:val="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指导农业产业技术体系和农技、农机推广体系建设,组织开展农业领域的高新技术和应用技术研究、科技成果转化和技术推广。负责农业转基因生物安全监督管理和农业植物新品种保护</w:t>
      </w:r>
    </w:p>
    <w:p w14:paraId="74B18C22">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十二是</w:t>
      </w:r>
      <w:r>
        <w:rPr>
          <w:rFonts w:hint="eastAsia" w:ascii="仿宋_GB2312" w:eastAsia="仿宋_GB2312"/>
          <w:color w:val="auto"/>
          <w:sz w:val="28"/>
          <w:szCs w:val="28"/>
          <w:highlight w:val="none"/>
        </w:rPr>
        <w:t>指导农业农村人才工作。拟订农业农村人才队伍建设规划并组织实施,指导农业教育和农业职业技能开发,指导新型职业农民培训、农业科技人才培养和农村实用人才培训工作</w:t>
      </w:r>
      <w:r>
        <w:rPr>
          <w:rFonts w:hint="eastAsia" w:ascii="仿宋_GB2312" w:eastAsia="仿宋_GB2312"/>
          <w:color w:val="auto"/>
          <w:sz w:val="28"/>
          <w:szCs w:val="28"/>
          <w:highlight w:val="none"/>
          <w:lang w:eastAsia="zh-CN"/>
        </w:rPr>
        <w:t>。</w:t>
      </w:r>
    </w:p>
    <w:p w14:paraId="2DD05820">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十三是</w:t>
      </w:r>
      <w:r>
        <w:rPr>
          <w:rFonts w:hint="eastAsia" w:ascii="仿宋_GB2312" w:eastAsia="仿宋_GB2312"/>
          <w:color w:val="auto"/>
          <w:sz w:val="28"/>
          <w:szCs w:val="28"/>
          <w:highlight w:val="none"/>
        </w:rPr>
        <w:t>牵头开展农业对外合作工作</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筹办农业涉外事务</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highlight w:val="none"/>
        </w:rPr>
        <w:t>参与托克逊县农业贸易促进和有关国际交流合作,协助有关部门组织实施有关农业援外项目</w:t>
      </w:r>
      <w:r>
        <w:rPr>
          <w:rFonts w:hint="eastAsia" w:ascii="仿宋_GB2312" w:eastAsia="仿宋_GB2312"/>
          <w:color w:val="auto"/>
          <w:sz w:val="28"/>
          <w:szCs w:val="28"/>
          <w:highlight w:val="none"/>
          <w:lang w:eastAsia="zh-CN"/>
        </w:rPr>
        <w:t>。</w:t>
      </w:r>
    </w:p>
    <w:p w14:paraId="3D7C46D9">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rFonts w:hint="eastAsia" w:ascii="仿宋_GB2312" w:eastAsia="仿宋_GB2312"/>
          <w:color w:val="auto"/>
          <w:sz w:val="28"/>
          <w:szCs w:val="28"/>
          <w:highlight w:val="none"/>
          <w:lang w:eastAsia="zh-CN"/>
        </w:rPr>
      </w:pPr>
      <w:r>
        <w:rPr>
          <w:rFonts w:hint="eastAsia" w:ascii="仿宋_GB2312"/>
          <w:b/>
          <w:bCs/>
          <w:color w:val="auto"/>
          <w:sz w:val="28"/>
          <w:szCs w:val="28"/>
          <w:highlight w:val="none"/>
          <w:lang w:eastAsia="zh-CN"/>
        </w:rPr>
        <w:t>十四是</w:t>
      </w:r>
      <w:r>
        <w:rPr>
          <w:rFonts w:hint="eastAsia" w:ascii="仿宋_GB2312" w:eastAsia="仿宋_GB2312"/>
          <w:color w:val="auto"/>
          <w:sz w:val="28"/>
          <w:szCs w:val="28"/>
          <w:highlight w:val="none"/>
        </w:rPr>
        <w:t>负责畜牧业、兽药和兽医器械、动物疫病防治、检疫监督、饲料饲草、畜禽屠宰等行业监督管理和体系建设,并制定相关发展规划、计划,提出相关政策建议并组织实施</w:t>
      </w:r>
      <w:r>
        <w:rPr>
          <w:rFonts w:hint="eastAsia" w:ascii="仿宋_GB2312" w:eastAsia="仿宋_GB2312"/>
          <w:color w:val="auto"/>
          <w:sz w:val="28"/>
          <w:szCs w:val="28"/>
          <w:highlight w:val="none"/>
          <w:lang w:eastAsia="zh-CN"/>
        </w:rPr>
        <w:t>。</w:t>
      </w:r>
    </w:p>
    <w:p w14:paraId="2541CE49">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562" w:firstLineChars="200"/>
        <w:jc w:val="both"/>
        <w:textAlignment w:val="auto"/>
        <w:outlineLvl w:val="0"/>
        <w:rPr>
          <w:color w:val="auto"/>
          <w:highlight w:val="none"/>
        </w:rPr>
      </w:pPr>
      <w:r>
        <w:rPr>
          <w:rFonts w:hint="eastAsia" w:ascii="仿宋_GB2312"/>
          <w:b/>
          <w:bCs/>
          <w:color w:val="auto"/>
          <w:sz w:val="28"/>
          <w:szCs w:val="28"/>
          <w:highlight w:val="none"/>
          <w:lang w:eastAsia="zh-CN"/>
        </w:rPr>
        <w:t>十五是</w:t>
      </w:r>
      <w:r>
        <w:rPr>
          <w:rFonts w:hint="eastAsia" w:ascii="仿宋_GB2312" w:eastAsia="仿宋_GB2312"/>
          <w:color w:val="auto"/>
          <w:sz w:val="28"/>
          <w:szCs w:val="28"/>
          <w:highlight w:val="none"/>
        </w:rPr>
        <w:t>完成县委、县人民政府交办的其他任务。</w:t>
      </w:r>
    </w:p>
    <w:p w14:paraId="11271725">
      <w:pPr>
        <w:pageBreakBefore w:val="0"/>
        <w:kinsoku/>
        <w:wordWrap/>
        <w:topLinePunct w:val="0"/>
        <w:autoSpaceDE/>
        <w:autoSpaceDN/>
        <w:bidi w:val="0"/>
        <w:spacing w:line="560" w:lineRule="exact"/>
        <w:ind w:firstLine="562"/>
        <w:textAlignment w:val="auto"/>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5F073FD4">
      <w:pPr>
        <w:pageBreakBefore w:val="0"/>
        <w:kinsoku/>
        <w:wordWrap/>
        <w:topLinePunct w:val="0"/>
        <w:autoSpaceDE/>
        <w:autoSpaceDN/>
        <w:bidi w:val="0"/>
        <w:spacing w:line="560" w:lineRule="exact"/>
        <w:ind w:firstLine="560"/>
        <w:textAlignment w:val="auto"/>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val="en-US" w:eastAsia="zh-CN"/>
        </w:rPr>
        <w:t>县农业农村局(畜牧兽医局)</w:t>
      </w:r>
      <w:r>
        <w:rPr>
          <w:rFonts w:hint="eastAsia" w:ascii="仿宋" w:hAnsi="仿宋" w:eastAsia="仿宋"/>
          <w:color w:val="auto"/>
          <w:szCs w:val="28"/>
          <w:highlight w:val="none"/>
          <w:lang w:val="en-US" w:eastAsia="zh-CN"/>
        </w:rPr>
        <w:t>共设有7个科室，主要有：</w:t>
      </w:r>
      <w:r>
        <w:rPr>
          <w:rFonts w:hint="eastAsia" w:ascii="仿宋" w:hAnsi="仿宋" w:eastAsia="仿宋"/>
          <w:color w:val="auto"/>
          <w:sz w:val="28"/>
          <w:szCs w:val="28"/>
          <w:highlight w:val="none"/>
          <w:lang w:val="en-US" w:eastAsia="zh-CN"/>
        </w:rPr>
        <w:t>办公室、乡村产业发展办(改革规划办)、计划财务办(项目办)、乡村振兴指导办、农产品质量安全监管办(科技法规办)、畜牧兽医办、农业机械化管理办。</w:t>
      </w:r>
    </w:p>
    <w:p w14:paraId="0F831498">
      <w:pPr>
        <w:pageBreakBefore w:val="0"/>
        <w:kinsoku/>
        <w:wordWrap/>
        <w:topLinePunct w:val="0"/>
        <w:autoSpaceDE/>
        <w:autoSpaceDN/>
        <w:bidi w:val="0"/>
        <w:spacing w:line="560" w:lineRule="exact"/>
        <w:ind w:firstLine="560"/>
        <w:textAlignment w:val="auto"/>
        <w:rPr>
          <w:rFonts w:hint="eastAsia" w:ascii="仿宋" w:hAnsi="仿宋" w:eastAsia="仿宋"/>
          <w:color w:val="auto"/>
          <w:szCs w:val="28"/>
          <w:highlight w:val="none"/>
        </w:rPr>
      </w:pPr>
      <w:r>
        <w:rPr>
          <w:rFonts w:hint="eastAsia" w:ascii="仿宋" w:hAnsi="仿宋" w:eastAsia="仿宋"/>
          <w:color w:val="auto"/>
          <w:sz w:val="28"/>
          <w:szCs w:val="28"/>
          <w:highlight w:val="none"/>
          <w:lang w:val="en-US" w:eastAsia="zh-CN"/>
        </w:rPr>
        <w:t>县农业农村局</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62</w:t>
      </w:r>
      <w:r>
        <w:rPr>
          <w:rFonts w:hint="eastAsia" w:ascii="仿宋" w:hAnsi="仿宋" w:eastAsia="仿宋"/>
          <w:color w:val="auto"/>
          <w:szCs w:val="28"/>
          <w:highlight w:val="none"/>
        </w:rPr>
        <w:t>人，</w:t>
      </w:r>
      <w:r>
        <w:rPr>
          <w:rFonts w:hint="eastAsia" w:ascii="仿宋" w:hAnsi="仿宋" w:eastAsia="仿宋"/>
          <w:color w:val="auto"/>
          <w:sz w:val="28"/>
          <w:szCs w:val="28"/>
          <w:highlight w:val="none"/>
          <w:lang w:val="en-US" w:eastAsia="zh-CN"/>
        </w:rPr>
        <w:t>其中：行政编制7人，参公编制30人，事业编制23人，行政工勤编2人。年</w:t>
      </w:r>
      <w:r>
        <w:rPr>
          <w:rFonts w:hint="eastAsia" w:ascii="仿宋" w:hAnsi="仿宋" w:eastAsia="仿宋"/>
          <w:color w:val="auto"/>
          <w:szCs w:val="28"/>
          <w:highlight w:val="none"/>
        </w:rPr>
        <w:t>初实有在职人员</w:t>
      </w:r>
      <w:r>
        <w:rPr>
          <w:rFonts w:hint="eastAsia" w:ascii="仿宋" w:hAnsi="仿宋" w:eastAsia="仿宋"/>
          <w:color w:val="auto"/>
          <w:szCs w:val="28"/>
          <w:highlight w:val="none"/>
          <w:lang w:val="en-US" w:eastAsia="zh-CN"/>
        </w:rPr>
        <w:t>60</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22</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60</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22</w:t>
      </w:r>
      <w:r>
        <w:rPr>
          <w:rFonts w:hint="eastAsia" w:ascii="仿宋" w:hAnsi="仿宋" w:eastAsia="仿宋"/>
          <w:color w:val="auto"/>
          <w:szCs w:val="28"/>
          <w:highlight w:val="none"/>
        </w:rPr>
        <w:t>人。</w:t>
      </w:r>
    </w:p>
    <w:p w14:paraId="02734923">
      <w:pPr>
        <w:pStyle w:val="5"/>
        <w:pageBreakBefore w:val="0"/>
        <w:kinsoku/>
        <w:wordWrap/>
        <w:topLinePunct w:val="0"/>
        <w:autoSpaceDE/>
        <w:autoSpaceDN/>
        <w:bidi w:val="0"/>
        <w:spacing w:line="560" w:lineRule="exact"/>
        <w:ind w:firstLine="562"/>
        <w:textAlignment w:val="auto"/>
        <w:rPr>
          <w:color w:val="auto"/>
          <w:highlight w:val="none"/>
        </w:rPr>
      </w:pPr>
      <w:r>
        <w:rPr>
          <w:rFonts w:hint="eastAsia" w:ascii="仿宋" w:hAnsi="仿宋" w:eastAsia="仿宋"/>
          <w:color w:val="auto"/>
          <w:sz w:val="28"/>
          <w:szCs w:val="28"/>
          <w:highlight w:val="none"/>
          <w:lang w:val="en-US" w:eastAsia="zh-CN"/>
        </w:rPr>
        <w:t xml:space="preserve"> </w:t>
      </w:r>
      <w:r>
        <w:rPr>
          <w:rFonts w:hint="eastAsia"/>
          <w:color w:val="auto"/>
          <w:highlight w:val="none"/>
          <w:lang w:val="en-US" w:eastAsia="zh-CN"/>
        </w:rPr>
        <w:t>3</w:t>
      </w:r>
      <w:r>
        <w:rPr>
          <w:rFonts w:hint="eastAsia"/>
          <w:color w:val="auto"/>
          <w:highlight w:val="none"/>
        </w:rPr>
        <w:t>.主要内容及实施情况</w:t>
      </w:r>
    </w:p>
    <w:p w14:paraId="05F3E138">
      <w:pPr>
        <w:pageBreakBefore w:val="0"/>
        <w:kinsoku/>
        <w:wordWrap/>
        <w:topLinePunct w:val="0"/>
        <w:autoSpaceDE/>
        <w:autoSpaceDN/>
        <w:bidi w:val="0"/>
        <w:spacing w:line="560" w:lineRule="exact"/>
        <w:textAlignment w:val="auto"/>
        <w:rPr>
          <w:rFonts w:hint="default"/>
          <w:color w:val="auto"/>
          <w:highlight w:val="none"/>
          <w:lang w:val="en-US" w:eastAsia="zh-CN"/>
        </w:rPr>
      </w:pPr>
      <w:r>
        <w:rPr>
          <w:rFonts w:hint="eastAsia"/>
          <w:color w:val="auto"/>
          <w:highlight w:val="none"/>
          <w:lang w:val="en-US" w:eastAsia="zh-CN"/>
        </w:rPr>
        <w:t>项目名称：2023年中央农业资源及生态保护补助项目</w:t>
      </w:r>
    </w:p>
    <w:p w14:paraId="6D0450CE">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 xml:space="preserve">项目主要内容：落实草原补助奖励总面积449.42万亩，其中禁牧草原面积387.02万亩，按照每亩6.07元的禁牧标准补助,每年补助资金2349.18万元;实施草畜平衡化管理面积62.4万亩，按照每年每亩2.5元的标准,每年所需草畜平衡补助资金156万元。两项合计2505.18万元。  </w:t>
      </w:r>
    </w:p>
    <w:p w14:paraId="11472472">
      <w:pPr>
        <w:pStyle w:val="5"/>
        <w:pageBreakBefore w:val="0"/>
        <w:kinsoku/>
        <w:wordWrap/>
        <w:topLinePunct w:val="0"/>
        <w:autoSpaceDE/>
        <w:autoSpaceDN/>
        <w:bidi w:val="0"/>
        <w:spacing w:line="560" w:lineRule="exact"/>
        <w:textAlignment w:val="auto"/>
        <w:rPr>
          <w:rFonts w:hint="default"/>
          <w:b w:val="0"/>
          <w:bCs w:val="0"/>
          <w:color w:val="auto"/>
          <w:highlight w:val="none"/>
          <w:lang w:val="en-US" w:eastAsia="zh-CN"/>
        </w:rPr>
      </w:pPr>
      <w:r>
        <w:rPr>
          <w:rFonts w:hint="eastAsia"/>
          <w:b w:val="0"/>
          <w:bCs w:val="0"/>
          <w:color w:val="auto"/>
          <w:highlight w:val="none"/>
          <w:lang w:val="en-US" w:eastAsia="zh-CN"/>
        </w:rPr>
        <w:t>项目实施时间：本项目实施时间为2023年3月1日-2023年11月30日</w:t>
      </w:r>
    </w:p>
    <w:p w14:paraId="712C7178">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项目实施情况：</w:t>
      </w:r>
      <w:r>
        <w:rPr>
          <w:rFonts w:hint="eastAsia" w:ascii="Times New Roman" w:hAnsi="Times New Roman" w:cs="Times New Roman"/>
          <w:color w:val="auto"/>
          <w:highlight w:val="none"/>
          <w:lang w:val="en-US" w:eastAsia="zh-CN"/>
        </w:rPr>
        <w:t>202</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年，我县禁牧草原面积38</w:t>
      </w:r>
      <w:r>
        <w:rPr>
          <w:rFonts w:hint="eastAsia" w:cs="Times New Roman"/>
          <w:color w:val="auto"/>
          <w:highlight w:val="none"/>
          <w:lang w:val="en-US" w:eastAsia="zh-CN"/>
        </w:rPr>
        <w:t>7.02</w:t>
      </w:r>
      <w:r>
        <w:rPr>
          <w:rFonts w:hint="eastAsia" w:ascii="Times New Roman" w:hAnsi="Times New Roman" w:cs="Times New Roman"/>
          <w:color w:val="auto"/>
          <w:highlight w:val="none"/>
          <w:lang w:val="en-US" w:eastAsia="zh-CN"/>
        </w:rPr>
        <w:t>万亩，已发放补助资金2349.18万元。草畜平衡面积62.4万亩，已发放补助资金156万元。通过草原生态保护补助奖励的实施，明显改善了草原生态环境。同时项目执行中不出现重大违规违纪问题，受益农户满意度95%以上。</w:t>
      </w:r>
    </w:p>
    <w:p w14:paraId="32C5D9F4">
      <w:pPr>
        <w:pStyle w:val="5"/>
        <w:pageBreakBefore w:val="0"/>
        <w:kinsoku/>
        <w:wordWrap/>
        <w:topLinePunct w:val="0"/>
        <w:autoSpaceDE/>
        <w:autoSpaceDN/>
        <w:bidi w:val="0"/>
        <w:spacing w:line="560" w:lineRule="exact"/>
        <w:ind w:firstLine="562"/>
        <w:textAlignment w:val="auto"/>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4E06C6D3">
      <w:pPr>
        <w:pageBreakBefore w:val="0"/>
        <w:kinsoku/>
        <w:wordWrap/>
        <w:topLinePunct w:val="0"/>
        <w:autoSpaceDE/>
        <w:autoSpaceDN/>
        <w:bidi w:val="0"/>
        <w:spacing w:line="560" w:lineRule="exact"/>
        <w:ind w:firstLine="562"/>
        <w:textAlignment w:val="auto"/>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1B76173C">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2505.18</w:t>
      </w:r>
      <w:r>
        <w:rPr>
          <w:color w:val="auto"/>
          <w:highlight w:val="none"/>
        </w:rPr>
        <w:t>万元，其中财政资金</w:t>
      </w:r>
      <w:r>
        <w:rPr>
          <w:rFonts w:hint="eastAsia"/>
          <w:color w:val="auto"/>
          <w:highlight w:val="none"/>
          <w:lang w:val="en-US" w:eastAsia="zh-CN"/>
        </w:rPr>
        <w:t>2505.18</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2505.18</w:t>
      </w:r>
      <w:r>
        <w:rPr>
          <w:color w:val="auto"/>
          <w:highlight w:val="none"/>
        </w:rPr>
        <w:t>万元，预算资金到位率为</w:t>
      </w:r>
      <w:r>
        <w:rPr>
          <w:rFonts w:hint="eastAsia"/>
          <w:color w:val="auto"/>
          <w:highlight w:val="none"/>
          <w:lang w:val="en-US" w:eastAsia="zh-CN"/>
        </w:rPr>
        <w:t>100</w:t>
      </w:r>
      <w:r>
        <w:rPr>
          <w:color w:val="auto"/>
          <w:highlight w:val="none"/>
        </w:rPr>
        <w:t>%。</w:t>
      </w:r>
    </w:p>
    <w:p w14:paraId="314E6C7E">
      <w:pPr>
        <w:pageBreakBefore w:val="0"/>
        <w:kinsoku/>
        <w:wordWrap/>
        <w:topLinePunct w:val="0"/>
        <w:autoSpaceDE/>
        <w:autoSpaceDN/>
        <w:bidi w:val="0"/>
        <w:spacing w:line="560" w:lineRule="exact"/>
        <w:ind w:firstLine="562"/>
        <w:textAlignment w:val="auto"/>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2A5E2512">
      <w:pPr>
        <w:pStyle w:val="5"/>
        <w:pageBreakBefore w:val="0"/>
        <w:kinsoku/>
        <w:wordWrap/>
        <w:topLinePunct w:val="0"/>
        <w:autoSpaceDE/>
        <w:autoSpaceDN/>
        <w:bidi w:val="0"/>
        <w:spacing w:line="560" w:lineRule="exact"/>
        <w:textAlignment w:val="auto"/>
        <w:rPr>
          <w:b w:val="0"/>
          <w:bCs w:val="0"/>
          <w:color w:val="auto"/>
          <w:highlight w:val="none"/>
        </w:rPr>
      </w:pPr>
      <w:r>
        <w:rPr>
          <w:rFonts w:hint="eastAsia"/>
          <w:b w:val="0"/>
          <w:bCs w:val="0"/>
          <w:color w:val="auto"/>
          <w:highlight w:val="none"/>
          <w:lang w:val="en-US" w:eastAsia="zh-CN"/>
        </w:rPr>
        <w:t>截止到2023年11月30日，</w:t>
      </w:r>
      <w:r>
        <w:rPr>
          <w:rFonts w:hint="eastAsia"/>
          <w:b w:val="0"/>
          <w:bCs w:val="0"/>
          <w:color w:val="auto"/>
          <w:highlight w:val="none"/>
        </w:rPr>
        <w:t>本项目实际支付资金</w:t>
      </w:r>
      <w:r>
        <w:rPr>
          <w:rFonts w:hint="eastAsia"/>
          <w:b w:val="0"/>
          <w:bCs w:val="0"/>
          <w:color w:val="auto"/>
          <w:highlight w:val="none"/>
          <w:lang w:val="en-US" w:eastAsia="zh-CN"/>
        </w:rPr>
        <w:t>2505.18</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w:t>
      </w:r>
      <w:r>
        <w:rPr>
          <w:rFonts w:hint="eastAsia"/>
          <w:b w:val="0"/>
          <w:bCs w:val="0"/>
          <w:color w:val="auto"/>
          <w:highlight w:val="none"/>
          <w:lang w:eastAsia="zh-CN"/>
        </w:rPr>
        <w:t>禁牧</w:t>
      </w:r>
      <w:r>
        <w:rPr>
          <w:rFonts w:hint="eastAsia"/>
          <w:b w:val="0"/>
          <w:bCs w:val="0"/>
          <w:color w:val="auto"/>
          <w:highlight w:val="none"/>
        </w:rPr>
        <w:t>费用</w:t>
      </w:r>
      <w:r>
        <w:rPr>
          <w:rFonts w:hint="eastAsia"/>
          <w:b w:val="0"/>
          <w:bCs w:val="0"/>
          <w:color w:val="auto"/>
          <w:highlight w:val="none"/>
          <w:lang w:val="en-US" w:eastAsia="zh-CN"/>
        </w:rPr>
        <w:t>2349.18</w:t>
      </w:r>
      <w:r>
        <w:rPr>
          <w:rFonts w:hint="eastAsia"/>
          <w:b w:val="0"/>
          <w:bCs w:val="0"/>
          <w:color w:val="auto"/>
          <w:highlight w:val="none"/>
        </w:rPr>
        <w:t>万元，</w:t>
      </w:r>
      <w:r>
        <w:rPr>
          <w:rFonts w:hint="eastAsia"/>
          <w:b w:val="0"/>
          <w:bCs w:val="0"/>
          <w:color w:val="auto"/>
          <w:highlight w:val="none"/>
          <w:lang w:eastAsia="zh-CN"/>
        </w:rPr>
        <w:t>草畜平衡</w:t>
      </w:r>
      <w:r>
        <w:rPr>
          <w:rFonts w:hint="eastAsia"/>
          <w:b w:val="0"/>
          <w:bCs w:val="0"/>
          <w:color w:val="auto"/>
          <w:highlight w:val="none"/>
        </w:rPr>
        <w:t>费用</w:t>
      </w:r>
      <w:r>
        <w:rPr>
          <w:rFonts w:hint="eastAsia"/>
          <w:b w:val="0"/>
          <w:bCs w:val="0"/>
          <w:color w:val="auto"/>
          <w:highlight w:val="none"/>
          <w:lang w:val="en-US" w:eastAsia="zh-CN"/>
        </w:rPr>
        <w:t>156</w:t>
      </w:r>
      <w:r>
        <w:rPr>
          <w:rFonts w:hint="eastAsia"/>
          <w:b w:val="0"/>
          <w:bCs w:val="0"/>
          <w:color w:val="auto"/>
          <w:highlight w:val="none"/>
        </w:rPr>
        <w:t>万元。</w:t>
      </w:r>
    </w:p>
    <w:p w14:paraId="5040E2F9">
      <w:pPr>
        <w:pStyle w:val="4"/>
        <w:pageBreakBefore w:val="0"/>
        <w:kinsoku/>
        <w:wordWrap/>
        <w:topLinePunct w:val="0"/>
        <w:autoSpaceDE/>
        <w:autoSpaceDN/>
        <w:bidi w:val="0"/>
        <w:spacing w:line="560" w:lineRule="exact"/>
        <w:ind w:firstLine="643"/>
        <w:textAlignment w:val="auto"/>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42697C54">
      <w:pPr>
        <w:pStyle w:val="5"/>
        <w:pageBreakBefore w:val="0"/>
        <w:kinsoku/>
        <w:wordWrap/>
        <w:topLinePunct w:val="0"/>
        <w:autoSpaceDE/>
        <w:autoSpaceDN/>
        <w:bidi w:val="0"/>
        <w:spacing w:line="560" w:lineRule="exact"/>
        <w:textAlignment w:val="auto"/>
        <w:rPr>
          <w:color w:val="auto"/>
          <w:highlight w:val="none"/>
        </w:rPr>
      </w:pPr>
      <w:r>
        <w:rPr>
          <w:rFonts w:hint="eastAsia"/>
          <w:color w:val="auto"/>
          <w:highlight w:val="none"/>
        </w:rPr>
        <w:t>1.总体目标</w:t>
      </w:r>
    </w:p>
    <w:p w14:paraId="5EA0B3D0">
      <w:pPr>
        <w:pStyle w:val="5"/>
        <w:pageBreakBefore w:val="0"/>
        <w:kinsoku/>
        <w:wordWrap/>
        <w:topLinePunct w:val="0"/>
        <w:autoSpaceDE/>
        <w:autoSpaceDN/>
        <w:bidi w:val="0"/>
        <w:spacing w:line="560" w:lineRule="exact"/>
        <w:textAlignment w:val="auto"/>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1、完成天然草场禁牧任务387.02万亩，完成天然草场草畜平衡任务62.4万亩。</w:t>
      </w:r>
    </w:p>
    <w:p w14:paraId="4E803D49">
      <w:pPr>
        <w:pStyle w:val="5"/>
        <w:pageBreakBefore w:val="0"/>
        <w:kinsoku/>
        <w:wordWrap/>
        <w:topLinePunct w:val="0"/>
        <w:autoSpaceDE/>
        <w:autoSpaceDN/>
        <w:bidi w:val="0"/>
        <w:spacing w:line="560" w:lineRule="exact"/>
        <w:textAlignment w:val="auto"/>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2、根据天然草场承包情况和禁牧、草畜平衡责任落实情况，按照国家补助标准发放禁牧补助、草畜平衡补助，确保资金发放到户到人。</w:t>
      </w:r>
    </w:p>
    <w:p w14:paraId="44F4D006">
      <w:pPr>
        <w:pStyle w:val="5"/>
        <w:pageBreakBefore w:val="0"/>
        <w:kinsoku/>
        <w:wordWrap/>
        <w:topLinePunct w:val="0"/>
        <w:autoSpaceDE/>
        <w:autoSpaceDN/>
        <w:bidi w:val="0"/>
        <w:spacing w:line="560" w:lineRule="exact"/>
        <w:textAlignment w:val="auto"/>
        <w:rPr>
          <w:rFonts w:hint="eastAsia" w:ascii="宋体" w:hAnsi="宋体" w:eastAsia="宋体"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3、通过项目实施，保护和改善牧区草原生态环境，提高植被覆盖度，转变畜牧养殖方式，带动牧民收入稳步增长。</w:t>
      </w:r>
    </w:p>
    <w:p w14:paraId="2C8A8FF1">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2.阶段性目标</w:t>
      </w:r>
    </w:p>
    <w:p w14:paraId="19C05202">
      <w:pPr>
        <w:pageBreakBefore w:val="0"/>
        <w:kinsoku/>
        <w:wordWrap/>
        <w:topLinePunct w:val="0"/>
        <w:autoSpaceDE/>
        <w:autoSpaceDN/>
        <w:bidi w:val="0"/>
        <w:spacing w:line="560" w:lineRule="exact"/>
        <w:ind w:firstLine="560"/>
        <w:textAlignment w:val="auto"/>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249B8F08">
      <w:pPr>
        <w:pageBreakBefore w:val="0"/>
        <w:kinsoku/>
        <w:wordWrap/>
        <w:topLinePunct w:val="0"/>
        <w:autoSpaceDE/>
        <w:autoSpaceDN/>
        <w:bidi w:val="0"/>
        <w:spacing w:line="560" w:lineRule="exact"/>
        <w:ind w:firstLine="562"/>
        <w:textAlignment w:val="auto"/>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77B9D700">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①数量指标</w:t>
      </w:r>
    </w:p>
    <w:p w14:paraId="22543EEF">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“实施天然草场禁牧（万亩）”指标，预期指标值为</w:t>
      </w:r>
      <w:r>
        <w:rPr>
          <w:rFonts w:hint="eastAsia"/>
          <w:color w:val="auto"/>
          <w:highlight w:val="none"/>
          <w:lang w:eastAsia="zh-CN"/>
        </w:rPr>
        <w:t>小于等于</w:t>
      </w:r>
      <w:r>
        <w:rPr>
          <w:rFonts w:hint="eastAsia"/>
          <w:color w:val="auto"/>
          <w:highlight w:val="none"/>
        </w:rPr>
        <w:t>387.02万亩；</w:t>
      </w:r>
    </w:p>
    <w:p w14:paraId="179A913F">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“实施草畜平衡（万亩）”指标，预期指标值为</w:t>
      </w:r>
      <w:r>
        <w:rPr>
          <w:rFonts w:hint="eastAsia"/>
          <w:color w:val="auto"/>
          <w:highlight w:val="none"/>
          <w:lang w:eastAsia="zh-CN"/>
        </w:rPr>
        <w:t>小于等于</w:t>
      </w:r>
      <w:r>
        <w:rPr>
          <w:rFonts w:hint="eastAsia"/>
          <w:color w:val="auto"/>
          <w:highlight w:val="none"/>
        </w:rPr>
        <w:t>62.4万亩。</w:t>
      </w:r>
    </w:p>
    <w:p w14:paraId="7C8B3584">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②质量指标</w:t>
      </w:r>
    </w:p>
    <w:p w14:paraId="4264F077">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“禁牧、草畜平衡责任落实率（%）”指标，预期指标值为100%；</w:t>
      </w:r>
    </w:p>
    <w:p w14:paraId="15821DDA">
      <w:pPr>
        <w:pageBreakBefore w:val="0"/>
        <w:kinsoku/>
        <w:wordWrap/>
        <w:topLinePunct w:val="0"/>
        <w:autoSpaceDE/>
        <w:autoSpaceDN/>
        <w:bidi w:val="0"/>
        <w:spacing w:line="560" w:lineRule="exact"/>
        <w:ind w:firstLine="560"/>
        <w:textAlignment w:val="auto"/>
      </w:pPr>
      <w:r>
        <w:rPr>
          <w:rFonts w:hint="eastAsia"/>
          <w:color w:val="auto"/>
          <w:highlight w:val="none"/>
        </w:rPr>
        <w:t>“资金使用合规率（%）”指标，预期指标值为100%；</w:t>
      </w:r>
    </w:p>
    <w:p w14:paraId="5C478CC3">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2AB76925">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“补助奖励资金年度支出率（%）”指标，预期指标值为100%；</w:t>
      </w:r>
    </w:p>
    <w:p w14:paraId="532BA079">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④成本指标</w:t>
      </w:r>
    </w:p>
    <w:p w14:paraId="2C4B561E">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“禁牧补助发放标准（元/亩）”指标，预期指标值为6.07元/亩；</w:t>
      </w:r>
    </w:p>
    <w:p w14:paraId="45D5AA76">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“草畜平衡补助发放标准（元/亩）”指标，预期指标值为2.5元/亩。</w:t>
      </w:r>
    </w:p>
    <w:p w14:paraId="75658D45">
      <w:pPr>
        <w:pageBreakBefore w:val="0"/>
        <w:numPr>
          <w:ilvl w:val="0"/>
          <w:numId w:val="1"/>
        </w:numPr>
        <w:kinsoku/>
        <w:wordWrap/>
        <w:topLinePunct w:val="0"/>
        <w:autoSpaceDE/>
        <w:autoSpaceDN/>
        <w:bidi w:val="0"/>
        <w:spacing w:line="560" w:lineRule="exact"/>
        <w:ind w:firstLine="562"/>
        <w:textAlignment w:val="auto"/>
        <w:rPr>
          <w:rFonts w:hint="eastAsia" w:ascii="仿宋" w:hAnsi="仿宋" w:eastAsia="仿宋"/>
          <w:b/>
          <w:color w:val="auto"/>
          <w:highlight w:val="none"/>
        </w:rPr>
      </w:pPr>
      <w:r>
        <w:rPr>
          <w:rFonts w:hint="eastAsia" w:ascii="仿宋" w:hAnsi="仿宋" w:eastAsia="仿宋"/>
          <w:b/>
          <w:color w:val="auto"/>
          <w:highlight w:val="none"/>
        </w:rPr>
        <w:t>项目效益目标</w:t>
      </w:r>
    </w:p>
    <w:p w14:paraId="26A41997">
      <w:pPr>
        <w:pageBreakBefore w:val="0"/>
        <w:kinsoku/>
        <w:wordWrap/>
        <w:topLinePunct w:val="0"/>
        <w:autoSpaceDE/>
        <w:autoSpaceDN/>
        <w:bidi w:val="0"/>
        <w:spacing w:line="560" w:lineRule="exact"/>
        <w:ind w:firstLine="560"/>
        <w:textAlignment w:val="auto"/>
        <w:rPr>
          <w:rFonts w:hint="eastAsia"/>
        </w:rPr>
      </w:pPr>
      <w:r>
        <w:rPr>
          <w:rFonts w:hint="eastAsia"/>
          <w:color w:val="auto"/>
          <w:highlight w:val="none"/>
        </w:rPr>
        <w:t>①</w:t>
      </w:r>
      <w:r>
        <w:rPr>
          <w:rFonts w:hint="eastAsia"/>
          <w:color w:val="auto"/>
          <w:highlight w:val="none"/>
          <w:lang w:eastAsia="zh-CN"/>
        </w:rPr>
        <w:t>经济</w:t>
      </w:r>
      <w:r>
        <w:rPr>
          <w:rFonts w:hint="eastAsia"/>
          <w:color w:val="auto"/>
          <w:highlight w:val="none"/>
        </w:rPr>
        <w:t>效益指标</w:t>
      </w:r>
    </w:p>
    <w:p w14:paraId="78A0A8AB">
      <w:pPr>
        <w:pStyle w:val="8"/>
        <w:numPr>
          <w:ilvl w:val="0"/>
          <w:numId w:val="0"/>
        </w:numPr>
        <w:ind w:firstLine="560" w:firstLineChars="200"/>
        <w:rPr>
          <w:rFonts w:hint="eastAsia" w:eastAsia="仿宋_GB2312"/>
          <w:lang w:eastAsia="zh-CN"/>
        </w:rPr>
      </w:pPr>
      <w:r>
        <w:rPr>
          <w:rFonts w:hint="eastAsia"/>
          <w:lang w:eastAsia="zh-CN"/>
        </w:rPr>
        <w:t>“</w:t>
      </w:r>
      <w:r>
        <w:rPr>
          <w:rFonts w:hint="eastAsia"/>
        </w:rPr>
        <w:t>享受政策的牧民户均补助金额（元）</w:t>
      </w:r>
      <w:r>
        <w:rPr>
          <w:rFonts w:hint="eastAsia"/>
          <w:lang w:eastAsia="zh-CN"/>
        </w:rPr>
        <w:t>”</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30000元；</w:t>
      </w:r>
    </w:p>
    <w:p w14:paraId="374AD891">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②社会效益指标</w:t>
      </w:r>
    </w:p>
    <w:p w14:paraId="6D96A31B">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“享受政策的农牧民户数（户）”指标，预期指标值为</w:t>
      </w:r>
      <w:r>
        <w:rPr>
          <w:rFonts w:hint="eastAsia"/>
          <w:color w:val="auto"/>
          <w:highlight w:val="none"/>
          <w:lang w:eastAsia="zh-CN"/>
        </w:rPr>
        <w:t>大于等于</w:t>
      </w:r>
      <w:r>
        <w:rPr>
          <w:rFonts w:hint="eastAsia"/>
          <w:color w:val="auto"/>
          <w:highlight w:val="none"/>
        </w:rPr>
        <w:t>2000户；</w:t>
      </w:r>
    </w:p>
    <w:p w14:paraId="480CFDE0">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“有力促进传统畜牧业向现代畜牧业转变”指标，预期指标值为提高。</w:t>
      </w:r>
    </w:p>
    <w:p w14:paraId="3D9A8DA0">
      <w:pPr>
        <w:pageBreakBefore w:val="0"/>
        <w:kinsoku/>
        <w:wordWrap/>
        <w:topLinePunct w:val="0"/>
        <w:autoSpaceDE/>
        <w:autoSpaceDN/>
        <w:bidi w:val="0"/>
        <w:spacing w:line="560" w:lineRule="exact"/>
        <w:ind w:firstLine="560"/>
        <w:textAlignment w:val="auto"/>
        <w:rPr>
          <w:color w:val="auto"/>
          <w:highlight w:val="none"/>
        </w:rPr>
      </w:pPr>
      <w:r>
        <w:rPr>
          <w:rFonts w:hint="default" w:ascii="Times New Roman" w:hAnsi="Times New Roman" w:cs="Times New Roman"/>
          <w:color w:val="auto"/>
          <w:highlight w:val="none"/>
        </w:rPr>
        <w:t>③</w:t>
      </w:r>
      <w:r>
        <w:rPr>
          <w:rFonts w:hint="eastAsia"/>
          <w:color w:val="auto"/>
          <w:highlight w:val="none"/>
        </w:rPr>
        <w:t>生态效益指标</w:t>
      </w:r>
    </w:p>
    <w:p w14:paraId="478D8D18">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“草原综合植被覆盖度（%）”指标，预期指标值为</w:t>
      </w:r>
      <w:r>
        <w:rPr>
          <w:rFonts w:hint="eastAsia"/>
          <w:color w:val="auto"/>
          <w:highlight w:val="none"/>
          <w:lang w:eastAsia="zh-CN"/>
        </w:rPr>
        <w:t>大于等于</w:t>
      </w:r>
      <w:r>
        <w:rPr>
          <w:rFonts w:hint="eastAsia"/>
          <w:color w:val="auto"/>
          <w:highlight w:val="none"/>
        </w:rPr>
        <w:t>36%；</w:t>
      </w:r>
    </w:p>
    <w:p w14:paraId="4A886783">
      <w:pPr>
        <w:pageBreakBefore w:val="0"/>
        <w:kinsoku/>
        <w:wordWrap/>
        <w:topLinePunct w:val="0"/>
        <w:autoSpaceDE/>
        <w:autoSpaceDN/>
        <w:bidi w:val="0"/>
        <w:spacing w:line="560" w:lineRule="exact"/>
        <w:ind w:firstLine="562"/>
        <w:textAlignment w:val="auto"/>
        <w:rPr>
          <w:rFonts w:ascii="仿宋" w:hAnsi="仿宋" w:eastAsia="仿宋"/>
          <w:b/>
          <w:color w:val="auto"/>
          <w:highlight w:val="none"/>
        </w:rPr>
      </w:pPr>
      <w:r>
        <w:rPr>
          <w:rFonts w:hint="eastAsia" w:ascii="仿宋" w:hAnsi="仿宋" w:eastAsia="仿宋"/>
          <w:b/>
          <w:color w:val="auto"/>
          <w:highlight w:val="none"/>
        </w:rPr>
        <w:t>（3）相关满意度目标</w:t>
      </w:r>
    </w:p>
    <w:p w14:paraId="62115A50">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①满意度指标</w:t>
      </w:r>
    </w:p>
    <w:p w14:paraId="55E530AD">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“受益群众对政策实施的满意度(%)”指标，预期指标值为</w:t>
      </w:r>
      <w:r>
        <w:rPr>
          <w:rFonts w:hint="eastAsia"/>
          <w:color w:val="auto"/>
          <w:highlight w:val="none"/>
          <w:lang w:eastAsia="zh-CN"/>
        </w:rPr>
        <w:t>大于等于</w:t>
      </w:r>
      <w:r>
        <w:rPr>
          <w:rFonts w:hint="eastAsia"/>
          <w:color w:val="auto"/>
          <w:highlight w:val="none"/>
        </w:rPr>
        <w:t>95%；</w:t>
      </w:r>
    </w:p>
    <w:p w14:paraId="33314F2A">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rPr>
        <w:t>二、绩效评价工作开展情况</w:t>
      </w:r>
    </w:p>
    <w:p w14:paraId="5908B4B8">
      <w:pPr>
        <w:pStyle w:val="4"/>
        <w:pageBreakBefore w:val="0"/>
        <w:numPr>
          <w:ilvl w:val="0"/>
          <w:numId w:val="2"/>
        </w:numPr>
        <w:kinsoku/>
        <w:wordWrap/>
        <w:topLinePunct w:val="0"/>
        <w:autoSpaceDE/>
        <w:autoSpaceDN/>
        <w:bidi w:val="0"/>
        <w:spacing w:line="560" w:lineRule="exact"/>
        <w:ind w:firstLine="643"/>
        <w:textAlignment w:val="auto"/>
        <w:rPr>
          <w:rFonts w:ascii="楷体" w:hAnsi="楷体" w:cs="楷体"/>
          <w:color w:val="auto"/>
          <w:szCs w:val="32"/>
          <w:highlight w:val="none"/>
        </w:rPr>
      </w:pPr>
      <w:bookmarkStart w:id="0" w:name="_Toc12868"/>
      <w:bookmarkStart w:id="1" w:name="_Toc22169_WPSOffice_Level2"/>
      <w:bookmarkStart w:id="2" w:name="_Toc5462343"/>
      <w:bookmarkStart w:id="3" w:name="_Toc26632"/>
      <w:bookmarkStart w:id="4" w:name="_Toc22922"/>
      <w:bookmarkStart w:id="5" w:name="_Toc5258"/>
      <w:bookmarkStart w:id="6" w:name="_Toc21664"/>
      <w:bookmarkStart w:id="7" w:name="_Toc480473081"/>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7623A2A9">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61BAE719">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DD6FA96">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（1）项目在实施前向项目负责人提供财政支出绩效方面的资金管理信息，促进项目支出严格按照资金管理规定进行。</w:t>
      </w:r>
    </w:p>
    <w:p w14:paraId="24AF86C1">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（2）项目绩效管理财政支出运行提供及时、有效的信息。</w:t>
      </w:r>
    </w:p>
    <w:p w14:paraId="3AC676E4">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综合来看，通过开展有效的财政支出绩效评价管理，达到改进预算管理、控制节约成本，提高预算资金使用效益的目的。</w:t>
      </w:r>
    </w:p>
    <w:p w14:paraId="7AF52351">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2.绩效评价的对象</w:t>
      </w:r>
    </w:p>
    <w:p w14:paraId="7A9FA087">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w:t>
      </w:r>
      <w:r>
        <w:rPr>
          <w:rFonts w:hint="eastAsia" w:ascii="Times New Roman" w:hAnsi="Times New Roman" w:cs="Times New Roman"/>
          <w:color w:val="auto"/>
          <w:highlight w:val="none"/>
          <w:lang w:eastAsia="zh-CN"/>
        </w:rPr>
        <w:t>施的中央农业资源及生态保护补助项目项目开展部门绩效评价，评价核心</w:t>
      </w:r>
      <w:r>
        <w:rPr>
          <w:rFonts w:hint="eastAsia" w:ascii="Times New Roman" w:hAnsi="Times New Roman" w:cs="Times New Roman"/>
          <w:color w:val="auto"/>
          <w:highlight w:val="none"/>
          <w:lang w:val="en-US" w:eastAsia="zh-CN"/>
        </w:rPr>
        <w:t>内容</w:t>
      </w:r>
      <w:r>
        <w:rPr>
          <w:rFonts w:hint="eastAsia" w:ascii="Times New Roman" w:hAnsi="Times New Roman" w:cs="Times New Roman"/>
          <w:color w:val="auto"/>
          <w:highlight w:val="none"/>
          <w:lang w:eastAsia="zh-CN"/>
        </w:rPr>
        <w:t>为项目资金</w:t>
      </w:r>
      <w:r>
        <w:rPr>
          <w:rFonts w:hint="eastAsia" w:ascii="Times New Roman" w:hAnsi="Times New Roman" w:cs="Times New Roman"/>
          <w:color w:val="auto"/>
          <w:highlight w:val="none"/>
          <w:lang w:val="en-US" w:eastAsia="zh-CN"/>
        </w:rPr>
        <w:t>执行情况</w:t>
      </w:r>
      <w:r>
        <w:rPr>
          <w:rFonts w:hint="eastAsia" w:ascii="Times New Roman" w:hAnsi="Times New Roman" w:cs="Times New Roman"/>
          <w:color w:val="auto"/>
          <w:highlight w:val="none"/>
          <w:lang w:eastAsia="zh-CN"/>
        </w:rPr>
        <w:t>、</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14:paraId="09C07A05">
      <w:pPr>
        <w:pageBreakBefore w:val="0"/>
        <w:numPr>
          <w:ilvl w:val="0"/>
          <w:numId w:val="3"/>
        </w:numPr>
        <w:kinsoku/>
        <w:wordWrap/>
        <w:topLinePunct w:val="0"/>
        <w:autoSpaceDE/>
        <w:autoSpaceDN/>
        <w:bidi w:val="0"/>
        <w:spacing w:line="560" w:lineRule="exact"/>
        <w:ind w:firstLine="560"/>
        <w:textAlignment w:val="auto"/>
        <w:rPr>
          <w:rFonts w:hint="eastAsia"/>
          <w:b/>
          <w:bCs/>
          <w:color w:val="auto"/>
          <w:highlight w:val="none"/>
          <w:lang w:val="en-US" w:eastAsia="zh-CN"/>
        </w:rPr>
      </w:pPr>
      <w:r>
        <w:rPr>
          <w:rFonts w:hint="eastAsia"/>
          <w:b/>
          <w:bCs/>
          <w:color w:val="auto"/>
          <w:highlight w:val="none"/>
          <w:lang w:val="en-US" w:eastAsia="zh-CN"/>
        </w:rPr>
        <w:t>绩效评价的范围</w:t>
      </w:r>
    </w:p>
    <w:p w14:paraId="0158E7DC">
      <w:pPr>
        <w:pageBreakBefore w:val="0"/>
        <w:numPr>
          <w:ilvl w:val="0"/>
          <w:numId w:val="0"/>
        </w:numPr>
        <w:kinsoku/>
        <w:wordWrap/>
        <w:topLinePunct w:val="0"/>
        <w:autoSpaceDE/>
        <w:autoSpaceDN/>
        <w:bidi w:val="0"/>
        <w:spacing w:line="560" w:lineRule="exact"/>
        <w:ind w:firstLine="560" w:firstLineChars="200"/>
        <w:textAlignment w:val="auto"/>
        <w:rPr>
          <w:color w:val="auto"/>
          <w:highlight w:val="none"/>
        </w:rPr>
      </w:pPr>
      <w:r>
        <w:rPr>
          <w:rFonts w:hint="eastAsia"/>
          <w:color w:val="auto"/>
          <w:highlight w:val="none"/>
        </w:rPr>
        <w:t>本次绩效评价主要项目的决策、过程、产出、效益等。围绕项目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14:paraId="068347A6">
      <w:pPr>
        <w:pStyle w:val="4"/>
        <w:pageBreakBefore w:val="0"/>
        <w:numPr>
          <w:ilvl w:val="0"/>
          <w:numId w:val="2"/>
        </w:numPr>
        <w:kinsoku/>
        <w:wordWrap/>
        <w:topLinePunct w:val="0"/>
        <w:autoSpaceDE/>
        <w:autoSpaceDN/>
        <w:bidi w:val="0"/>
        <w:spacing w:line="560" w:lineRule="exact"/>
        <w:ind w:firstLine="643"/>
        <w:textAlignment w:val="auto"/>
        <w:rPr>
          <w:color w:val="auto"/>
          <w:highlight w:val="none"/>
        </w:rPr>
      </w:pPr>
      <w:r>
        <w:rPr>
          <w:rFonts w:hint="eastAsia"/>
          <w:color w:val="auto"/>
          <w:highlight w:val="none"/>
        </w:rPr>
        <w:t>绩效评价原则、评价指标体系、评价方法</w:t>
      </w:r>
      <w:r>
        <w:rPr>
          <w:rFonts w:hint="eastAsia"/>
          <w:color w:val="auto"/>
          <w:highlight w:val="none"/>
          <w:lang w:eastAsia="zh-CN"/>
        </w:rPr>
        <w:t>、</w:t>
      </w:r>
      <w:r>
        <w:rPr>
          <w:rFonts w:hint="eastAsia"/>
          <w:color w:val="auto"/>
          <w:highlight w:val="none"/>
        </w:rPr>
        <w:t>评价标准</w:t>
      </w:r>
    </w:p>
    <w:p w14:paraId="32E524B7">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1.绩效评价原则</w:t>
      </w:r>
    </w:p>
    <w:p w14:paraId="73AC189E">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14:paraId="3845A340">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根据以上原则，绩效评价应遵循如下要求：</w:t>
      </w:r>
    </w:p>
    <w:p w14:paraId="41A1C5B8">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14:paraId="31E0EEEE">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（2）保证评价结果的真实性、公正性，提高评价报告的公信力。</w:t>
      </w:r>
    </w:p>
    <w:p w14:paraId="1A869382">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14:paraId="1B3A77C1">
      <w:pPr>
        <w:pStyle w:val="5"/>
        <w:pageBreakBefore w:val="0"/>
        <w:kinsoku/>
        <w:wordWrap/>
        <w:topLinePunct w:val="0"/>
        <w:autoSpaceDE/>
        <w:autoSpaceDN/>
        <w:bidi w:val="0"/>
        <w:spacing w:line="560" w:lineRule="exact"/>
        <w:ind w:firstLine="562"/>
        <w:textAlignment w:val="auto"/>
        <w:rPr>
          <w:color w:val="auto"/>
          <w:highlight w:val="none"/>
        </w:rPr>
      </w:pPr>
      <w:bookmarkStart w:id="8" w:name="_Toc26131"/>
      <w:bookmarkStart w:id="9" w:name="_Toc419984722"/>
      <w:bookmarkStart w:id="10" w:name="_Toc1913"/>
      <w:bookmarkStart w:id="11" w:name="_Toc428278230"/>
      <w:r>
        <w:rPr>
          <w:rFonts w:hint="eastAsia"/>
          <w:color w:val="auto"/>
          <w:highlight w:val="none"/>
        </w:rPr>
        <w:t>2.绩效评价指标体系</w:t>
      </w:r>
      <w:bookmarkEnd w:id="8"/>
      <w:bookmarkEnd w:id="9"/>
      <w:bookmarkEnd w:id="10"/>
      <w:bookmarkEnd w:id="11"/>
    </w:p>
    <w:p w14:paraId="7F27D661">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绩效评价框架是开展绩效评价的核心。绩效评价框架包括评价准则、关键评价问题、评价指标、数据来源、数据收集方法等。指标体系建立过程如下：</w:t>
      </w:r>
    </w:p>
    <w:p w14:paraId="6915896C">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（1）确定评价指标</w:t>
      </w:r>
    </w:p>
    <w:p w14:paraId="1F4B4778">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063E5C9">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（2）确定权重</w:t>
      </w:r>
    </w:p>
    <w:p w14:paraId="760D24BD">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确定各个指标相对于项目总体绩效的权重分值。在绩效评价指标体系中，项目决策权重为</w:t>
      </w:r>
      <w:r>
        <w:rPr>
          <w:rFonts w:hint="eastAsia"/>
          <w:color w:val="auto"/>
          <w:highlight w:val="none"/>
          <w:lang w:val="en-US" w:eastAsia="zh-CN"/>
        </w:rPr>
        <w:t>20</w:t>
      </w:r>
      <w:r>
        <w:rPr>
          <w:rFonts w:hint="eastAsia"/>
          <w:color w:val="auto"/>
          <w:highlight w:val="none"/>
        </w:rPr>
        <w:t>分，项目过程权重为</w:t>
      </w:r>
      <w:r>
        <w:rPr>
          <w:rFonts w:hint="eastAsia"/>
          <w:color w:val="auto"/>
          <w:highlight w:val="none"/>
          <w:lang w:val="en-US" w:eastAsia="zh-CN"/>
        </w:rPr>
        <w:t>20</w:t>
      </w:r>
      <w:r>
        <w:rPr>
          <w:rFonts w:hint="eastAsia"/>
          <w:color w:val="auto"/>
          <w:highlight w:val="none"/>
        </w:rPr>
        <w:t>分，项目产出权重为</w:t>
      </w:r>
      <w:r>
        <w:rPr>
          <w:rFonts w:hint="eastAsia"/>
          <w:color w:val="auto"/>
          <w:highlight w:val="none"/>
          <w:lang w:val="en-US" w:eastAsia="zh-CN"/>
        </w:rPr>
        <w:t>40</w:t>
      </w:r>
      <w:r>
        <w:rPr>
          <w:rFonts w:hint="eastAsia"/>
          <w:color w:val="auto"/>
          <w:highlight w:val="none"/>
        </w:rPr>
        <w:t>分，项目效益权重为</w:t>
      </w:r>
      <w:r>
        <w:rPr>
          <w:rFonts w:hint="eastAsia"/>
          <w:color w:val="auto"/>
          <w:highlight w:val="none"/>
          <w:lang w:val="en-US" w:eastAsia="zh-CN"/>
        </w:rPr>
        <w:t>20</w:t>
      </w:r>
      <w:r>
        <w:rPr>
          <w:rFonts w:hint="eastAsia"/>
          <w:color w:val="auto"/>
          <w:highlight w:val="none"/>
        </w:rPr>
        <w:t>分。</w:t>
      </w:r>
    </w:p>
    <w:p w14:paraId="78AA926B">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（3）确定指标标准值</w:t>
      </w:r>
    </w:p>
    <w:p w14:paraId="3CE8039B">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指标标准值是绩效评价指标的尺度，既要反映同类项目的先进水平，又要符合项目的实际绩效水平。具体采用计划标准等确定此次绩效评价指标标准值。</w:t>
      </w:r>
    </w:p>
    <w:p w14:paraId="36BE68B1">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76014A0">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具体评价指标体系详情见附件1</w:t>
      </w:r>
    </w:p>
    <w:p w14:paraId="1EAB7CEB">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3.评价方法</w:t>
      </w:r>
    </w:p>
    <w:p w14:paraId="369E97F0">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绩效评价从项目决策、项目过程、项目产出、项目效益四个维度进行评价。评价对象为项目目标实施情况，  评价核心为资金的支出完成情况和项目的产出效益。本次评价指标中，既有定性指标又有定量指标，各类指标因考核内容不同和客观标准不同存在较大差异，因此核定具体指标时采用了不同方法，具体评价方法如下：</w:t>
      </w:r>
    </w:p>
    <w:p w14:paraId="1DDF4F8C">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（1）比较法</w:t>
      </w:r>
    </w:p>
    <w:p w14:paraId="25FF09FF">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通过对绩效目标与实施效果、历史与当期情况，综合分析绩效目标实现程度。对项目最终验收情况与年度绩效目标对比、预算资金执行情况等相关因素进行比较。</w:t>
      </w:r>
    </w:p>
    <w:p w14:paraId="2D55BB89">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（2）因素分析法</w:t>
      </w:r>
    </w:p>
    <w:p w14:paraId="4A033954">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0F82AE27">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4.评价标准</w:t>
      </w:r>
    </w:p>
    <w:p w14:paraId="1BEB68E0">
      <w:pPr>
        <w:pageBreakBefore w:val="0"/>
        <w:kinsoku/>
        <w:wordWrap/>
        <w:topLinePunct w:val="0"/>
        <w:autoSpaceDE/>
        <w:autoSpaceDN/>
        <w:bidi w:val="0"/>
        <w:spacing w:line="560" w:lineRule="exact"/>
        <w:ind w:firstLine="560"/>
        <w:textAlignment w:val="auto"/>
        <w:rPr>
          <w:rFonts w:hint="eastAsia" w:ascii="仿宋_GB2312" w:hAnsi="仿宋_GB2312" w:cs="仿宋_GB2312"/>
          <w:bCs/>
          <w:color w:val="auto"/>
          <w:sz w:val="28"/>
          <w:szCs w:val="28"/>
          <w:highlight w:val="none"/>
        </w:rPr>
      </w:pPr>
      <w:r>
        <w:rPr>
          <w:rFonts w:hint="eastAsia" w:ascii="仿宋_GB2312" w:hAnsi="仿宋_GB2312" w:cs="仿宋_GB2312"/>
          <w:bCs/>
          <w:color w:val="auto"/>
          <w:sz w:val="28"/>
          <w:szCs w:val="28"/>
          <w:highlight w:val="none"/>
          <w:lang w:eastAsia="zh-CN"/>
        </w:rPr>
        <w:t>本项目</w:t>
      </w:r>
      <w:r>
        <w:rPr>
          <w:rFonts w:hint="eastAsia" w:ascii="仿宋_GB2312" w:hAnsi="仿宋_GB2312" w:cs="仿宋_GB2312"/>
          <w:bCs/>
          <w:color w:val="auto"/>
          <w:sz w:val="28"/>
          <w:szCs w:val="28"/>
          <w:highlight w:val="none"/>
        </w:rPr>
        <w:t>绩效评价标准通常包括计划标准、行业标准、历史标准等，用于对绩效指标完成情况进行比较。本次评价主要采用了计划标准和行业标准。</w:t>
      </w:r>
    </w:p>
    <w:p w14:paraId="03F2FBBB">
      <w:pPr>
        <w:pStyle w:val="4"/>
        <w:pageBreakBefore w:val="0"/>
        <w:numPr>
          <w:ilvl w:val="0"/>
          <w:numId w:val="2"/>
        </w:numPr>
        <w:kinsoku/>
        <w:wordWrap/>
        <w:topLinePunct w:val="0"/>
        <w:autoSpaceDE/>
        <w:autoSpaceDN/>
        <w:bidi w:val="0"/>
        <w:spacing w:line="560" w:lineRule="exact"/>
        <w:ind w:firstLine="643"/>
        <w:textAlignment w:val="auto"/>
        <w:rPr>
          <w:color w:val="auto"/>
          <w:highlight w:val="none"/>
        </w:rPr>
      </w:pPr>
      <w:r>
        <w:rPr>
          <w:rFonts w:hint="eastAsia"/>
          <w:color w:val="auto"/>
          <w:highlight w:val="none"/>
        </w:rPr>
        <w:t>绩效评价工作过程</w:t>
      </w:r>
    </w:p>
    <w:p w14:paraId="66B5B956">
      <w:pPr>
        <w:pageBreakBefore w:val="0"/>
        <w:kinsoku/>
        <w:wordWrap/>
        <w:topLinePunct w:val="0"/>
        <w:autoSpaceDE/>
        <w:autoSpaceDN/>
        <w:bidi w:val="0"/>
        <w:spacing w:line="560" w:lineRule="exact"/>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717C3195">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2024年1月1日，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45826F91">
      <w:pPr>
        <w:pageBreakBefore w:val="0"/>
        <w:kinsoku/>
        <w:wordWrap/>
        <w:topLinePunct w:val="0"/>
        <w:autoSpaceDE/>
        <w:autoSpaceDN/>
        <w:bidi w:val="0"/>
        <w:spacing w:line="560" w:lineRule="exact"/>
        <w:ind w:firstLine="560"/>
        <w:textAlignment w:val="auto"/>
        <w:rPr>
          <w:rFonts w:hint="default"/>
          <w:color w:val="auto"/>
          <w:highlight w:val="none"/>
          <w:lang w:val="en-US" w:eastAsia="zh-CN"/>
        </w:rPr>
      </w:pPr>
      <w:r>
        <w:rPr>
          <w:rFonts w:hint="eastAsia"/>
          <w:color w:val="auto"/>
          <w:highlight w:val="none"/>
          <w:lang w:val="en-US" w:eastAsia="zh-CN"/>
        </w:rPr>
        <w:t>（1）评价组组长：张思维，</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64B82AFB">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（2）评价组成员：米合热古丽·赛提尼亚孜，</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3FE177CC">
      <w:pPr>
        <w:pageBreakBefore w:val="0"/>
        <w:kinsoku/>
        <w:wordWrap/>
        <w:topLinePunct w:val="0"/>
        <w:autoSpaceDE/>
        <w:autoSpaceDN/>
        <w:bidi w:val="0"/>
        <w:spacing w:line="560" w:lineRule="exact"/>
        <w:ind w:firstLine="560"/>
        <w:textAlignment w:val="auto"/>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（3）评价组成员：热西迪汗·艾合买提，</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48628DD8">
      <w:pPr>
        <w:pageBreakBefore w:val="0"/>
        <w:kinsoku/>
        <w:wordWrap/>
        <w:topLinePunct w:val="0"/>
        <w:autoSpaceDE/>
        <w:autoSpaceDN/>
        <w:bidi w:val="0"/>
        <w:spacing w:line="560" w:lineRule="exact"/>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50868D46">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lang w:eastAsia="zh-CN"/>
        </w:rPr>
        <w:t>月</w:t>
      </w:r>
      <w:r>
        <w:rPr>
          <w:rFonts w:hint="eastAsia"/>
          <w:color w:val="auto"/>
          <w:highlight w:val="none"/>
          <w:lang w:val="en-US" w:eastAsia="zh-CN"/>
        </w:rPr>
        <w:t>1</w:t>
      </w:r>
      <w:r>
        <w:rPr>
          <w:rFonts w:hint="eastAsia"/>
          <w:color w:val="auto"/>
          <w:highlight w:val="none"/>
          <w:lang w:eastAsia="zh-CN"/>
        </w:rPr>
        <w:t>日-</w:t>
      </w:r>
      <w:r>
        <w:rPr>
          <w:rFonts w:hint="eastAsia"/>
          <w:color w:val="auto"/>
          <w:highlight w:val="none"/>
          <w:lang w:val="en-US" w:eastAsia="zh-CN"/>
        </w:rPr>
        <w:t>1</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14B288E3">
      <w:pPr>
        <w:pageBreakBefore w:val="0"/>
        <w:kinsoku/>
        <w:wordWrap/>
        <w:topLinePunct w:val="0"/>
        <w:autoSpaceDE/>
        <w:autoSpaceDN/>
        <w:bidi w:val="0"/>
        <w:spacing w:line="560" w:lineRule="exact"/>
        <w:textAlignment w:val="auto"/>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307DEDF7">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0EC133A2">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1</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7111B043">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66E9ADEC">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66E0576C">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14:paraId="5726D1BE">
      <w:pPr>
        <w:pageBreakBefore w:val="0"/>
        <w:kinsoku/>
        <w:wordWrap/>
        <w:topLinePunct w:val="0"/>
        <w:autoSpaceDE/>
        <w:autoSpaceDN/>
        <w:bidi w:val="0"/>
        <w:spacing w:line="560" w:lineRule="exact"/>
        <w:textAlignment w:val="auto"/>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34493D7C">
      <w:pPr>
        <w:pStyle w:val="3"/>
        <w:pageBreakBefore w:val="0"/>
        <w:numPr>
          <w:ilvl w:val="0"/>
          <w:numId w:val="4"/>
        </w:numPr>
        <w:kinsoku/>
        <w:wordWrap/>
        <w:topLinePunct w:val="0"/>
        <w:autoSpaceDE/>
        <w:autoSpaceDN/>
        <w:bidi w:val="0"/>
        <w:spacing w:line="560" w:lineRule="exact"/>
        <w:ind w:firstLine="640"/>
        <w:textAlignment w:val="auto"/>
        <w:rPr>
          <w:color w:val="auto"/>
          <w:highlight w:val="none"/>
        </w:rPr>
      </w:pPr>
      <w:r>
        <w:rPr>
          <w:rFonts w:hint="eastAsia"/>
          <w:color w:val="auto"/>
          <w:highlight w:val="none"/>
        </w:rPr>
        <w:t>综合评价情况及评价结论</w:t>
      </w:r>
    </w:p>
    <w:p w14:paraId="2BFD99D4">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3C15F2B8">
      <w:pPr>
        <w:pageBreakBefore w:val="0"/>
        <w:kinsoku/>
        <w:wordWrap/>
        <w:topLinePunct w:val="0"/>
        <w:autoSpaceDE/>
        <w:autoSpaceDN/>
        <w:bidi w:val="0"/>
        <w:spacing w:line="560" w:lineRule="exact"/>
        <w:textAlignment w:val="auto"/>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3223BBB3">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项目决策由3个二级指标和6个三级指标构成，权重分20分，实际得分</w:t>
      </w:r>
      <w:r>
        <w:rPr>
          <w:rFonts w:hint="eastAsia"/>
          <w:color w:val="auto"/>
          <w:highlight w:val="none"/>
          <w:lang w:val="en-US" w:eastAsia="zh-CN"/>
        </w:rPr>
        <w:t>20</w:t>
      </w:r>
      <w:r>
        <w:rPr>
          <w:rFonts w:hint="eastAsia"/>
          <w:color w:val="auto"/>
          <w:highlight w:val="none"/>
        </w:rPr>
        <w:t xml:space="preserve">分。 </w:t>
      </w:r>
    </w:p>
    <w:p w14:paraId="30CA73EF">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u w:color="000000"/>
          <w:lang w:val="zh-TW" w:eastAsia="zh-TW"/>
        </w:rPr>
        <w:t>项目</w:t>
      </w:r>
      <w:r>
        <w:rPr>
          <w:rFonts w:hint="eastAsia" w:ascii="仿宋_GB2312"/>
          <w:color w:val="auto"/>
          <w:highlight w:val="none"/>
        </w:rPr>
        <w:t>过程</w:t>
      </w:r>
      <w:r>
        <w:rPr>
          <w:rFonts w:hint="eastAsia"/>
          <w:color w:val="auto"/>
          <w:highlight w:val="none"/>
          <w:u w:color="000000"/>
        </w:rPr>
        <w:t>管理</w:t>
      </w:r>
      <w:r>
        <w:rPr>
          <w:rFonts w:hint="eastAsia"/>
          <w:color w:val="auto"/>
          <w:highlight w:val="none"/>
          <w:u w:color="000000"/>
          <w:lang w:val="zh-TW" w:eastAsia="zh-TW"/>
        </w:rPr>
        <w:t>类指标由</w:t>
      </w:r>
      <w:r>
        <w:rPr>
          <w:rFonts w:hint="eastAsia"/>
          <w:color w:val="auto"/>
          <w:highlight w:val="none"/>
          <w:u w:color="000000"/>
        </w:rPr>
        <w:t>2</w:t>
      </w:r>
      <w:r>
        <w:rPr>
          <w:rFonts w:hint="eastAsia"/>
          <w:color w:val="auto"/>
          <w:highlight w:val="none"/>
          <w:u w:color="000000"/>
          <w:lang w:val="zh-TW" w:eastAsia="zh-TW"/>
        </w:rPr>
        <w:t>个</w:t>
      </w:r>
      <w:r>
        <w:rPr>
          <w:rFonts w:hint="eastAsia"/>
          <w:color w:val="auto"/>
          <w:highlight w:val="none"/>
          <w:u w:color="000000"/>
          <w:lang w:val="zh-TW"/>
        </w:rPr>
        <w:t>二</w:t>
      </w:r>
      <w:r>
        <w:rPr>
          <w:rFonts w:hint="eastAsia"/>
          <w:color w:val="auto"/>
          <w:highlight w:val="none"/>
          <w:u w:color="000000"/>
          <w:lang w:val="zh-TW" w:eastAsia="zh-TW"/>
        </w:rPr>
        <w:t>级指标和</w:t>
      </w:r>
      <w:r>
        <w:rPr>
          <w:rFonts w:hint="eastAsia"/>
          <w:color w:val="auto"/>
          <w:highlight w:val="none"/>
          <w:u w:color="000000"/>
        </w:rPr>
        <w:t>5</w:t>
      </w:r>
      <w:r>
        <w:rPr>
          <w:rFonts w:hint="eastAsia"/>
          <w:color w:val="auto"/>
          <w:highlight w:val="none"/>
          <w:u w:color="000000"/>
          <w:lang w:val="zh-TW" w:eastAsia="zh-TW"/>
        </w:rPr>
        <w:t>个</w:t>
      </w:r>
      <w:r>
        <w:rPr>
          <w:rFonts w:hint="eastAsia"/>
          <w:color w:val="auto"/>
          <w:highlight w:val="none"/>
          <w:u w:color="000000"/>
        </w:rPr>
        <w:t>三</w:t>
      </w:r>
      <w:r>
        <w:rPr>
          <w:rFonts w:hint="eastAsia"/>
          <w:color w:val="auto"/>
          <w:highlight w:val="none"/>
          <w:u w:color="000000"/>
          <w:lang w:val="zh-TW" w:eastAsia="zh-TW"/>
        </w:rPr>
        <w:t>级指标构成，权重分</w:t>
      </w:r>
      <w:r>
        <w:rPr>
          <w:rFonts w:hint="eastAsia"/>
          <w:color w:val="auto"/>
          <w:highlight w:val="none"/>
          <w:u w:color="000000"/>
        </w:rPr>
        <w:t>20</w:t>
      </w:r>
      <w:r>
        <w:rPr>
          <w:rFonts w:hint="eastAsia"/>
          <w:color w:val="auto"/>
          <w:highlight w:val="none"/>
          <w:u w:color="000000"/>
          <w:lang w:val="zh-TW" w:eastAsia="zh-TW"/>
        </w:rPr>
        <w:t>分，实际得分</w:t>
      </w:r>
      <w:r>
        <w:rPr>
          <w:rFonts w:hint="eastAsia"/>
          <w:color w:val="auto"/>
          <w:highlight w:val="none"/>
          <w:u w:color="000000"/>
          <w:lang w:val="en-US" w:eastAsia="zh-CN"/>
        </w:rPr>
        <w:t>20</w:t>
      </w:r>
      <w:r>
        <w:rPr>
          <w:rFonts w:hint="eastAsia"/>
          <w:color w:val="auto"/>
          <w:highlight w:val="none"/>
          <w:u w:color="000000"/>
          <w:lang w:val="zh-TW" w:eastAsia="zh-TW"/>
        </w:rPr>
        <w:t>分</w:t>
      </w:r>
      <w:r>
        <w:rPr>
          <w:rFonts w:hint="eastAsia"/>
          <w:color w:val="auto"/>
          <w:highlight w:val="none"/>
        </w:rPr>
        <w:t>。</w:t>
      </w:r>
    </w:p>
    <w:p w14:paraId="6C14B839">
      <w:pPr>
        <w:pageBreakBefore w:val="0"/>
        <w:kinsoku/>
        <w:wordWrap/>
        <w:topLinePunct w:val="0"/>
        <w:autoSpaceDE/>
        <w:autoSpaceDN/>
        <w:bidi w:val="0"/>
        <w:spacing w:line="560" w:lineRule="exact"/>
        <w:jc w:val="left"/>
        <w:textAlignment w:val="auto"/>
        <w:rPr>
          <w:rFonts w:hint="eastAsia"/>
          <w:color w:val="auto"/>
          <w:highlight w:val="none"/>
          <w:u w:color="000000"/>
          <w:lang w:val="zh-TW" w:eastAsia="zh-CN"/>
        </w:rPr>
      </w:pPr>
      <w:r>
        <w:rPr>
          <w:rFonts w:hint="eastAsia"/>
          <w:color w:val="auto"/>
          <w:highlight w:val="none"/>
          <w:lang w:eastAsia="zh-CN"/>
        </w:rPr>
        <w:t>项目产出方面：</w:t>
      </w:r>
      <w:r>
        <w:rPr>
          <w:rFonts w:hint="eastAsia"/>
          <w:color w:val="auto"/>
          <w:highlight w:val="none"/>
          <w:u w:color="000000"/>
          <w:lang w:val="zh-TW" w:eastAsia="zh-TW"/>
        </w:rPr>
        <w:t>项目</w:t>
      </w:r>
      <w:r>
        <w:rPr>
          <w:rFonts w:hint="eastAsia" w:ascii="仿宋_GB2312"/>
          <w:color w:val="auto"/>
          <w:highlight w:val="none"/>
        </w:rPr>
        <w:t>产出</w:t>
      </w:r>
      <w:r>
        <w:rPr>
          <w:rFonts w:hint="eastAsia"/>
          <w:color w:val="auto"/>
          <w:highlight w:val="none"/>
          <w:u w:color="000000"/>
          <w:lang w:val="zh-TW" w:eastAsia="zh-TW"/>
        </w:rPr>
        <w:t>类指标由</w:t>
      </w:r>
      <w:r>
        <w:rPr>
          <w:rFonts w:hint="eastAsia"/>
          <w:color w:val="auto"/>
          <w:highlight w:val="none"/>
          <w:u w:color="000000"/>
          <w:lang w:val="en-US" w:eastAsia="zh-CN"/>
        </w:rPr>
        <w:t>4</w:t>
      </w:r>
      <w:r>
        <w:rPr>
          <w:rFonts w:hint="eastAsia"/>
          <w:color w:val="auto"/>
          <w:highlight w:val="none"/>
          <w:u w:color="000000"/>
          <w:lang w:val="zh-TW" w:eastAsia="zh-TW"/>
        </w:rPr>
        <w:t>个</w:t>
      </w:r>
      <w:r>
        <w:rPr>
          <w:rFonts w:hint="eastAsia"/>
          <w:color w:val="auto"/>
          <w:highlight w:val="none"/>
          <w:u w:color="000000"/>
          <w:lang w:val="zh-TW"/>
        </w:rPr>
        <w:t>二</w:t>
      </w:r>
      <w:r>
        <w:rPr>
          <w:rFonts w:hint="eastAsia"/>
          <w:color w:val="auto"/>
          <w:highlight w:val="none"/>
          <w:u w:color="000000"/>
          <w:lang w:val="zh-TW" w:eastAsia="zh-TW"/>
        </w:rPr>
        <w:t>级指标和</w:t>
      </w:r>
      <w:r>
        <w:rPr>
          <w:rFonts w:hint="eastAsia"/>
          <w:color w:val="auto"/>
          <w:highlight w:val="none"/>
          <w:u w:color="000000"/>
          <w:lang w:val="en-US" w:eastAsia="zh-CN"/>
        </w:rPr>
        <w:t>7</w:t>
      </w:r>
      <w:r>
        <w:rPr>
          <w:rFonts w:hint="eastAsia"/>
          <w:color w:val="auto"/>
          <w:highlight w:val="none"/>
          <w:u w:color="000000"/>
          <w:lang w:val="zh-TW" w:eastAsia="zh-TW"/>
        </w:rPr>
        <w:t>个</w:t>
      </w:r>
      <w:r>
        <w:rPr>
          <w:rFonts w:hint="eastAsia"/>
          <w:color w:val="auto"/>
          <w:highlight w:val="none"/>
          <w:u w:color="000000"/>
        </w:rPr>
        <w:t>三</w:t>
      </w:r>
      <w:r>
        <w:rPr>
          <w:rFonts w:hint="eastAsia"/>
          <w:color w:val="auto"/>
          <w:highlight w:val="none"/>
          <w:u w:color="000000"/>
          <w:lang w:val="zh-TW" w:eastAsia="zh-TW"/>
        </w:rPr>
        <w:t>级指标构成，权重分</w:t>
      </w:r>
      <w:r>
        <w:rPr>
          <w:rFonts w:hint="eastAsia"/>
          <w:color w:val="auto"/>
          <w:highlight w:val="none"/>
          <w:u w:color="000000"/>
          <w:lang w:val="en-US" w:eastAsia="zh-CN"/>
        </w:rPr>
        <w:t>24</w:t>
      </w:r>
      <w:r>
        <w:rPr>
          <w:rFonts w:hint="eastAsia"/>
          <w:color w:val="auto"/>
          <w:highlight w:val="none"/>
          <w:u w:color="000000"/>
          <w:lang w:val="zh-TW" w:eastAsia="zh-TW"/>
        </w:rPr>
        <w:t>分，实际得分</w:t>
      </w:r>
      <w:r>
        <w:rPr>
          <w:rFonts w:hint="eastAsia"/>
          <w:color w:val="auto"/>
          <w:highlight w:val="none"/>
          <w:u w:color="000000"/>
          <w:lang w:val="en-US" w:eastAsia="zh-CN"/>
        </w:rPr>
        <w:t>24</w:t>
      </w:r>
      <w:r>
        <w:rPr>
          <w:rFonts w:hint="eastAsia"/>
          <w:color w:val="auto"/>
          <w:highlight w:val="none"/>
          <w:u w:color="000000"/>
          <w:lang w:val="zh-TW" w:eastAsia="zh-TW"/>
        </w:rPr>
        <w:t>分</w:t>
      </w:r>
      <w:r>
        <w:rPr>
          <w:rFonts w:hint="eastAsia"/>
          <w:color w:val="auto"/>
          <w:highlight w:val="none"/>
          <w:u w:color="000000"/>
          <w:lang w:val="zh-TW" w:eastAsia="zh-CN"/>
        </w:rPr>
        <w:t>。</w:t>
      </w:r>
    </w:p>
    <w:p w14:paraId="2E2BF537">
      <w:pPr>
        <w:pageBreakBefore w:val="0"/>
        <w:kinsoku/>
        <w:wordWrap/>
        <w:topLinePunct w:val="0"/>
        <w:autoSpaceDE/>
        <w:autoSpaceDN/>
        <w:bidi w:val="0"/>
        <w:spacing w:line="560" w:lineRule="exact"/>
        <w:textAlignment w:val="auto"/>
        <w:rPr>
          <w:rFonts w:hint="eastAsia"/>
          <w:b w:val="0"/>
          <w:bCs w:val="0"/>
          <w:lang w:val="zh-TW" w:eastAsia="zh-CN"/>
        </w:rPr>
      </w:pPr>
      <w:r>
        <w:rPr>
          <w:rFonts w:hint="eastAsia"/>
          <w:color w:val="auto"/>
          <w:highlight w:val="none"/>
          <w:lang w:eastAsia="zh-CN"/>
        </w:rPr>
        <w:t>项目成本方面：</w:t>
      </w:r>
      <w:r>
        <w:rPr>
          <w:rFonts w:hint="eastAsia"/>
          <w:color w:val="auto"/>
          <w:highlight w:val="none"/>
          <w:u w:color="000000"/>
          <w:lang w:val="zh-TW" w:eastAsia="zh-TW"/>
        </w:rPr>
        <w:t>项目</w:t>
      </w:r>
      <w:r>
        <w:rPr>
          <w:rFonts w:hint="eastAsia" w:ascii="仿宋_GB2312"/>
          <w:color w:val="auto"/>
          <w:highlight w:val="none"/>
        </w:rPr>
        <w:t>产出</w:t>
      </w:r>
      <w:r>
        <w:rPr>
          <w:rFonts w:hint="eastAsia"/>
          <w:color w:val="auto"/>
          <w:highlight w:val="none"/>
          <w:u w:color="000000"/>
          <w:lang w:val="zh-TW" w:eastAsia="zh-TW"/>
        </w:rPr>
        <w:t>类指标由</w:t>
      </w:r>
      <w:r>
        <w:rPr>
          <w:rFonts w:hint="eastAsia"/>
          <w:color w:val="auto"/>
          <w:highlight w:val="none"/>
          <w:u w:color="000000"/>
          <w:lang w:val="en-US" w:eastAsia="zh-CN"/>
        </w:rPr>
        <w:t>1</w:t>
      </w:r>
      <w:r>
        <w:rPr>
          <w:rFonts w:hint="eastAsia"/>
          <w:color w:val="auto"/>
          <w:highlight w:val="none"/>
          <w:u w:color="000000"/>
          <w:lang w:val="zh-TW" w:eastAsia="zh-TW"/>
        </w:rPr>
        <w:t>个</w:t>
      </w:r>
      <w:r>
        <w:rPr>
          <w:rFonts w:hint="eastAsia"/>
          <w:color w:val="auto"/>
          <w:highlight w:val="none"/>
          <w:u w:color="000000"/>
          <w:lang w:val="zh-TW"/>
        </w:rPr>
        <w:t>二</w:t>
      </w:r>
      <w:r>
        <w:rPr>
          <w:rFonts w:hint="eastAsia"/>
          <w:color w:val="auto"/>
          <w:highlight w:val="none"/>
          <w:u w:color="000000"/>
          <w:lang w:val="zh-TW" w:eastAsia="zh-TW"/>
        </w:rPr>
        <w:t>级指标和</w:t>
      </w:r>
      <w:r>
        <w:rPr>
          <w:rFonts w:hint="eastAsia"/>
          <w:color w:val="auto"/>
          <w:highlight w:val="none"/>
          <w:u w:color="000000"/>
          <w:lang w:val="en-US" w:eastAsia="zh-CN"/>
        </w:rPr>
        <w:t>2</w:t>
      </w:r>
      <w:r>
        <w:rPr>
          <w:rFonts w:hint="eastAsia"/>
          <w:color w:val="auto"/>
          <w:highlight w:val="none"/>
          <w:u w:color="000000"/>
          <w:lang w:val="zh-TW" w:eastAsia="zh-TW"/>
        </w:rPr>
        <w:t>个</w:t>
      </w:r>
      <w:r>
        <w:rPr>
          <w:rFonts w:hint="eastAsia"/>
          <w:color w:val="auto"/>
          <w:highlight w:val="none"/>
          <w:u w:color="000000"/>
        </w:rPr>
        <w:t>三</w:t>
      </w:r>
      <w:r>
        <w:rPr>
          <w:rFonts w:hint="eastAsia"/>
          <w:color w:val="auto"/>
          <w:highlight w:val="none"/>
          <w:u w:color="000000"/>
          <w:lang w:val="zh-TW" w:eastAsia="zh-TW"/>
        </w:rPr>
        <w:t>级指标构成，权重分</w:t>
      </w:r>
      <w:r>
        <w:rPr>
          <w:rFonts w:hint="eastAsia"/>
          <w:color w:val="auto"/>
          <w:highlight w:val="none"/>
          <w:u w:color="000000"/>
          <w:lang w:val="en-US" w:eastAsia="zh-CN"/>
        </w:rPr>
        <w:t>12</w:t>
      </w:r>
      <w:r>
        <w:rPr>
          <w:rFonts w:hint="eastAsia"/>
          <w:color w:val="auto"/>
          <w:highlight w:val="none"/>
          <w:u w:color="000000"/>
          <w:lang w:val="zh-TW" w:eastAsia="zh-TW"/>
        </w:rPr>
        <w:t>分，实际得分</w:t>
      </w:r>
      <w:r>
        <w:rPr>
          <w:rFonts w:hint="eastAsia"/>
          <w:color w:val="auto"/>
          <w:highlight w:val="none"/>
          <w:u w:color="000000"/>
          <w:lang w:val="en-US" w:eastAsia="zh-CN"/>
        </w:rPr>
        <w:t>12</w:t>
      </w:r>
      <w:r>
        <w:rPr>
          <w:rFonts w:hint="eastAsia"/>
          <w:color w:val="auto"/>
          <w:highlight w:val="none"/>
          <w:u w:color="000000"/>
          <w:lang w:val="zh-TW" w:eastAsia="zh-TW"/>
        </w:rPr>
        <w:t>分</w:t>
      </w:r>
      <w:r>
        <w:rPr>
          <w:rFonts w:hint="eastAsia"/>
          <w:color w:val="auto"/>
          <w:highlight w:val="none"/>
          <w:u w:color="000000"/>
          <w:lang w:val="zh-TW" w:eastAsia="zh-CN"/>
        </w:rPr>
        <w:t>。</w:t>
      </w:r>
    </w:p>
    <w:p w14:paraId="0E9C5C69">
      <w:pPr>
        <w:pageBreakBefore w:val="0"/>
        <w:kinsoku/>
        <w:wordWrap/>
        <w:topLinePunct w:val="0"/>
        <w:autoSpaceDE/>
        <w:autoSpaceDN/>
        <w:bidi w:val="0"/>
        <w:spacing w:line="560" w:lineRule="exact"/>
        <w:textAlignment w:val="auto"/>
        <w:rPr>
          <w:color w:val="auto"/>
          <w:highlight w:val="none"/>
          <w:lang w:val="en-US" w:eastAsia="zh-CN"/>
        </w:rPr>
      </w:pPr>
      <w:r>
        <w:rPr>
          <w:rFonts w:hint="eastAsia"/>
          <w:color w:val="auto"/>
          <w:highlight w:val="none"/>
          <w:lang w:eastAsia="zh-CN"/>
        </w:rPr>
        <w:t>项目效益方面：</w:t>
      </w:r>
      <w:r>
        <w:rPr>
          <w:rFonts w:hint="eastAsia"/>
          <w:color w:val="auto"/>
          <w:highlight w:val="none"/>
          <w:u w:color="000000"/>
          <w:lang w:val="zh-TW" w:eastAsia="zh-TW"/>
        </w:rPr>
        <w:t>项目</w:t>
      </w:r>
      <w:r>
        <w:rPr>
          <w:rFonts w:hint="eastAsia" w:ascii="仿宋_GB2312"/>
          <w:color w:val="auto"/>
          <w:highlight w:val="none"/>
          <w:lang w:eastAsia="zh-CN"/>
        </w:rPr>
        <w:t>效益</w:t>
      </w:r>
      <w:r>
        <w:rPr>
          <w:rFonts w:hint="eastAsia"/>
          <w:color w:val="auto"/>
          <w:highlight w:val="none"/>
          <w:u w:color="000000"/>
          <w:lang w:val="zh-TW" w:eastAsia="zh-TW"/>
        </w:rPr>
        <w:t>类指标由</w:t>
      </w:r>
      <w:r>
        <w:rPr>
          <w:rFonts w:hint="eastAsia"/>
          <w:color w:val="auto"/>
          <w:highlight w:val="none"/>
          <w:u w:color="000000"/>
          <w:lang w:val="en-US" w:eastAsia="zh-CN"/>
        </w:rPr>
        <w:t>3</w:t>
      </w:r>
      <w:r>
        <w:rPr>
          <w:rFonts w:hint="eastAsia"/>
          <w:color w:val="auto"/>
          <w:highlight w:val="none"/>
          <w:u w:color="000000"/>
          <w:lang w:val="zh-TW" w:eastAsia="zh-TW"/>
        </w:rPr>
        <w:t>个</w:t>
      </w:r>
      <w:r>
        <w:rPr>
          <w:rFonts w:hint="eastAsia"/>
          <w:color w:val="auto"/>
          <w:highlight w:val="none"/>
          <w:u w:color="000000"/>
          <w:lang w:val="zh-TW"/>
        </w:rPr>
        <w:t>二</w:t>
      </w:r>
      <w:r>
        <w:rPr>
          <w:rFonts w:hint="eastAsia"/>
          <w:color w:val="auto"/>
          <w:highlight w:val="none"/>
          <w:u w:color="000000"/>
          <w:lang w:val="zh-TW" w:eastAsia="zh-TW"/>
        </w:rPr>
        <w:t>级指标和</w:t>
      </w:r>
      <w:r>
        <w:rPr>
          <w:rFonts w:hint="eastAsia"/>
          <w:color w:val="auto"/>
          <w:highlight w:val="none"/>
          <w:u w:color="000000"/>
          <w:lang w:val="en-US" w:eastAsia="zh-CN"/>
        </w:rPr>
        <w:t>3</w:t>
      </w:r>
      <w:r>
        <w:rPr>
          <w:rFonts w:hint="eastAsia"/>
          <w:color w:val="auto"/>
          <w:highlight w:val="none"/>
          <w:u w:color="000000"/>
          <w:lang w:val="zh-TW" w:eastAsia="zh-TW"/>
        </w:rPr>
        <w:t>个</w:t>
      </w:r>
      <w:r>
        <w:rPr>
          <w:rFonts w:hint="eastAsia"/>
          <w:color w:val="auto"/>
          <w:highlight w:val="none"/>
          <w:u w:color="000000"/>
        </w:rPr>
        <w:t>三</w:t>
      </w:r>
      <w:r>
        <w:rPr>
          <w:rFonts w:hint="eastAsia"/>
          <w:color w:val="auto"/>
          <w:highlight w:val="none"/>
          <w:u w:color="000000"/>
          <w:lang w:val="zh-TW" w:eastAsia="zh-TW"/>
        </w:rPr>
        <w:t>级指标构成，权重分</w:t>
      </w:r>
      <w:r>
        <w:rPr>
          <w:rFonts w:hint="eastAsia"/>
          <w:color w:val="auto"/>
          <w:highlight w:val="none"/>
          <w:u w:color="000000"/>
          <w:lang w:val="en-US" w:eastAsia="zh-CN"/>
        </w:rPr>
        <w:t>24</w:t>
      </w:r>
      <w:r>
        <w:rPr>
          <w:rFonts w:hint="eastAsia"/>
          <w:color w:val="auto"/>
          <w:highlight w:val="none"/>
          <w:u w:color="000000"/>
          <w:lang w:val="zh-TW" w:eastAsia="zh-TW"/>
        </w:rPr>
        <w:t>分，实际得分</w:t>
      </w:r>
      <w:r>
        <w:rPr>
          <w:rFonts w:hint="eastAsia"/>
          <w:color w:val="auto"/>
          <w:highlight w:val="none"/>
          <w:u w:color="000000"/>
          <w:lang w:val="en-US" w:eastAsia="zh-CN"/>
        </w:rPr>
        <w:t>24</w:t>
      </w:r>
      <w:r>
        <w:rPr>
          <w:rFonts w:hint="eastAsia"/>
          <w:color w:val="auto"/>
          <w:highlight w:val="none"/>
          <w:u w:color="000000"/>
          <w:lang w:val="zh-TW" w:eastAsia="zh-TW"/>
        </w:rPr>
        <w:t>分</w:t>
      </w:r>
      <w:r>
        <w:rPr>
          <w:rFonts w:hint="eastAsia"/>
          <w:color w:val="auto"/>
          <w:highlight w:val="none"/>
          <w:lang w:val="en-US" w:eastAsia="zh-CN"/>
        </w:rPr>
        <w:t>。</w:t>
      </w:r>
    </w:p>
    <w:p w14:paraId="0555535D">
      <w:pPr>
        <w:pStyle w:val="4"/>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（二）综合评价结论</w:t>
      </w:r>
      <w:bookmarkEnd w:id="14"/>
    </w:p>
    <w:p w14:paraId="7F675431">
      <w:pPr>
        <w:pageBreakBefore w:val="0"/>
        <w:kinsoku/>
        <w:wordWrap/>
        <w:topLinePunct w:val="0"/>
        <w:autoSpaceDE/>
        <w:autoSpaceDN/>
        <w:bidi w:val="0"/>
        <w:spacing w:line="560" w:lineRule="exact"/>
        <w:textAlignment w:val="auto"/>
      </w:pPr>
      <w:r>
        <w:rPr>
          <w:rFonts w:hint="eastAsia"/>
          <w:color w:val="auto"/>
          <w:highlight w:val="none"/>
          <w:lang w:eastAsia="zh-CN"/>
        </w:rPr>
        <w:t>对202</w:t>
      </w:r>
      <w:r>
        <w:rPr>
          <w:rFonts w:hint="eastAsia"/>
          <w:color w:val="auto"/>
          <w:highlight w:val="none"/>
          <w:lang w:val="en-US" w:eastAsia="zh-CN"/>
        </w:rPr>
        <w:t>3</w:t>
      </w:r>
      <w:r>
        <w:rPr>
          <w:rFonts w:hint="eastAsia"/>
          <w:color w:val="auto"/>
          <w:highlight w:val="none"/>
          <w:lang w:eastAsia="zh-CN"/>
        </w:rPr>
        <w:t xml:space="preserve">年中央农业资源及生态保护补助项目进行客观评价，最终评分结果：总得分为 </w:t>
      </w:r>
      <w:r>
        <w:rPr>
          <w:rFonts w:hint="eastAsia"/>
          <w:color w:val="auto"/>
          <w:highlight w:val="none"/>
          <w:lang w:val="en-US" w:eastAsia="zh-CN"/>
        </w:rPr>
        <w:t>100</w:t>
      </w:r>
      <w:r>
        <w:rPr>
          <w:rFonts w:hint="eastAsia"/>
          <w:color w:val="auto"/>
          <w:highlight w:val="none"/>
          <w:lang w:eastAsia="zh-CN"/>
        </w:rPr>
        <w:t xml:space="preserve">分，属于“优”。其中，项目决策类指标权重为20分，得分为 </w:t>
      </w:r>
      <w:r>
        <w:rPr>
          <w:rFonts w:hint="eastAsia"/>
          <w:color w:val="auto"/>
          <w:highlight w:val="none"/>
          <w:lang w:val="en-US" w:eastAsia="zh-CN"/>
        </w:rPr>
        <w:t>20</w:t>
      </w:r>
      <w:r>
        <w:rPr>
          <w:rFonts w:hint="eastAsia"/>
          <w:color w:val="auto"/>
          <w:highlight w:val="none"/>
          <w:lang w:eastAsia="zh-CN"/>
        </w:rPr>
        <w:t>分，得分率为</w:t>
      </w:r>
      <w:r>
        <w:rPr>
          <w:rFonts w:hint="eastAsia"/>
          <w:color w:val="auto"/>
          <w:highlight w:val="none"/>
          <w:lang w:val="en-US" w:eastAsia="zh-CN"/>
        </w:rPr>
        <w:t>100</w:t>
      </w:r>
      <w:r>
        <w:rPr>
          <w:rFonts w:hint="eastAsia"/>
          <w:color w:val="auto"/>
          <w:highlight w:val="none"/>
          <w:lang w:eastAsia="zh-CN"/>
        </w:rPr>
        <w:t>%。项目过程类指标权重为20分，得分为</w:t>
      </w:r>
      <w:r>
        <w:rPr>
          <w:rFonts w:hint="eastAsia"/>
          <w:color w:val="auto"/>
          <w:highlight w:val="none"/>
          <w:lang w:val="en-US" w:eastAsia="zh-CN"/>
        </w:rPr>
        <w:t>20</w:t>
      </w:r>
      <w:r>
        <w:rPr>
          <w:rFonts w:hint="eastAsia"/>
          <w:color w:val="auto"/>
          <w:highlight w:val="none"/>
          <w:lang w:eastAsia="zh-CN"/>
        </w:rPr>
        <w:t xml:space="preserve">分，得分率为 </w:t>
      </w:r>
      <w:r>
        <w:rPr>
          <w:rFonts w:hint="eastAsia"/>
          <w:color w:val="auto"/>
          <w:highlight w:val="none"/>
          <w:lang w:val="en-US" w:eastAsia="zh-CN"/>
        </w:rPr>
        <w:t>100</w:t>
      </w:r>
      <w:r>
        <w:rPr>
          <w:rFonts w:hint="eastAsia"/>
          <w:color w:val="auto"/>
          <w:highlight w:val="none"/>
          <w:lang w:eastAsia="zh-CN"/>
        </w:rPr>
        <w:t>%。项目产出类指标权重为</w:t>
      </w:r>
      <w:r>
        <w:rPr>
          <w:rFonts w:hint="eastAsia"/>
          <w:color w:val="auto"/>
          <w:highlight w:val="none"/>
          <w:lang w:val="en-US" w:eastAsia="zh-CN"/>
        </w:rPr>
        <w:t>24</w:t>
      </w:r>
      <w:r>
        <w:rPr>
          <w:rFonts w:hint="eastAsia"/>
          <w:color w:val="auto"/>
          <w:highlight w:val="none"/>
          <w:lang w:eastAsia="zh-CN"/>
        </w:rPr>
        <w:t>分，得分为</w:t>
      </w:r>
      <w:r>
        <w:rPr>
          <w:rFonts w:hint="eastAsia"/>
          <w:color w:val="auto"/>
          <w:highlight w:val="none"/>
          <w:lang w:val="en-US" w:eastAsia="zh-CN"/>
        </w:rPr>
        <w:t>24</w:t>
      </w:r>
      <w:r>
        <w:rPr>
          <w:rFonts w:hint="eastAsia"/>
          <w:color w:val="auto"/>
          <w:highlight w:val="none"/>
          <w:lang w:eastAsia="zh-CN"/>
        </w:rPr>
        <w:t xml:space="preserve">分，得分率为 </w:t>
      </w:r>
      <w:r>
        <w:rPr>
          <w:rFonts w:hint="eastAsia"/>
          <w:color w:val="auto"/>
          <w:highlight w:val="none"/>
          <w:lang w:val="en-US" w:eastAsia="zh-CN"/>
        </w:rPr>
        <w:t>100</w:t>
      </w:r>
      <w:r>
        <w:rPr>
          <w:rFonts w:hint="eastAsia"/>
          <w:color w:val="auto"/>
          <w:highlight w:val="none"/>
          <w:lang w:eastAsia="zh-CN"/>
        </w:rPr>
        <w:t>%。项目成本类指标权重为</w:t>
      </w:r>
      <w:r>
        <w:rPr>
          <w:rFonts w:hint="eastAsia"/>
          <w:color w:val="auto"/>
          <w:highlight w:val="none"/>
          <w:lang w:val="en-US" w:eastAsia="zh-CN"/>
        </w:rPr>
        <w:t>12分，得分为12分，</w:t>
      </w:r>
      <w:r>
        <w:rPr>
          <w:rFonts w:hint="eastAsia"/>
          <w:color w:val="auto"/>
          <w:highlight w:val="none"/>
          <w:lang w:eastAsia="zh-CN"/>
        </w:rPr>
        <w:t>项目效益类指标权重为2</w:t>
      </w:r>
      <w:r>
        <w:rPr>
          <w:rFonts w:hint="eastAsia"/>
          <w:color w:val="auto"/>
          <w:highlight w:val="none"/>
          <w:lang w:val="en-US" w:eastAsia="zh-CN"/>
        </w:rPr>
        <w:t>4</w:t>
      </w:r>
      <w:r>
        <w:rPr>
          <w:rFonts w:hint="eastAsia"/>
          <w:color w:val="auto"/>
          <w:highlight w:val="none"/>
          <w:lang w:eastAsia="zh-CN"/>
        </w:rPr>
        <w:t>分，得分为</w:t>
      </w:r>
      <w:r>
        <w:rPr>
          <w:rFonts w:hint="eastAsia"/>
          <w:color w:val="auto"/>
          <w:highlight w:val="none"/>
          <w:lang w:val="en-US" w:eastAsia="zh-CN"/>
        </w:rPr>
        <w:t>24</w:t>
      </w:r>
      <w:r>
        <w:rPr>
          <w:rFonts w:hint="eastAsia"/>
          <w:color w:val="auto"/>
          <w:highlight w:val="none"/>
          <w:lang w:eastAsia="zh-CN"/>
        </w:rPr>
        <w:t>分，得分率为</w:t>
      </w:r>
      <w:r>
        <w:rPr>
          <w:rFonts w:hint="eastAsia"/>
          <w:color w:val="auto"/>
          <w:highlight w:val="none"/>
          <w:lang w:val="en-US" w:eastAsia="zh-CN"/>
        </w:rPr>
        <w:t>100</w:t>
      </w:r>
      <w:r>
        <w:rPr>
          <w:rFonts w:hint="eastAsia"/>
          <w:color w:val="auto"/>
          <w:highlight w:val="none"/>
          <w:lang w:eastAsia="zh-CN"/>
        </w:rPr>
        <w:t>%。</w:t>
      </w:r>
    </w:p>
    <w:p w14:paraId="013A705C">
      <w:pPr>
        <w:pStyle w:val="3"/>
        <w:pageBreakBefore w:val="0"/>
        <w:numPr>
          <w:ilvl w:val="0"/>
          <w:numId w:val="4"/>
        </w:numPr>
        <w:kinsoku/>
        <w:wordWrap/>
        <w:topLinePunct w:val="0"/>
        <w:autoSpaceDE/>
        <w:autoSpaceDN/>
        <w:bidi w:val="0"/>
        <w:spacing w:line="560" w:lineRule="exact"/>
        <w:ind w:firstLine="640"/>
        <w:textAlignment w:val="auto"/>
        <w:rPr>
          <w:rFonts w:hint="eastAsia"/>
          <w:color w:val="auto"/>
          <w:highlight w:val="none"/>
        </w:rPr>
      </w:pPr>
      <w:r>
        <w:rPr>
          <w:rFonts w:hint="eastAsia"/>
          <w:color w:val="auto"/>
          <w:highlight w:val="none"/>
        </w:rPr>
        <w:t>绩效评价指标分析</w:t>
      </w:r>
    </w:p>
    <w:p w14:paraId="298E02E5">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21D7558A">
      <w:pPr>
        <w:pageBreakBefore w:val="0"/>
        <w:kinsoku/>
        <w:wordWrap/>
        <w:overflowPunct w:val="0"/>
        <w:topLinePunct w:val="0"/>
        <w:autoSpaceDE/>
        <w:autoSpaceDN/>
        <w:bidi w:val="0"/>
        <w:spacing w:line="560" w:lineRule="exact"/>
        <w:ind w:right="0" w:rightChars="0" w:firstLine="640"/>
        <w:contextualSpacing/>
        <w:textAlignment w:val="auto"/>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1545F436">
      <w:pPr>
        <w:pageBreakBefore w:val="0"/>
        <w:kinsoku/>
        <w:wordWrap/>
        <w:overflowPunct w:val="0"/>
        <w:topLinePunct w:val="0"/>
        <w:autoSpaceDE/>
        <w:autoSpaceDN/>
        <w:bidi w:val="0"/>
        <w:spacing w:line="560" w:lineRule="exact"/>
        <w:ind w:right="0" w:rightChars="0" w:firstLine="640"/>
        <w:contextualSpacing/>
        <w:textAlignment w:val="auto"/>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 xml:space="preserve"> </w:t>
      </w:r>
    </w:p>
    <w:p w14:paraId="7EAC1590">
      <w:pPr>
        <w:pageBreakBefore w:val="0"/>
        <w:kinsoku/>
        <w:wordWrap/>
        <w:topLinePunct w:val="0"/>
        <w:autoSpaceDE/>
        <w:autoSpaceDN/>
        <w:bidi w:val="0"/>
        <w:spacing w:line="560" w:lineRule="exact"/>
        <w:textAlignment w:val="auto"/>
        <w:rPr>
          <w:rFonts w:hint="eastAsia"/>
          <w:b/>
          <w:bCs/>
          <w:color w:val="auto"/>
          <w:highlight w:val="none"/>
          <w:lang w:val="en-US" w:eastAsia="zh-CN"/>
        </w:rPr>
      </w:pPr>
      <w:r>
        <w:rPr>
          <w:rFonts w:hint="eastAsia"/>
          <w:b/>
          <w:bCs/>
          <w:color w:val="auto"/>
          <w:highlight w:val="none"/>
          <w:lang w:val="en-US" w:eastAsia="zh-CN"/>
        </w:rPr>
        <w:t xml:space="preserve"> 1.项目立项情况分析</w:t>
      </w:r>
    </w:p>
    <w:p w14:paraId="40190904">
      <w:pPr>
        <w:pageBreakBefore w:val="0"/>
        <w:kinsoku/>
        <w:wordWrap/>
        <w:topLinePunct w:val="0"/>
        <w:autoSpaceDE/>
        <w:autoSpaceDN/>
        <w:bidi w:val="0"/>
        <w:spacing w:line="560" w:lineRule="exact"/>
        <w:textAlignment w:val="auto"/>
        <w:rPr>
          <w:rFonts w:hint="eastAsia"/>
          <w:b/>
          <w:bCs/>
          <w:color w:val="auto"/>
          <w:highlight w:val="none"/>
        </w:rPr>
      </w:pPr>
      <w:r>
        <w:rPr>
          <w:rFonts w:hint="eastAsia"/>
          <w:b/>
          <w:bCs/>
          <w:color w:val="auto"/>
          <w:highlight w:val="none"/>
        </w:rPr>
        <w:t>（1）立项依据充分性：</w:t>
      </w:r>
    </w:p>
    <w:p w14:paraId="7842EC6F">
      <w:pPr>
        <w:pageBreakBefore w:val="0"/>
        <w:kinsoku/>
        <w:wordWrap/>
        <w:topLinePunct w:val="0"/>
        <w:autoSpaceDE/>
        <w:autoSpaceDN/>
        <w:bidi w:val="0"/>
        <w:spacing w:line="560" w:lineRule="exact"/>
        <w:textAlignment w:val="auto"/>
        <w:rPr>
          <w:rFonts w:hint="eastAsia"/>
          <w:color w:val="auto"/>
          <w:highlight w:val="none"/>
        </w:rPr>
      </w:pPr>
      <w:r>
        <w:rPr>
          <w:rFonts w:hint="eastAsia" w:ascii="Times New Roman" w:hAnsi="Times New Roman" w:cs="Times New Roman"/>
          <w:color w:val="auto"/>
          <w:highlight w:val="none"/>
        </w:rPr>
        <w:t>项目立项符合《</w:t>
      </w:r>
      <w:r>
        <w:rPr>
          <w:rFonts w:hint="eastAsia" w:ascii="Times New Roman" w:hAnsi="Times New Roman" w:cs="Times New Roman"/>
          <w:color w:val="auto"/>
          <w:highlight w:val="none"/>
          <w:lang w:val="en-US" w:eastAsia="zh-CN"/>
        </w:rPr>
        <w:t>新疆维吾尔自治区草原生态保护补助奖励资金管理办法</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w:t>
      </w:r>
      <w:r>
        <w:rPr>
          <w:rFonts w:hint="eastAsia" w:ascii="Times New Roman" w:hAnsi="Times New Roman" w:cs="Times New Roman"/>
          <w:color w:val="auto"/>
          <w:highlight w:val="none"/>
        </w:rPr>
        <w:t>自治区草原禁牧和草畜平衡监督管理办法</w:t>
      </w:r>
      <w:r>
        <w:rPr>
          <w:rFonts w:hint="eastAsia" w:ascii="Times New Roman" w:hAnsi="Times New Roman" w:cs="Times New Roman"/>
          <w:color w:val="auto"/>
          <w:highlight w:val="none"/>
          <w:lang w:val="en-US" w:eastAsia="zh-CN"/>
        </w:rPr>
        <w:t>》、《国家财经法规和财务管理制度制定的相关财务管理制度》</w:t>
      </w:r>
      <w:r>
        <w:rPr>
          <w:rFonts w:hint="eastAsia" w:ascii="Times New Roman" w:hAnsi="Times New Roman" w:cs="Times New Roman"/>
          <w:color w:val="auto"/>
          <w:highlight w:val="none"/>
        </w:rPr>
        <w:t>等国家法律法规关于</w:t>
      </w:r>
      <w:r>
        <w:rPr>
          <w:rFonts w:hint="eastAsia" w:ascii="Times New Roman" w:hAnsi="Times New Roman" w:cs="Times New Roman"/>
          <w:color w:val="auto"/>
          <w:highlight w:val="none"/>
          <w:lang w:val="en-US" w:eastAsia="zh-CN"/>
        </w:rPr>
        <w:t>托克逊县</w:t>
      </w:r>
      <w:r>
        <w:rPr>
          <w:rFonts w:hint="eastAsia" w:ascii="Times New Roman" w:hAnsi="Times New Roman" w:cs="Times New Roman"/>
          <w:color w:val="auto"/>
          <w:highlight w:val="none"/>
        </w:rPr>
        <w:t>的国</w:t>
      </w:r>
      <w:r>
        <w:rPr>
          <w:rFonts w:hint="eastAsia"/>
          <w:color w:val="auto"/>
          <w:highlight w:val="none"/>
        </w:rPr>
        <w:t>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农业资源及生态保护</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中央转移支付</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2130135农业资源保护修复与利用</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50903个人农业生产补贴</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25CFBE98">
      <w:pPr>
        <w:pageBreakBefore w:val="0"/>
        <w:kinsoku/>
        <w:wordWrap/>
        <w:topLinePunct w:val="0"/>
        <w:autoSpaceDE/>
        <w:autoSpaceDN/>
        <w:bidi w:val="0"/>
        <w:spacing w:line="560" w:lineRule="exact"/>
        <w:ind w:right="0" w:rightChars="0" w:firstLine="643"/>
        <w:textAlignment w:val="auto"/>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43C73D74">
      <w:pPr>
        <w:pageBreakBefore w:val="0"/>
        <w:kinsoku/>
        <w:wordWrap/>
        <w:topLinePunct w:val="0"/>
        <w:autoSpaceDE/>
        <w:autoSpaceDN/>
        <w:bidi w:val="0"/>
        <w:spacing w:line="560" w:lineRule="exact"/>
        <w:textAlignment w:val="auto"/>
        <w:rPr>
          <w:color w:val="auto"/>
          <w:highlight w:val="none"/>
        </w:rPr>
      </w:pPr>
      <w:r>
        <w:rPr>
          <w:rFonts w:hint="eastAsia"/>
          <w:color w:val="auto"/>
          <w:highlight w:val="none"/>
          <w:lang w:val="en-US" w:eastAsia="zh-CN"/>
        </w:rPr>
        <w:t>该</w:t>
      </w:r>
      <w:r>
        <w:rPr>
          <w:rFonts w:hint="eastAsia"/>
          <w:color w:val="auto"/>
          <w:highlight w:val="none"/>
        </w:rPr>
        <w:t>项目按照规定</w:t>
      </w:r>
      <w:r>
        <w:rPr>
          <w:rFonts w:hint="eastAsia" w:ascii="Times New Roman" w:hAnsi="Times New Roman" w:cs="Times New Roman"/>
          <w:color w:val="auto"/>
          <w:highlight w:val="none"/>
          <w:lang w:val="en-US" w:eastAsia="zh-CN"/>
        </w:rPr>
        <w:t>的立项审批程序</w:t>
      </w:r>
      <w:r>
        <w:rPr>
          <w:rFonts w:hint="eastAsia"/>
          <w:color w:val="auto"/>
          <w:highlight w:val="none"/>
        </w:rPr>
        <w:t>申请设立</w:t>
      </w:r>
      <w:r>
        <w:rPr>
          <w:rFonts w:hint="eastAsia"/>
          <w:color w:val="auto"/>
          <w:highlight w:val="none"/>
          <w:lang w:eastAsia="zh-CN"/>
        </w:rPr>
        <w:t>；</w:t>
      </w:r>
      <w:r>
        <w:rPr>
          <w:rFonts w:hint="eastAsia"/>
          <w:color w:val="auto"/>
          <w:highlight w:val="none"/>
        </w:rPr>
        <w:t>事前已经过必要的专家论证、集体决策</w:t>
      </w:r>
      <w:r>
        <w:rPr>
          <w:rFonts w:hint="eastAsia"/>
          <w:color w:val="auto"/>
          <w:highlight w:val="none"/>
          <w:lang w:eastAsia="zh-CN"/>
        </w:rPr>
        <w:t>；</w:t>
      </w:r>
      <w:r>
        <w:rPr>
          <w:rFonts w:hint="eastAsia"/>
          <w:color w:val="auto"/>
          <w:highlight w:val="none"/>
          <w:lang w:val="en-US" w:eastAsia="zh-CN"/>
        </w:rPr>
        <w:t>单位按照程序向县人民政府提交了</w:t>
      </w:r>
      <w:r>
        <w:rPr>
          <w:rFonts w:hint="eastAsia" w:ascii="Times New Roman" w:hAnsi="Times New Roman" w:cs="Times New Roman"/>
          <w:color w:val="auto"/>
          <w:highlight w:val="none"/>
          <w:lang w:val="en-US" w:eastAsia="zh-CN"/>
        </w:rPr>
        <w:t>关于申请下发《托克逊县实施草原生态保护补助奖励政策实施方案（2021年-2025年）》的请示</w:t>
      </w:r>
      <w:r>
        <w:rPr>
          <w:rFonts w:hint="eastAsia"/>
          <w:color w:val="auto"/>
          <w:highlight w:val="none"/>
          <w:lang w:val="en-US" w:eastAsia="zh-CN"/>
        </w:rPr>
        <w:t>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36119AF5">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2.绩效目标情况分析</w:t>
      </w:r>
    </w:p>
    <w:p w14:paraId="6F5531F8">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204532F7">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1、完成天然草场禁牧任务387.02万亩，完成天然草场草畜平衡任务62.4万亩。2、根据天然草场承包情况和禁牧、草畜平衡责任落实情况，按照国家补助标准发放禁牧补助、草畜平衡补助，确保资金发放到户到人。3、通过项目实施，保护和改善牧区草原生态环境，提高植被覆盖度，转变畜牧养殖方式，带动牧民收入稳步增长。</w:t>
      </w:r>
    </w:p>
    <w:p w14:paraId="2A435E50">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0341F4AB">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64BE14DE">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2505.18</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2505.18</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334F6092">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31CA5C5C">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6BD967EF">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lang w:eastAsia="zh-CN"/>
        </w:rPr>
        <w:t>经检查，我单位年初设置的《项目支出绩效目标表》：</w:t>
      </w:r>
    </w:p>
    <w:p w14:paraId="1B5858AD">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14:paraId="14134E74">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157AB90F">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7480D47F">
      <w:pPr>
        <w:pageBreakBefore w:val="0"/>
        <w:kinsoku/>
        <w:wordWrap/>
        <w:topLinePunct w:val="0"/>
        <w:autoSpaceDE/>
        <w:autoSpaceDN/>
        <w:bidi w:val="0"/>
        <w:spacing w:line="560" w:lineRule="exact"/>
        <w:textAlignment w:val="auto"/>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6EFF62E3">
      <w:pPr>
        <w:pStyle w:val="5"/>
        <w:pageBreakBefore w:val="0"/>
        <w:kinsoku/>
        <w:wordWrap/>
        <w:topLinePunct w:val="0"/>
        <w:autoSpaceDE/>
        <w:autoSpaceDN/>
        <w:bidi w:val="0"/>
        <w:spacing w:line="560" w:lineRule="exact"/>
        <w:textAlignment w:val="auto"/>
        <w:rPr>
          <w:color w:val="auto"/>
          <w:highlight w:val="none"/>
        </w:rPr>
      </w:pPr>
      <w:r>
        <w:rPr>
          <w:rFonts w:hint="eastAsia"/>
          <w:color w:val="auto"/>
          <w:highlight w:val="none"/>
          <w:lang w:val="en-US" w:eastAsia="zh-CN"/>
        </w:rPr>
        <w:t>3.资金投入情况分析</w:t>
      </w:r>
    </w:p>
    <w:p w14:paraId="4BB688E7">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36EE9976">
      <w:pPr>
        <w:pageBreakBefore w:val="0"/>
        <w:kinsoku/>
        <w:wordWrap/>
        <w:topLinePunct w:val="0"/>
        <w:autoSpaceDE/>
        <w:autoSpaceDN/>
        <w:bidi w:val="0"/>
        <w:spacing w:line="560" w:lineRule="exact"/>
        <w:ind w:right="0" w:rightChars="0" w:firstLine="643"/>
        <w:textAlignment w:val="auto"/>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6FD31202">
      <w:pPr>
        <w:pageBreakBefore w:val="0"/>
        <w:kinsoku/>
        <w:wordWrap/>
        <w:topLinePunct w:val="0"/>
        <w:autoSpaceDE/>
        <w:autoSpaceDN/>
        <w:bidi w:val="0"/>
        <w:spacing w:line="560" w:lineRule="exact"/>
        <w:ind w:right="0" w:rightChars="0" w:firstLine="643"/>
        <w:textAlignment w:val="auto"/>
        <w:rPr>
          <w:rFonts w:hint="eastAsia" w:ascii="仿宋_GB2312" w:hAnsi="Times New Roman"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2505.18</w:t>
      </w:r>
      <w:r>
        <w:rPr>
          <w:rFonts w:hint="eastAsia" w:ascii="仿宋_GB2312" w:cs="仿宋_GB2312"/>
          <w:color w:val="auto"/>
          <w:sz w:val="28"/>
          <w:szCs w:val="28"/>
          <w:highlight w:val="none"/>
        </w:rPr>
        <w:t>万元，主要用于支付</w:t>
      </w:r>
      <w:r>
        <w:rPr>
          <w:rFonts w:hint="eastAsia" w:ascii="仿宋_GB2312" w:hAnsi="Times New Roman" w:cs="仿宋_GB2312"/>
          <w:color w:val="auto"/>
          <w:sz w:val="28"/>
          <w:szCs w:val="28"/>
          <w:highlight w:val="none"/>
          <w:lang w:eastAsia="zh-CN"/>
        </w:rPr>
        <w:t>草原生态保护补助奖励</w:t>
      </w:r>
      <w:r>
        <w:rPr>
          <w:rFonts w:hint="eastAsia" w:ascii="仿宋_GB2312" w:hAnsi="Times New Roman" w:cs="仿宋_GB2312"/>
          <w:color w:val="auto"/>
          <w:sz w:val="28"/>
          <w:szCs w:val="28"/>
          <w:highlight w:val="none"/>
        </w:rPr>
        <w:t>资金，</w:t>
      </w:r>
      <w:r>
        <w:rPr>
          <w:rFonts w:hint="eastAsia" w:ascii="仿宋_GB2312" w:hAnsi="Times New Roman" w:cs="仿宋_GB2312"/>
          <w:color w:val="auto"/>
          <w:sz w:val="28"/>
          <w:szCs w:val="28"/>
          <w:highlight w:val="none"/>
          <w:lang w:eastAsia="zh-CN"/>
        </w:rPr>
        <w:t>预算内容与项目内容匹配；</w:t>
      </w:r>
    </w:p>
    <w:p w14:paraId="5050661A">
      <w:pPr>
        <w:pageBreakBefore w:val="0"/>
        <w:kinsoku/>
        <w:wordWrap/>
        <w:topLinePunct w:val="0"/>
        <w:autoSpaceDE/>
        <w:autoSpaceDN/>
        <w:bidi w:val="0"/>
        <w:spacing w:line="560" w:lineRule="exact"/>
        <w:ind w:right="0" w:rightChars="0" w:firstLine="643"/>
        <w:textAlignment w:val="auto"/>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09C9F0CD">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本项目资金主要用于禁牧</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2349.18</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草畜平衡</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156</w:t>
      </w:r>
      <w:r>
        <w:rPr>
          <w:rFonts w:hint="eastAsia" w:ascii="仿宋_GB2312" w:cs="仿宋_GB2312"/>
          <w:color w:val="auto"/>
          <w:sz w:val="28"/>
          <w:szCs w:val="28"/>
          <w:highlight w:val="none"/>
        </w:rPr>
        <w:t>万元。预算确定资金量与实际工作任务相匹配。</w:t>
      </w:r>
    </w:p>
    <w:p w14:paraId="4B8D07ED">
      <w:pPr>
        <w:pageBreakBefore w:val="0"/>
        <w:kinsoku/>
        <w:wordWrap/>
        <w:topLinePunct w:val="0"/>
        <w:autoSpaceDE/>
        <w:autoSpaceDN/>
        <w:bidi w:val="0"/>
        <w:spacing w:line="560" w:lineRule="exact"/>
        <w:ind w:right="0" w:rightChars="0" w:firstLine="643"/>
        <w:textAlignment w:val="auto"/>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402BDDB7">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26741A25">
      <w:pPr>
        <w:pageBreakBefore w:val="0"/>
        <w:kinsoku/>
        <w:wordWrap/>
        <w:topLinePunct w:val="0"/>
        <w:autoSpaceDE/>
        <w:autoSpaceDN/>
        <w:bidi w:val="0"/>
        <w:spacing w:line="560" w:lineRule="exact"/>
        <w:ind w:right="0" w:rightChars="0" w:firstLine="643"/>
        <w:textAlignment w:val="auto"/>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自治区财政厅《关于提前下达2022年中央农业资源及生态保护补助资金预算的通知》（新财农[2021]98号）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23949CA9">
      <w:pPr>
        <w:pageBreakBefore w:val="0"/>
        <w:kinsoku/>
        <w:wordWrap/>
        <w:topLinePunct w:val="0"/>
        <w:autoSpaceDE/>
        <w:autoSpaceDN/>
        <w:bidi w:val="0"/>
        <w:spacing w:line="560" w:lineRule="exact"/>
        <w:ind w:right="0" w:rightChars="0" w:firstLine="643"/>
        <w:textAlignment w:val="auto"/>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2505.18</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67BA582E">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4D7404B1">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4CEAF1C0">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1.资金管理情况分析</w:t>
      </w:r>
    </w:p>
    <w:p w14:paraId="3656C4DA">
      <w:pPr>
        <w:pageBreakBefore w:val="0"/>
        <w:kinsoku/>
        <w:wordWrap/>
        <w:topLinePunct w:val="0"/>
        <w:autoSpaceDE/>
        <w:autoSpaceDN/>
        <w:bidi w:val="0"/>
        <w:spacing w:line="560" w:lineRule="exact"/>
        <w:textAlignment w:val="auto"/>
        <w:rPr>
          <w:rFonts w:hint="eastAsia"/>
          <w:b/>
          <w:bCs/>
          <w:color w:val="auto"/>
          <w:highlight w:val="none"/>
        </w:rPr>
      </w:pPr>
      <w:r>
        <w:rPr>
          <w:rFonts w:hint="eastAsia"/>
          <w:b/>
          <w:bCs/>
          <w:color w:val="auto"/>
          <w:highlight w:val="none"/>
        </w:rPr>
        <w:t>（1）资金到位率：</w:t>
      </w:r>
    </w:p>
    <w:p w14:paraId="327BD362">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2505.18</w:t>
      </w:r>
      <w:r>
        <w:rPr>
          <w:rFonts w:hint="eastAsia"/>
          <w:color w:val="auto"/>
          <w:highlight w:val="none"/>
        </w:rPr>
        <w:t>万元，实际到位资金</w:t>
      </w:r>
      <w:r>
        <w:rPr>
          <w:rFonts w:hint="eastAsia"/>
          <w:color w:val="auto"/>
          <w:highlight w:val="none"/>
          <w:lang w:val="en-US" w:eastAsia="zh-CN"/>
        </w:rPr>
        <w:t>2505.18</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119B4036">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3917D50B">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05C93358">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2505.18</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2505.18</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2505.18</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2505.18</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5B925974">
      <w:pPr>
        <w:pageBreakBefore w:val="0"/>
        <w:kinsoku/>
        <w:wordWrap/>
        <w:topLinePunct w:val="0"/>
        <w:autoSpaceDE/>
        <w:autoSpaceDN/>
        <w:bidi w:val="0"/>
        <w:spacing w:line="560" w:lineRule="exact"/>
        <w:ind w:right="0" w:rightChars="0" w:firstLine="643"/>
        <w:textAlignment w:val="auto"/>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529CBC7D">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532788ED">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农业资源及生态保护补助</w:t>
      </w:r>
      <w:r>
        <w:rPr>
          <w:rFonts w:hint="eastAsia"/>
          <w:color w:val="auto"/>
          <w:highlight w:val="none"/>
        </w:rPr>
        <w:t>资金管理办法》，资金的拨付有完整的审批程序和手续，资金实际使用方向与预算批复用途一致，不存在截留、挤占、挪用、虚列支出的情况。</w:t>
      </w:r>
    </w:p>
    <w:p w14:paraId="3EE77FEF">
      <w:pPr>
        <w:pageBreakBefore w:val="0"/>
        <w:kinsoku/>
        <w:wordWrap/>
        <w:topLinePunct w:val="0"/>
        <w:autoSpaceDE/>
        <w:autoSpaceDN/>
        <w:bidi w:val="0"/>
        <w:spacing w:line="560" w:lineRule="exact"/>
        <w:textAlignment w:val="auto"/>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505157FE">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2.组织实施情况分析</w:t>
      </w:r>
    </w:p>
    <w:p w14:paraId="74706520">
      <w:pPr>
        <w:pageBreakBefore w:val="0"/>
        <w:kinsoku/>
        <w:wordWrap/>
        <w:topLinePunct w:val="0"/>
        <w:autoSpaceDE/>
        <w:autoSpaceDN/>
        <w:bidi w:val="0"/>
        <w:spacing w:line="560" w:lineRule="exact"/>
        <w:textAlignment w:val="auto"/>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122642C1">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我单位已制定《</w:t>
      </w:r>
      <w:r>
        <w:rPr>
          <w:rFonts w:hint="eastAsia"/>
          <w:color w:val="auto"/>
          <w:highlight w:val="none"/>
          <w:lang w:val="en-US" w:eastAsia="zh-CN"/>
        </w:rPr>
        <w:t>托克逊县农业农村局农业基本建设项目管理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托克逊县农业农村局</w:t>
      </w:r>
      <w:r>
        <w:rPr>
          <w:rFonts w:hint="eastAsia" w:ascii="Times New Roman" w:hAnsi="Times New Roman" w:cs="Times New Roman"/>
          <w:color w:val="auto"/>
          <w:highlight w:val="none"/>
          <w:lang w:val="en-US" w:eastAsia="zh-CN"/>
        </w:rPr>
        <w:t>财务收支审批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托克逊县农业农村局</w:t>
      </w:r>
      <w:r>
        <w:rPr>
          <w:rFonts w:hint="eastAsia" w:ascii="Times New Roman" w:hAnsi="Times New Roman" w:cs="Times New Roman"/>
          <w:color w:val="auto"/>
          <w:highlight w:val="none"/>
          <w:lang w:val="en-US" w:eastAsia="zh-CN"/>
        </w:rPr>
        <w:t>会计主管岗位职责</w:t>
      </w:r>
      <w:r>
        <w:rPr>
          <w:rFonts w:hint="eastAsia"/>
          <w:color w:val="auto"/>
          <w:highlight w:val="none"/>
        </w:rPr>
        <w:t>》等，上述已建立的制度均符合行政事业单位内控管理要求，财务和业务管理制度合法、合规、完整，本项目执行符合上述制度规定。</w:t>
      </w:r>
    </w:p>
    <w:p w14:paraId="595E0F54">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4EE53D55">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3BF83587">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新疆维吾尔自治区草原生态保护补助奖励资金管理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托克逊县农业农村局</w:t>
      </w:r>
      <w:r>
        <w:rPr>
          <w:rFonts w:hint="eastAsia" w:ascii="Times New Roman" w:hAnsi="Times New Roman" w:cs="Times New Roman"/>
          <w:color w:val="auto"/>
          <w:highlight w:val="none"/>
          <w:lang w:val="en-US" w:eastAsia="zh-CN"/>
        </w:rPr>
        <w:t>财务收支审批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托克逊县农业农村局</w:t>
      </w:r>
      <w:r>
        <w:rPr>
          <w:rFonts w:hint="eastAsia" w:ascii="Times New Roman" w:hAnsi="Times New Roman" w:cs="Times New Roman"/>
          <w:color w:val="auto"/>
          <w:highlight w:val="none"/>
          <w:lang w:val="en-US" w:eastAsia="zh-CN"/>
        </w:rPr>
        <w:t>会计主管岗位职责</w:t>
      </w:r>
      <w:r>
        <w:rPr>
          <w:rFonts w:hint="eastAsia"/>
          <w:color w:val="auto"/>
          <w:highlight w:val="none"/>
        </w:rPr>
        <w:t>》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0C9D4395">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60A2E801">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lang w:eastAsia="zh-CN"/>
        </w:rPr>
        <w:t>③本项目不存在调整。</w:t>
      </w:r>
    </w:p>
    <w:p w14:paraId="2D998ECF">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58922F31">
      <w:pPr>
        <w:pageBreakBefore w:val="0"/>
        <w:kinsoku/>
        <w:wordWrap/>
        <w:topLinePunct w:val="0"/>
        <w:autoSpaceDE/>
        <w:autoSpaceDN/>
        <w:bidi w:val="0"/>
        <w:spacing w:line="560" w:lineRule="exact"/>
        <w:textAlignment w:val="auto"/>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5CFBD37B">
      <w:pPr>
        <w:pStyle w:val="5"/>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242055F9">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0BFC0ED3">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1.数量指标完成情况分析</w:t>
      </w:r>
    </w:p>
    <w:p w14:paraId="538FF887">
      <w:pPr>
        <w:pageBreakBefore w:val="0"/>
        <w:kinsoku/>
        <w:wordWrap/>
        <w:topLinePunct w:val="0"/>
        <w:autoSpaceDE/>
        <w:autoSpaceDN/>
        <w:bidi w:val="0"/>
        <w:spacing w:line="560" w:lineRule="exact"/>
        <w:textAlignment w:val="auto"/>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实施天然草场禁牧（万亩）</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rPr>
        <w:t>387.02万亩，实际完成指标值为</w:t>
      </w:r>
      <w:r>
        <w:rPr>
          <w:rFonts w:hint="eastAsia" w:ascii="仿宋_GB2312" w:hAnsi="仿宋_GB2312" w:cs="仿宋_GB2312"/>
          <w:color w:val="auto"/>
          <w:sz w:val="28"/>
          <w:szCs w:val="28"/>
          <w:highlight w:val="none"/>
          <w:lang w:val="en-US" w:eastAsia="zh-CN"/>
        </w:rPr>
        <w:t>387.02万亩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22EC2DD2">
      <w:pPr>
        <w:pageBreakBefore w:val="0"/>
        <w:kinsoku/>
        <w:wordWrap/>
        <w:topLinePunct w:val="0"/>
        <w:autoSpaceDE/>
        <w:autoSpaceDN/>
        <w:bidi w:val="0"/>
        <w:spacing w:line="560" w:lineRule="exact"/>
        <w:textAlignment w:val="auto"/>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实施草畜平衡（万亩）</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62.4万亩</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62.4万亩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286BB0DD">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2.质量指标完成情况分析</w:t>
      </w:r>
    </w:p>
    <w:p w14:paraId="7D632494">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禁牧、草畜平衡责任落实率（%）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57D70601">
      <w:pPr>
        <w:pageBreakBefore w:val="0"/>
        <w:kinsoku/>
        <w:wordWrap/>
        <w:topLinePunct w:val="0"/>
        <w:autoSpaceDE/>
        <w:autoSpaceDN/>
        <w:bidi w:val="0"/>
        <w:spacing w:line="560" w:lineRule="exact"/>
        <w:textAlignment w:val="auto"/>
        <w:rPr>
          <w:rFonts w:hint="default"/>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资金使用合规率（%）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64B94182">
      <w:pPr>
        <w:pStyle w:val="5"/>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val="en-US" w:eastAsia="zh-CN"/>
        </w:rPr>
        <w:t>3.时效指标完成情况分析</w:t>
      </w:r>
    </w:p>
    <w:p w14:paraId="12250647">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补助奖励资金年度支出率（%）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5FDF9091">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eastAsia="zh-CN"/>
        </w:rPr>
        <w:t>（四）项目成本情况</w:t>
      </w:r>
    </w:p>
    <w:p w14:paraId="5DD0DE08">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ascii="仿宋_GB2312" w:hAnsi="仿宋_GB2312" w:cs="仿宋_GB2312"/>
          <w:color w:val="auto"/>
          <w:sz w:val="28"/>
          <w:szCs w:val="28"/>
          <w:highlight w:val="none"/>
          <w:lang w:eastAsia="zh-CN"/>
        </w:rPr>
        <w:t>项目成本类指标</w:t>
      </w:r>
      <w:r>
        <w:rPr>
          <w:rFonts w:hint="eastAsia" w:ascii="仿宋_GB2312" w:hAnsi="仿宋_GB2312" w:cs="仿宋_GB2312"/>
          <w:color w:val="auto"/>
          <w:sz w:val="28"/>
          <w:szCs w:val="28"/>
          <w:highlight w:val="none"/>
          <w:lang w:val="en-US" w:eastAsia="zh-CN"/>
        </w:rPr>
        <w:t>1</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2</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7B12CE84">
      <w:pPr>
        <w:pageBreakBefore w:val="0"/>
        <w:kinsoku/>
        <w:wordWrap/>
        <w:topLinePunct w:val="0"/>
        <w:autoSpaceDE/>
        <w:autoSpaceDN/>
        <w:bidi w:val="0"/>
        <w:spacing w:line="560" w:lineRule="exact"/>
        <w:ind w:left="0" w:leftChars="0" w:firstLine="560" w:firstLineChars="200"/>
        <w:textAlignment w:val="auto"/>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禁牧补助发放标准（元/亩）</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6.07元/亩</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=6.07元/亩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36067F40">
      <w:pPr>
        <w:pageBreakBefore w:val="0"/>
        <w:kinsoku/>
        <w:wordWrap/>
        <w:topLinePunct w:val="0"/>
        <w:autoSpaceDE/>
        <w:autoSpaceDN/>
        <w:bidi w:val="0"/>
        <w:spacing w:line="56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草畜平衡补助发放标准（元/亩）</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2.5元/亩</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2.5元/亩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2F3F2999">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14:paraId="78E6CD31">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4</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5</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249A0760">
      <w:pPr>
        <w:pStyle w:val="5"/>
        <w:pageBreakBefore w:val="0"/>
        <w:kinsoku/>
        <w:wordWrap/>
        <w:topLinePunct w:val="0"/>
        <w:autoSpaceDE/>
        <w:autoSpaceDN/>
        <w:bidi w:val="0"/>
        <w:spacing w:line="56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cs="仿宋_GB2312"/>
          <w:b/>
          <w:bCs/>
          <w:color w:val="auto"/>
          <w:sz w:val="28"/>
          <w:szCs w:val="28"/>
          <w:highlight w:val="none"/>
          <w:lang w:val="en-US" w:eastAsia="zh-CN"/>
        </w:rPr>
        <w:t>1</w:t>
      </w:r>
      <w:r>
        <w:rPr>
          <w:rFonts w:hint="eastAsia" w:ascii="仿宋_GB2312" w:hAnsi="仿宋_GB2312" w:cs="仿宋_GB2312"/>
          <w:b/>
          <w:bCs/>
          <w:color w:val="auto"/>
          <w:sz w:val="28"/>
          <w:szCs w:val="28"/>
          <w:highlight w:val="none"/>
          <w:lang w:val="en-US" w:eastAsia="zh-CN"/>
        </w:rPr>
        <w:t>.</w:t>
      </w:r>
      <w:r>
        <w:rPr>
          <w:rFonts w:hint="eastAsia" w:cs="仿宋_GB2312"/>
          <w:b/>
          <w:bCs/>
          <w:color w:val="auto"/>
          <w:sz w:val="28"/>
          <w:szCs w:val="28"/>
          <w:highlight w:val="none"/>
          <w:lang w:val="en-US" w:eastAsia="zh-CN"/>
        </w:rPr>
        <w:t>经济效益</w:t>
      </w:r>
      <w:r>
        <w:rPr>
          <w:rFonts w:hint="eastAsia" w:ascii="仿宋_GB2312" w:hAnsi="仿宋_GB2312" w:cs="仿宋_GB2312"/>
          <w:b/>
          <w:bCs/>
          <w:color w:val="auto"/>
          <w:sz w:val="28"/>
          <w:szCs w:val="28"/>
          <w:highlight w:val="none"/>
          <w:lang w:val="en-US" w:eastAsia="zh-CN"/>
        </w:rPr>
        <w:t>指标完成情况分析</w:t>
      </w:r>
    </w:p>
    <w:p w14:paraId="6EB16BFC">
      <w:pPr>
        <w:pageBreakBefore w:val="0"/>
        <w:kinsoku/>
        <w:wordWrap/>
        <w:topLinePunct w:val="0"/>
        <w:autoSpaceDE/>
        <w:autoSpaceDN/>
        <w:bidi w:val="0"/>
        <w:spacing w:line="560" w:lineRule="exact"/>
        <w:textAlignment w:val="auto"/>
        <w:rPr>
          <w:rFonts w:hint="eastAsia" w:cs="仿宋_GB2312"/>
          <w:b/>
          <w:bCs/>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享受政策的牧民户均补助金额（元）</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大于等于30000元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大于等于30000元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14:paraId="75114191">
      <w:pPr>
        <w:pStyle w:val="5"/>
        <w:pageBreakBefore w:val="0"/>
        <w:kinsoku/>
        <w:wordWrap/>
        <w:topLinePunct w:val="0"/>
        <w:autoSpaceDE/>
        <w:autoSpaceDN/>
        <w:bidi w:val="0"/>
        <w:spacing w:line="56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cs="仿宋_GB2312"/>
          <w:b/>
          <w:bCs/>
          <w:color w:val="auto"/>
          <w:sz w:val="28"/>
          <w:szCs w:val="28"/>
          <w:highlight w:val="none"/>
          <w:lang w:val="en-US" w:eastAsia="zh-CN"/>
        </w:rPr>
        <w:t>2</w:t>
      </w:r>
      <w:r>
        <w:rPr>
          <w:rFonts w:hint="eastAsia" w:ascii="仿宋_GB2312" w:hAnsi="仿宋_GB2312" w:cs="仿宋_GB2312"/>
          <w:b/>
          <w:bCs/>
          <w:color w:val="auto"/>
          <w:sz w:val="28"/>
          <w:szCs w:val="28"/>
          <w:highlight w:val="none"/>
          <w:lang w:val="en-US" w:eastAsia="zh-CN"/>
        </w:rPr>
        <w:t>.</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2EF72CF8">
      <w:pPr>
        <w:pageBreakBefore w:val="0"/>
        <w:kinsoku/>
        <w:wordWrap/>
        <w:topLinePunct w:val="0"/>
        <w:autoSpaceDE/>
        <w:autoSpaceDN/>
        <w:bidi w:val="0"/>
        <w:spacing w:line="560" w:lineRule="exact"/>
        <w:textAlignment w:val="auto"/>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享受政策的农牧民户数（户）</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大于等于2000户</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2355户</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14:paraId="176B76BB">
      <w:pPr>
        <w:pageBreakBefore w:val="0"/>
        <w:kinsoku/>
        <w:wordWrap/>
        <w:topLinePunct w:val="0"/>
        <w:autoSpaceDE/>
        <w:autoSpaceDN/>
        <w:bidi w:val="0"/>
        <w:spacing w:line="56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有力促进传统畜牧业向现代畜牧业转变</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有所提高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有所提高</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r>
        <w:rPr>
          <w:rFonts w:hint="eastAsia" w:cs="仿宋_GB2312"/>
          <w:color w:val="auto"/>
          <w:sz w:val="28"/>
          <w:szCs w:val="28"/>
          <w:highlight w:val="none"/>
          <w:lang w:eastAsia="zh-CN"/>
        </w:rPr>
        <w:t>。</w:t>
      </w:r>
    </w:p>
    <w:p w14:paraId="4B41F402">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3.生态效益指标完成情况分析</w:t>
      </w:r>
    </w:p>
    <w:p w14:paraId="4CC7CB81">
      <w:pPr>
        <w:pageBreakBefore w:val="0"/>
        <w:kinsoku/>
        <w:wordWrap/>
        <w:topLinePunct w:val="0"/>
        <w:autoSpaceDE/>
        <w:autoSpaceDN/>
        <w:bidi w:val="0"/>
        <w:spacing w:line="560" w:lineRule="exact"/>
        <w:textAlignment w:val="auto"/>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草原综合植被覆盖度（%）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大于等于36%</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大于等于36%</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14:paraId="25AB4DE0">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4.满意度指标完成情况分析</w:t>
      </w:r>
    </w:p>
    <w:p w14:paraId="6AC166D4">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受益群众对政策实施的满意度(%)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r>
        <w:rPr>
          <w:rFonts w:hint="eastAsia" w:ascii="仿宋_GB2312"/>
          <w:color w:val="auto"/>
          <w:sz w:val="28"/>
          <w:szCs w:val="28"/>
          <w:highlight w:val="none"/>
        </w:rPr>
        <w:t>。</w:t>
      </w:r>
      <w:bookmarkEnd w:id="15"/>
    </w:p>
    <w:p w14:paraId="31C974C7">
      <w:pPr>
        <w:pStyle w:val="3"/>
        <w:pageBreakBefore w:val="0"/>
        <w:kinsoku/>
        <w:wordWrap/>
        <w:topLinePunct w:val="0"/>
        <w:autoSpaceDE/>
        <w:autoSpaceDN/>
        <w:bidi w:val="0"/>
        <w:spacing w:line="560" w:lineRule="exact"/>
        <w:ind w:left="638" w:leftChars="228" w:firstLine="0" w:firstLineChars="0"/>
        <w:jc w:val="left"/>
        <w:textAlignment w:val="auto"/>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31A0E0B8">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资金2505.18</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资金2505.18</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2505.18</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完成进度无</w:t>
      </w:r>
      <w:r>
        <w:rPr>
          <w:rFonts w:hint="eastAsia"/>
          <w:color w:val="auto"/>
          <w:highlight w:val="none"/>
        </w:rPr>
        <w:t>偏差</w:t>
      </w:r>
      <w:r>
        <w:rPr>
          <w:rFonts w:hint="eastAsia" w:ascii="仿宋_GB2312" w:hAnsi="仿宋_GB2312" w:cs="仿宋_GB2312"/>
          <w:color w:val="auto"/>
          <w:sz w:val="28"/>
          <w:szCs w:val="28"/>
          <w:highlight w:val="none"/>
        </w:rPr>
        <w:t>。</w:t>
      </w:r>
    </w:p>
    <w:p w14:paraId="5693AC46">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7980C276">
      <w:pPr>
        <w:pStyle w:val="4"/>
        <w:pageBreakBefore w:val="0"/>
        <w:numPr>
          <w:ilvl w:val="0"/>
          <w:numId w:val="5"/>
        </w:numPr>
        <w:kinsoku/>
        <w:wordWrap/>
        <w:topLinePunct w:val="0"/>
        <w:autoSpaceDE/>
        <w:autoSpaceDN/>
        <w:bidi w:val="0"/>
        <w:spacing w:line="560" w:lineRule="exact"/>
        <w:ind w:firstLine="643"/>
        <w:textAlignment w:val="auto"/>
        <w:rPr>
          <w:color w:val="auto"/>
          <w:highlight w:val="none"/>
        </w:rPr>
      </w:pPr>
      <w:bookmarkStart w:id="16" w:name="_Toc1921"/>
      <w:bookmarkStart w:id="17" w:name="_Toc28290"/>
      <w:r>
        <w:rPr>
          <w:rFonts w:hint="eastAsia"/>
          <w:color w:val="auto"/>
          <w:highlight w:val="none"/>
        </w:rPr>
        <w:t>主要经验及做法</w:t>
      </w:r>
    </w:p>
    <w:bookmarkEnd w:id="16"/>
    <w:bookmarkEnd w:id="17"/>
    <w:p w14:paraId="794A54CE">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eastAsia="zh-CN"/>
        </w:rPr>
      </w:pPr>
      <w:r>
        <w:rPr>
          <w:rFonts w:hint="eastAsia" w:ascii="宋体" w:hAnsi="宋体" w:eastAsia="仿宋_GB2312" w:cs="宋体"/>
          <w:color w:val="auto"/>
          <w:kern w:val="0"/>
          <w:sz w:val="28"/>
          <w:szCs w:val="21"/>
          <w:highlight w:val="none"/>
          <w:lang w:val="en-US" w:eastAsia="zh-CN" w:bidi="ar"/>
        </w:rPr>
        <w:t>本项目通过组织自作科学合理的评价，最终得分为</w:t>
      </w:r>
      <w:r>
        <w:rPr>
          <w:rFonts w:hint="eastAsia" w:ascii="宋体" w:hAnsi="宋体" w:cs="宋体"/>
          <w:color w:val="auto"/>
          <w:kern w:val="0"/>
          <w:sz w:val="28"/>
          <w:szCs w:val="21"/>
          <w:highlight w:val="none"/>
          <w:lang w:val="en-US" w:eastAsia="zh-CN" w:bidi="ar"/>
        </w:rPr>
        <w:t>100</w:t>
      </w:r>
      <w:r>
        <w:rPr>
          <w:rFonts w:hint="eastAsia" w:ascii="宋体" w:hAnsi="宋体" w:eastAsia="仿宋_GB2312" w:cs="宋体"/>
          <w:color w:val="auto"/>
          <w:kern w:val="0"/>
          <w:sz w:val="28"/>
          <w:szCs w:val="21"/>
          <w:highlight w:val="none"/>
          <w:lang w:val="en-US" w:eastAsia="zh-CN" w:bidi="ar"/>
        </w:rPr>
        <w:t>分，评价结果为优秀。我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p>
    <w:p w14:paraId="11EF4F86">
      <w:pPr>
        <w:keepNext w:val="0"/>
        <w:keepLines w:val="0"/>
        <w:pageBreakBefore w:val="0"/>
        <w:widowControl/>
        <w:numPr>
          <w:ilvl w:val="0"/>
          <w:numId w:val="6"/>
        </w:numPr>
        <w:kinsoku/>
        <w:wordWrap/>
        <w:overflowPunct/>
        <w:topLinePunct w:val="0"/>
        <w:autoSpaceDE/>
        <w:autoSpaceDN/>
        <w:bidi w:val="0"/>
        <w:adjustRightInd w:val="0"/>
        <w:snapToGrid w:val="0"/>
        <w:spacing w:after="0" w:line="560" w:lineRule="exact"/>
        <w:ind w:left="0" w:leftChars="0"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完善制度体系。为确保项目稳步落实，成立项目工作领导小组，负责项目工作的组织实施，落实责任单位，指定专人开展工作，为项目顺利开展提供强有力的组织保障。对实施主体开展全程跟踪检查指导，形成“一级抓一级，层层抓落实”的格局，确保项目工作有序开展。</w:t>
      </w:r>
    </w:p>
    <w:p w14:paraId="403CD20A">
      <w:pPr>
        <w:keepNext w:val="0"/>
        <w:keepLines w:val="0"/>
        <w:pageBreakBefore w:val="0"/>
        <w:widowControl/>
        <w:numPr>
          <w:ilvl w:val="0"/>
          <w:numId w:val="6"/>
        </w:numPr>
        <w:kinsoku/>
        <w:wordWrap/>
        <w:overflowPunct/>
        <w:topLinePunct w:val="0"/>
        <w:autoSpaceDE/>
        <w:autoSpaceDN/>
        <w:bidi w:val="0"/>
        <w:adjustRightInd w:val="0"/>
        <w:snapToGrid w:val="0"/>
        <w:spacing w:after="0" w:line="560" w:lineRule="exact"/>
        <w:ind w:left="0" w:leftChars="0"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强化业务培训。组成技术服务队，深入一线指导生产作业，全程做好技术培训与跟踪服务，提高项目工作效率和社会化服务能力。</w:t>
      </w:r>
    </w:p>
    <w:p w14:paraId="569EAA22">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3.开展定期检查，确保资金使用安全。为确保项目稳步落实，项目领导小组每月至少组织开展1次项目督促检查，及时发现问题、及时整改，同时及时收集整理各类资料。县农业农村局、财政局定期对项目工作进展及项目资金使用情况进行监督和指导，任何单位不得滞留、截留、挪用项目资金，不得采取虚报、冒领等手段骗取资金。对项目执行存在重大问题、资金使用不符合要求的，依据《财政违法行为处罚处分条例》（国务院令第427号）有关规定，严肃追究相关责任人的责任，并三年内不予安排各类畜牧业项目。</w:t>
      </w:r>
    </w:p>
    <w:p w14:paraId="1C7E3559">
      <w:pPr>
        <w:pStyle w:val="4"/>
        <w:pageBreakBefore w:val="0"/>
        <w:numPr>
          <w:ilvl w:val="0"/>
          <w:numId w:val="5"/>
        </w:numPr>
        <w:kinsoku/>
        <w:wordWrap/>
        <w:topLinePunct w:val="0"/>
        <w:autoSpaceDE/>
        <w:autoSpaceDN/>
        <w:bidi w:val="0"/>
        <w:spacing w:line="560" w:lineRule="exact"/>
        <w:ind w:firstLine="643"/>
        <w:textAlignment w:val="auto"/>
        <w:rPr>
          <w:color w:val="auto"/>
          <w:highlight w:val="none"/>
        </w:rPr>
      </w:pPr>
      <w:r>
        <w:rPr>
          <w:rFonts w:hint="eastAsia"/>
          <w:color w:val="auto"/>
          <w:highlight w:val="none"/>
        </w:rPr>
        <w:t>存在的问题及原因分析</w:t>
      </w:r>
    </w:p>
    <w:p w14:paraId="2DAFE942">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无</w:t>
      </w:r>
    </w:p>
    <w:p w14:paraId="07316AA0">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lang w:eastAsia="zh-CN"/>
        </w:rPr>
        <w:t>七</w:t>
      </w:r>
      <w:r>
        <w:rPr>
          <w:rFonts w:hint="eastAsia"/>
          <w:color w:val="auto"/>
          <w:highlight w:val="none"/>
        </w:rPr>
        <w:t>、有关建议</w:t>
      </w:r>
    </w:p>
    <w:p w14:paraId="5742597C">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1.进一步明确部门职责，加强资金监管，严格执行专款专用，及时足额拨付资金。</w:t>
      </w:r>
    </w:p>
    <w:p w14:paraId="56014D50">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2.根据实际情况将及时总结经验，探索建立项目的风险管理机制，完善项目实施前的风险识别及应对措施，提高资金管理及项目管理的能力，进一步提高资金的使用效率及效益。</w:t>
      </w:r>
    </w:p>
    <w:p w14:paraId="27FC11BB">
      <w:pPr>
        <w:pStyle w:val="3"/>
        <w:pageBreakBefore w:val="0"/>
        <w:kinsoku/>
        <w:wordWrap/>
        <w:topLinePunct w:val="0"/>
        <w:autoSpaceDE/>
        <w:autoSpaceDN/>
        <w:bidi w:val="0"/>
        <w:spacing w:line="560" w:lineRule="exact"/>
        <w:textAlignment w:val="auto"/>
        <w:rPr>
          <w:color w:val="auto"/>
          <w:highlight w:val="none"/>
        </w:rPr>
      </w:pPr>
      <w:r>
        <w:rPr>
          <w:rFonts w:hint="eastAsia"/>
          <w:color w:val="auto"/>
          <w:highlight w:val="none"/>
          <w:lang w:eastAsia="zh-CN"/>
        </w:rPr>
        <w:t>八</w:t>
      </w:r>
      <w:r>
        <w:rPr>
          <w:rFonts w:hint="eastAsia"/>
          <w:color w:val="auto"/>
          <w:highlight w:val="none"/>
        </w:rPr>
        <w:t>、其他需要说明的问题</w:t>
      </w:r>
    </w:p>
    <w:p w14:paraId="048D6D90">
      <w:pPr>
        <w:tabs>
          <w:tab w:val="left" w:pos="1949"/>
        </w:tabs>
        <w:bidi w:val="0"/>
        <w:ind w:left="0" w:leftChars="0" w:firstLine="0" w:firstLineChars="0"/>
        <w:jc w:val="left"/>
        <w:rPr>
          <w:rFonts w:hint="eastAsia" w:ascii="Times New Roman" w:hAnsi="Times New Roman" w:eastAsia="仿宋_GB2312" w:cs="Times New Roman"/>
          <w:kern w:val="2"/>
          <w:sz w:val="28"/>
          <w:szCs w:val="24"/>
          <w:lang w:val="en-US" w:eastAsia="zh-CN" w:bidi="ar-SA"/>
        </w:rPr>
      </w:pPr>
      <w:r>
        <w:rPr>
          <w:rFonts w:hint="eastAsia"/>
          <w:color w:val="auto"/>
          <w:highlight w:val="none"/>
        </w:rPr>
        <w:t>我单位对上述项目支出绩效评价报告内反映内容的真实性、完整性负责，接受上级部门及社会公众监督。</w:t>
      </w:r>
      <w:r>
        <w:rPr>
          <w:rFonts w:hint="eastAsia" w:ascii="宋体" w:hAnsi="宋体" w:eastAsia="仿宋_GB2312" w:cs="宋体"/>
          <w:color w:val="auto"/>
          <w:kern w:val="0"/>
          <w:sz w:val="28"/>
          <w:szCs w:val="21"/>
          <w:highlight w:val="none"/>
          <w:lang w:val="en-US" w:eastAsia="zh-CN" w:bidi="ar"/>
        </w:rPr>
        <w:t>我单位无其他需要说明的问题。</w:t>
      </w:r>
      <w:bookmarkStart w:id="18" w:name="_GoBack"/>
      <w:bookmarkEnd w:id="18"/>
    </w:p>
    <w:sectPr>
      <w:footerReference r:id="rId11" w:type="default"/>
      <w:pgSz w:w="11850" w:h="16783"/>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A060B">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CF02">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AB683">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B11A3">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82BF7">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B726">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A8710">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0C81AF"/>
    <w:multiLevelType w:val="singleLevel"/>
    <w:tmpl w:val="8C0C81AF"/>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60137E0B"/>
    <w:multiLevelType w:val="singleLevel"/>
    <w:tmpl w:val="60137E0B"/>
    <w:lvl w:ilvl="0" w:tentative="0">
      <w:start w:val="1"/>
      <w:numFmt w:val="decimal"/>
      <w:suff w:val="nothing"/>
      <w:lvlText w:val="%1."/>
      <w:lvlJc w:val="left"/>
    </w:lvl>
  </w:abstractNum>
  <w:abstractNum w:abstractNumId="5">
    <w:nsid w:val="6951F8CB"/>
    <w:multiLevelType w:val="singleLevel"/>
    <w:tmpl w:val="6951F8CB"/>
    <w:lvl w:ilvl="0" w:tentative="0">
      <w:start w:val="3"/>
      <w:numFmt w:val="decimal"/>
      <w:lvlText w:val="%1."/>
      <w:lvlJc w:val="left"/>
      <w:pPr>
        <w:tabs>
          <w:tab w:val="left" w:pos="312"/>
        </w:tabs>
      </w:p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M2RlYjNmMjdiYjY3YzI0YWVmOTYxYTNjNDZhYTMifQ=="/>
  </w:docVars>
  <w:rsids>
    <w:rsidRoot w:val="00000000"/>
    <w:rsid w:val="00850E2B"/>
    <w:rsid w:val="021F7F14"/>
    <w:rsid w:val="02242D73"/>
    <w:rsid w:val="022B436B"/>
    <w:rsid w:val="030F42DA"/>
    <w:rsid w:val="04931BED"/>
    <w:rsid w:val="04FB0482"/>
    <w:rsid w:val="052E5FCD"/>
    <w:rsid w:val="06F10DD3"/>
    <w:rsid w:val="07131EBF"/>
    <w:rsid w:val="08253C58"/>
    <w:rsid w:val="08C517FC"/>
    <w:rsid w:val="09235390"/>
    <w:rsid w:val="092C3E74"/>
    <w:rsid w:val="093B331D"/>
    <w:rsid w:val="0AEE491C"/>
    <w:rsid w:val="0B107CA6"/>
    <w:rsid w:val="0B5A4881"/>
    <w:rsid w:val="0D044784"/>
    <w:rsid w:val="0D820750"/>
    <w:rsid w:val="0DDF2C93"/>
    <w:rsid w:val="0DE3083D"/>
    <w:rsid w:val="0E601E8E"/>
    <w:rsid w:val="0FFE15AE"/>
    <w:rsid w:val="10B8090A"/>
    <w:rsid w:val="10DA48FD"/>
    <w:rsid w:val="13566047"/>
    <w:rsid w:val="141230E0"/>
    <w:rsid w:val="157B04AB"/>
    <w:rsid w:val="16CF5E02"/>
    <w:rsid w:val="173E63CE"/>
    <w:rsid w:val="175238F4"/>
    <w:rsid w:val="17B35DB7"/>
    <w:rsid w:val="18434050"/>
    <w:rsid w:val="196B67CF"/>
    <w:rsid w:val="1A260BB3"/>
    <w:rsid w:val="1ABB736F"/>
    <w:rsid w:val="1B176503"/>
    <w:rsid w:val="1B4B7A22"/>
    <w:rsid w:val="20053869"/>
    <w:rsid w:val="2123340E"/>
    <w:rsid w:val="213D1BBA"/>
    <w:rsid w:val="228A1C05"/>
    <w:rsid w:val="2432224C"/>
    <w:rsid w:val="25042188"/>
    <w:rsid w:val="25513E86"/>
    <w:rsid w:val="25983556"/>
    <w:rsid w:val="26903868"/>
    <w:rsid w:val="282633A8"/>
    <w:rsid w:val="28ED6C25"/>
    <w:rsid w:val="2BE5357A"/>
    <w:rsid w:val="2C6B1CD2"/>
    <w:rsid w:val="2DAF3E40"/>
    <w:rsid w:val="2DF87AAD"/>
    <w:rsid w:val="2E7D3F96"/>
    <w:rsid w:val="30077F63"/>
    <w:rsid w:val="30537B7E"/>
    <w:rsid w:val="30A831C1"/>
    <w:rsid w:val="31D562B6"/>
    <w:rsid w:val="35496A51"/>
    <w:rsid w:val="36106EE8"/>
    <w:rsid w:val="362A0508"/>
    <w:rsid w:val="37EC2E32"/>
    <w:rsid w:val="39330366"/>
    <w:rsid w:val="3A0C3C61"/>
    <w:rsid w:val="3A0F5935"/>
    <w:rsid w:val="3A1E2AC8"/>
    <w:rsid w:val="3AAF722D"/>
    <w:rsid w:val="3C9012E0"/>
    <w:rsid w:val="3CA22419"/>
    <w:rsid w:val="3E353EED"/>
    <w:rsid w:val="3F215A57"/>
    <w:rsid w:val="3F917849"/>
    <w:rsid w:val="401F1139"/>
    <w:rsid w:val="408045BF"/>
    <w:rsid w:val="41E97C3F"/>
    <w:rsid w:val="422C4F37"/>
    <w:rsid w:val="44360303"/>
    <w:rsid w:val="4535357C"/>
    <w:rsid w:val="45906864"/>
    <w:rsid w:val="45D73ADC"/>
    <w:rsid w:val="45E94B82"/>
    <w:rsid w:val="465B295F"/>
    <w:rsid w:val="47AD1F29"/>
    <w:rsid w:val="4B151486"/>
    <w:rsid w:val="4B2D59CA"/>
    <w:rsid w:val="4B616256"/>
    <w:rsid w:val="4C977052"/>
    <w:rsid w:val="4CD76F5C"/>
    <w:rsid w:val="4D5679DC"/>
    <w:rsid w:val="4DD45221"/>
    <w:rsid w:val="4E117848"/>
    <w:rsid w:val="4F0E533E"/>
    <w:rsid w:val="52C55120"/>
    <w:rsid w:val="5309631A"/>
    <w:rsid w:val="53264AEC"/>
    <w:rsid w:val="53407964"/>
    <w:rsid w:val="53F8370C"/>
    <w:rsid w:val="54663865"/>
    <w:rsid w:val="552A2156"/>
    <w:rsid w:val="56104694"/>
    <w:rsid w:val="56347D61"/>
    <w:rsid w:val="56D42DB0"/>
    <w:rsid w:val="57B27F05"/>
    <w:rsid w:val="57CF408D"/>
    <w:rsid w:val="58D44D75"/>
    <w:rsid w:val="59646F8D"/>
    <w:rsid w:val="5A497E8A"/>
    <w:rsid w:val="5A4B0FA7"/>
    <w:rsid w:val="5A8B5169"/>
    <w:rsid w:val="5B4F39A0"/>
    <w:rsid w:val="5BC621D1"/>
    <w:rsid w:val="5D650C14"/>
    <w:rsid w:val="5ED60D3C"/>
    <w:rsid w:val="5EE04258"/>
    <w:rsid w:val="60F56B28"/>
    <w:rsid w:val="61B52ACC"/>
    <w:rsid w:val="620A1069"/>
    <w:rsid w:val="62255471"/>
    <w:rsid w:val="63992327"/>
    <w:rsid w:val="639D1E42"/>
    <w:rsid w:val="6511117C"/>
    <w:rsid w:val="654C5806"/>
    <w:rsid w:val="655F347A"/>
    <w:rsid w:val="65FC5162"/>
    <w:rsid w:val="66B52E85"/>
    <w:rsid w:val="685926C6"/>
    <w:rsid w:val="6A683F99"/>
    <w:rsid w:val="6AFB1E97"/>
    <w:rsid w:val="6BA53BB1"/>
    <w:rsid w:val="6CC33CD7"/>
    <w:rsid w:val="6D7D4DE5"/>
    <w:rsid w:val="6E185DAB"/>
    <w:rsid w:val="6E8B7C84"/>
    <w:rsid w:val="6EA2262A"/>
    <w:rsid w:val="6EB137C6"/>
    <w:rsid w:val="6F1F575F"/>
    <w:rsid w:val="70117A67"/>
    <w:rsid w:val="70875E53"/>
    <w:rsid w:val="708B6E49"/>
    <w:rsid w:val="724B5942"/>
    <w:rsid w:val="726D3149"/>
    <w:rsid w:val="72AE422E"/>
    <w:rsid w:val="73840844"/>
    <w:rsid w:val="769E5DCD"/>
    <w:rsid w:val="77CB0E43"/>
    <w:rsid w:val="799A6D1F"/>
    <w:rsid w:val="7BDD4CE5"/>
    <w:rsid w:val="7BE81FC4"/>
    <w:rsid w:val="7E244E09"/>
    <w:rsid w:val="7ED46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3">
    <w:name w:val="Strong"/>
    <w:basedOn w:val="12"/>
    <w:qFormat/>
    <w:uiPriority w:val="0"/>
    <w:rPr>
      <w:b/>
      <w:bCs/>
    </w:rPr>
  </w:style>
  <w:style w:type="paragraph" w:customStyle="1" w:styleId="14">
    <w:name w:val="正文文本1"/>
    <w:basedOn w:val="1"/>
    <w:qFormat/>
    <w:uiPriority w:val="0"/>
    <w:pPr>
      <w:widowControl w:val="0"/>
      <w:shd w:val="clear" w:color="auto" w:fill="FFFFFF"/>
      <w:spacing w:line="401" w:lineRule="auto"/>
      <w:ind w:firstLine="400"/>
    </w:pPr>
    <w:rPr>
      <w:rFonts w:ascii="MingLiU" w:hAnsi="MingLiU" w:eastAsia="MingLiU" w:cs="MingLiU"/>
      <w:sz w:val="28"/>
      <w:szCs w:val="28"/>
      <w:u w:val="non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11164</Words>
  <Characters>11842</Characters>
  <Lines>0</Lines>
  <Paragraphs>0</Paragraphs>
  <TotalTime>5</TotalTime>
  <ScaleCrop>false</ScaleCrop>
  <LinksUpToDate>false</LinksUpToDate>
  <CharactersWithSpaces>11862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7.</cp:lastModifiedBy>
  <cp:lastPrinted>2024-01-09T11:10:00Z</cp:lastPrinted>
  <dcterms:modified xsi:type="dcterms:W3CDTF">2024-09-23T07:07:25Z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60DD2C802D114C81B3758316795F5C97_12</vt:lpwstr>
  </property>
</Properties>
</file>