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eastAsia="zh-CN"/>
        </w:rPr>
        <w:t>2023年学前教育幼儿资助县级配套</w:t>
      </w:r>
      <w:r>
        <w:rPr>
          <w:rFonts w:hint="eastAsia" w:ascii="黑体" w:hAnsi="黑体" w:eastAsia="黑体" w:cs="黑体"/>
          <w:b/>
          <w:bCs/>
          <w:color w:val="auto"/>
          <w:sz w:val="40"/>
          <w:szCs w:val="40"/>
          <w:highlight w:val="none"/>
        </w:rPr>
        <w:t>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5"/>
        <w:rPr>
          <w:color w:val="auto"/>
          <w:highlight w:val="none"/>
        </w:rPr>
      </w:pPr>
    </w:p>
    <w:p>
      <w:pPr>
        <w:spacing w:line="360" w:lineRule="auto"/>
        <w:ind w:firstLine="600"/>
        <w:rPr>
          <w:rFonts w:hint="eastAsia" w:ascii="黑体" w:eastAsia="黑体"/>
          <w:color w:val="auto"/>
          <w:sz w:val="30"/>
          <w:szCs w:val="30"/>
          <w:highlight w:val="none"/>
        </w:rPr>
      </w:pPr>
      <w:r>
        <w:rPr>
          <w:rFonts w:hint="eastAsia" w:ascii="黑体" w:eastAsia="黑体"/>
          <w:color w:val="auto"/>
          <w:sz w:val="32"/>
          <w:szCs w:val="32"/>
          <w:highlight w:val="none"/>
        </w:rPr>
        <w:t>项目名称：</w:t>
      </w:r>
      <w:r>
        <w:rPr>
          <w:rFonts w:hint="eastAsia" w:ascii="黑体" w:eastAsia="黑体"/>
          <w:color w:val="auto"/>
          <w:sz w:val="30"/>
          <w:szCs w:val="30"/>
          <w:highlight w:val="none"/>
        </w:rPr>
        <w:t>2023年学前教育幼儿资助县级配套</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托克逊县博斯坦中心学校</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周永杰</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2023年学前教育幼儿资助县级配套项目支出绩效评价报告</w:t>
      </w:r>
    </w:p>
    <w:p>
      <w:pPr>
        <w:pStyle w:val="3"/>
        <w:ind w:firstLine="640"/>
        <w:rPr>
          <w:color w:val="auto"/>
          <w:highlight w:val="none"/>
        </w:rPr>
      </w:pPr>
      <w:r>
        <w:rPr>
          <w:rFonts w:hint="eastAsia"/>
          <w:color w:val="auto"/>
          <w:highlight w:val="none"/>
        </w:rPr>
        <w:t>一、基本情况</w:t>
      </w:r>
    </w:p>
    <w:p>
      <w:pPr>
        <w:pStyle w:val="5"/>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4"/>
        <w:ind w:firstLine="643"/>
        <w:rPr>
          <w:rFonts w:hint="default"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办好学前教育，实现幼有所育，市党和政府为老百姓办实事的重大民生工程。为解决学前教育资源不足，城乡发展不平衡、一些地方入园难，入园贵等问题，《国务院关于当前发展学前教育的若干意见》、《国家中长期教育改革和发展规划纲要》等文件多种形式扩大学前教育资源，多种渠道加大学前教育投入等要求。为落实文件精神，中央财政通过补助和奖励的方式支持学前教育发展。</w:t>
      </w:r>
    </w:p>
    <w:p>
      <w:pPr>
        <w:pStyle w:val="4"/>
        <w:ind w:firstLine="643"/>
        <w:rPr>
          <w:color w:val="auto"/>
          <w:highlight w:val="none"/>
        </w:rPr>
      </w:pPr>
      <w:r>
        <w:rPr>
          <w:rFonts w:hint="eastAsia"/>
          <w:color w:val="auto"/>
          <w:highlight w:val="none"/>
          <w:lang w:val="en-US" w:eastAsia="zh-CN"/>
        </w:rPr>
        <w:t>1.</w:t>
      </w:r>
      <w:r>
        <w:rPr>
          <w:rFonts w:hint="eastAsia"/>
          <w:color w:val="auto"/>
          <w:highlight w:val="none"/>
        </w:rPr>
        <w:t>项目概况</w:t>
      </w:r>
    </w:p>
    <w:p>
      <w:pPr>
        <w:pStyle w:val="5"/>
        <w:ind w:firstLine="562"/>
        <w:rPr>
          <w:rFonts w:hint="default" w:hAnsi="Times New Roman" w:cs="Times New Roman"/>
          <w:b w:val="0"/>
          <w:bCs/>
          <w:color w:val="auto"/>
          <w:kern w:val="2"/>
          <w:sz w:val="30"/>
          <w:szCs w:val="30"/>
          <w:highlight w:val="none"/>
          <w:lang w:val="en-US" w:eastAsia="zh-CN" w:bidi="ar-SA"/>
        </w:rPr>
      </w:pPr>
      <w:r>
        <w:rPr>
          <w:rFonts w:hint="eastAsia" w:hAnsi="Times New Roman" w:cs="Times New Roman"/>
          <w:b w:val="0"/>
          <w:bCs/>
          <w:color w:val="auto"/>
          <w:kern w:val="2"/>
          <w:sz w:val="30"/>
          <w:szCs w:val="30"/>
          <w:highlight w:val="none"/>
          <w:lang w:val="en-US" w:eastAsia="zh-CN" w:bidi="ar-SA"/>
        </w:rPr>
        <w:t>为贯彻落实教育部、国家发展改革委、财政部《关于实施学前教育三年行动计划的意见》进一步加强公办幼儿园建设，不断扩大学前教育资源，全面提高政府公共服务能力，保障适龄儿童接受基本的、有质量的学前教育。</w:t>
      </w:r>
    </w:p>
    <w:p>
      <w:pPr>
        <w:pStyle w:val="5"/>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numPr>
          <w:ilvl w:val="0"/>
          <w:numId w:val="1"/>
        </w:numPr>
        <w:spacing w:line="360" w:lineRule="auto"/>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宣传贯彻执行党和国家的教育方针、政策、法律法规等，坚持依法治教、依法治学，贯彻执行县教体局的行政规章制度。</w:t>
      </w:r>
    </w:p>
    <w:p>
      <w:pPr>
        <w:numPr>
          <w:ilvl w:val="0"/>
          <w:numId w:val="1"/>
        </w:numPr>
        <w:spacing w:line="360" w:lineRule="auto"/>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配合县人民政府制定符合党的教育方针和国家教育法律法规以及本校实际的教育发展规划和学校布局调整规划，并抓好组织实施和落实工作。</w:t>
      </w:r>
    </w:p>
    <w:p>
      <w:pPr>
        <w:numPr>
          <w:ilvl w:val="0"/>
          <w:numId w:val="1"/>
        </w:numPr>
        <w:spacing w:line="360" w:lineRule="auto"/>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巩固提高“两基”工作成果和整体水平，配合各级人民政府依法动员工作。</w:t>
      </w:r>
    </w:p>
    <w:p>
      <w:pPr>
        <w:numPr>
          <w:ilvl w:val="0"/>
          <w:numId w:val="1"/>
        </w:numPr>
        <w:spacing w:line="360" w:lineRule="auto"/>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组织开展本校的教育教学科研和教育教学改革，科研兴教，科研兴校。负责对本校教育教学业务的具体管理，负责教育教学，管理及教研教改工作，全力推进素质教育实施。</w:t>
      </w:r>
    </w:p>
    <w:p>
      <w:pPr>
        <w:numPr>
          <w:ilvl w:val="0"/>
          <w:numId w:val="1"/>
        </w:numPr>
        <w:spacing w:line="360" w:lineRule="auto"/>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按照干部和教师的职数、编制和管理权限，负责本校教师人事管理、继续教育、考核考评等工作。</w:t>
      </w:r>
    </w:p>
    <w:p>
      <w:pPr>
        <w:numPr>
          <w:ilvl w:val="0"/>
          <w:numId w:val="1"/>
        </w:numPr>
        <w:spacing w:line="360" w:lineRule="auto"/>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负责本校财务和基建管理，筹措资金，改善办学条件等工作。7、指导、管理、检查、评价本校的教育教学工作，提高办学质量和办学效益。全面推进素质教育，全面提高教育教学质量。</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托克逊县博斯坦中心学校共设有5个处室，主要有：</w:t>
      </w:r>
      <w:r>
        <w:rPr>
          <w:rFonts w:hint="eastAsia" w:ascii="仿宋_GB2312" w:hAnsi="黑体" w:eastAsia="仿宋_GB2312" w:cs="宋体"/>
          <w:bCs/>
          <w:color w:val="auto"/>
          <w:kern w:val="0"/>
          <w:sz w:val="32"/>
          <w:szCs w:val="32"/>
          <w:highlight w:val="none"/>
        </w:rPr>
        <w:t>办公室、教务室、财务室、医务室、档案室</w:t>
      </w:r>
      <w:r>
        <w:rPr>
          <w:rFonts w:hint="eastAsia" w:ascii="仿宋_GB2312" w:hAnsi="宋体" w:eastAsia="仿宋_GB2312" w:cs="宋体"/>
          <w:color w:val="auto"/>
          <w:kern w:val="0"/>
          <w:sz w:val="32"/>
          <w:szCs w:val="32"/>
          <w:highlight w:val="none"/>
        </w:rPr>
        <w:t>。</w:t>
      </w:r>
      <w:r>
        <w:rPr>
          <w:rFonts w:hint="eastAsia" w:ascii="仿宋" w:hAnsi="仿宋" w:eastAsia="仿宋"/>
          <w:color w:val="auto"/>
          <w:szCs w:val="28"/>
          <w:highlight w:val="none"/>
          <w:lang w:val="en-US" w:eastAsia="zh-CN"/>
        </w:rPr>
        <w:t>托克逊县博斯坦中心学校</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103</w:t>
      </w:r>
      <w:r>
        <w:rPr>
          <w:rFonts w:hint="eastAsia" w:ascii="仿宋" w:hAnsi="仿宋" w:eastAsia="仿宋"/>
          <w:color w:val="auto"/>
          <w:szCs w:val="28"/>
          <w:highlight w:val="none"/>
        </w:rPr>
        <w:t>人，年初实有在职人员</w:t>
      </w:r>
      <w:r>
        <w:rPr>
          <w:rFonts w:hint="eastAsia" w:ascii="仿宋" w:hAnsi="仿宋" w:eastAsia="仿宋"/>
          <w:color w:val="auto"/>
          <w:szCs w:val="28"/>
          <w:highlight w:val="none"/>
          <w:lang w:val="en-US" w:eastAsia="zh-CN"/>
        </w:rPr>
        <w:t>352</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131</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342</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133</w:t>
      </w:r>
      <w:r>
        <w:rPr>
          <w:rFonts w:hint="eastAsia" w:ascii="仿宋" w:hAnsi="仿宋" w:eastAsia="仿宋"/>
          <w:color w:val="auto"/>
          <w:szCs w:val="28"/>
          <w:highlight w:val="none"/>
        </w:rPr>
        <w:t>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spacing w:line="360" w:lineRule="auto"/>
        <w:ind w:firstLine="6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color w:val="auto"/>
          <w:highlight w:val="none"/>
          <w:lang w:val="en-US" w:eastAsia="zh-CN"/>
        </w:rPr>
        <w:t>项目名称：</w:t>
      </w:r>
      <w:r>
        <w:rPr>
          <w:rFonts w:hint="eastAsia" w:ascii="仿宋_GB2312" w:hAnsi="仿宋_GB2312" w:eastAsia="仿宋_GB2312" w:cs="Times New Roman"/>
          <w:b w:val="0"/>
          <w:bCs w:val="0"/>
          <w:color w:val="auto"/>
          <w:kern w:val="0"/>
          <w:sz w:val="28"/>
          <w:szCs w:val="32"/>
          <w:highlight w:val="none"/>
          <w:lang w:val="en-US" w:eastAsia="zh-CN" w:bidi="ar-SA"/>
        </w:rPr>
        <w:t>2023年学前教育幼儿资助县级配套</w:t>
      </w:r>
    </w:p>
    <w:p>
      <w:pPr>
        <w:ind w:firstLine="56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项目主要内容：2023年学前教育幼儿资助县级配套</w:t>
      </w:r>
    </w:p>
    <w:p>
      <w:pPr>
        <w:pStyle w:val="5"/>
        <w:rPr>
          <w:rFonts w:hint="eastAsia"/>
          <w:b w:val="0"/>
          <w:bCs w:val="0"/>
          <w:color w:val="auto"/>
          <w:highlight w:val="none"/>
          <w:lang w:val="en-US" w:eastAsia="zh-CN"/>
        </w:rPr>
      </w:pPr>
      <w:r>
        <w:rPr>
          <w:rFonts w:hint="eastAsia" w:ascii="仿宋_GB2312" w:hAnsi="仿宋_GB2312" w:eastAsia="仿宋_GB2312" w:cs="Times New Roman"/>
          <w:b w:val="0"/>
          <w:bCs w:val="0"/>
          <w:color w:val="auto"/>
          <w:kern w:val="0"/>
          <w:sz w:val="28"/>
          <w:szCs w:val="32"/>
          <w:highlight w:val="none"/>
          <w:lang w:val="en-US" w:eastAsia="zh-CN" w:bidi="ar-SA"/>
        </w:rPr>
        <w:t>项目实施时间：本项目实施时间为202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年1月-202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年12</w:t>
      </w:r>
      <w:r>
        <w:rPr>
          <w:rFonts w:hint="eastAsia"/>
          <w:b w:val="0"/>
          <w:bCs w:val="0"/>
          <w:color w:val="auto"/>
          <w:highlight w:val="none"/>
          <w:lang w:val="en-US" w:eastAsia="zh-CN"/>
        </w:rPr>
        <w:t>月</w:t>
      </w:r>
    </w:p>
    <w:p>
      <w:pPr>
        <w:rPr>
          <w:rFonts w:hint="eastAsia"/>
          <w:color w:val="auto"/>
          <w:highlight w:val="none"/>
          <w:lang w:val="en-US" w:eastAsia="zh-CN"/>
        </w:rPr>
      </w:pPr>
      <w:r>
        <w:rPr>
          <w:rFonts w:hint="eastAsia"/>
          <w:color w:val="auto"/>
          <w:highlight w:val="none"/>
          <w:lang w:val="en-US" w:eastAsia="zh-CN"/>
        </w:rPr>
        <w:t>项目实施情况：</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项目预算安排总额为</w:t>
      </w:r>
      <w:r>
        <w:rPr>
          <w:rFonts w:hint="eastAsia"/>
          <w:color w:val="auto"/>
          <w:highlight w:val="none"/>
          <w:lang w:val="en-US" w:eastAsia="zh-CN"/>
        </w:rPr>
        <w:t>59.19</w:t>
      </w:r>
      <w:r>
        <w:rPr>
          <w:color w:val="auto"/>
          <w:highlight w:val="none"/>
        </w:rPr>
        <w:t>万元，其中财政资金</w:t>
      </w:r>
      <w:r>
        <w:rPr>
          <w:rFonts w:hint="eastAsia"/>
          <w:color w:val="auto"/>
          <w:highlight w:val="none"/>
          <w:lang w:val="en-US" w:eastAsia="zh-CN"/>
        </w:rPr>
        <w:t>59.19</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59.19</w:t>
      </w:r>
      <w:r>
        <w:rPr>
          <w:color w:val="auto"/>
          <w:highlight w:val="none"/>
        </w:rPr>
        <w:t>万元，预算资金到位率为</w:t>
      </w:r>
      <w:r>
        <w:rPr>
          <w:rFonts w:hint="eastAsia"/>
          <w:color w:val="auto"/>
          <w:highlight w:val="none"/>
          <w:lang w:val="en-US" w:eastAsia="zh-CN"/>
        </w:rPr>
        <w:t>100</w:t>
      </w:r>
      <w:r>
        <w:rPr>
          <w:color w:val="auto"/>
          <w:highlight w:val="none"/>
        </w:rPr>
        <w:t>%。</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59.19</w:t>
      </w:r>
      <w:r>
        <w:rPr>
          <w:color w:val="auto"/>
          <w:highlight w:val="none"/>
        </w:rPr>
        <w:t>万元，其中财政资金</w:t>
      </w:r>
      <w:r>
        <w:rPr>
          <w:rFonts w:hint="eastAsia"/>
          <w:color w:val="auto"/>
          <w:highlight w:val="none"/>
          <w:lang w:val="en-US" w:eastAsia="zh-CN"/>
        </w:rPr>
        <w:t>59.19</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59.19</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default" w:eastAsia="仿宋_GB2312"/>
          <w:b w:val="0"/>
          <w:bCs w:val="0"/>
          <w:color w:val="auto"/>
          <w:highlight w:val="none"/>
          <w:lang w:val="en-US" w:eastAsia="zh-CN"/>
        </w:rPr>
      </w:pPr>
      <w:r>
        <w:rPr>
          <w:rFonts w:hint="eastAsia"/>
          <w:color w:val="auto"/>
          <w:highlight w:val="none"/>
        </w:rPr>
        <w:t>本项目实际支付资金</w:t>
      </w:r>
      <w:r>
        <w:rPr>
          <w:rFonts w:hint="eastAsia"/>
          <w:color w:val="auto"/>
          <w:highlight w:val="none"/>
          <w:lang w:val="en-US" w:eastAsia="zh-CN"/>
        </w:rPr>
        <w:t>59.19</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支付办公费12.38万元、水费1.55万元、电费6.63万元、邮电费1.69万元、维修费11.52万元、培训费0.044万元、劳务费4.52万元、其他商品和服务支出0.78万元、助学金20.08万元、办公设备购置0.3万元。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ind w:firstLine="562"/>
        <w:rPr>
          <w:rFonts w:hint="eastAsia"/>
          <w:b w:val="0"/>
          <w:bCs w:val="0"/>
          <w:color w:val="auto"/>
          <w:highlight w:val="none"/>
          <w:lang w:val="en-US" w:eastAsia="zh-CN"/>
        </w:rPr>
      </w:pPr>
      <w:r>
        <w:rPr>
          <w:rFonts w:hint="eastAsia"/>
          <w:b w:val="0"/>
          <w:bCs w:val="0"/>
          <w:color w:val="auto"/>
          <w:highlight w:val="none"/>
          <w:lang w:val="en-US" w:eastAsia="zh-CN"/>
        </w:rPr>
        <w:t>保障本片去416名农村在园幼儿免费接受学前三年教育,提高我县农村学前国语教育覆盖率，完善学前教育体系，持续推进学前教育事业发展。</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“享受学前教育资助的幼儿园数量”指标，预期指标值为</w:t>
      </w:r>
      <w:r>
        <w:rPr>
          <w:rFonts w:hint="eastAsia"/>
          <w:color w:val="auto"/>
          <w:highlight w:val="none"/>
          <w:lang w:val="en-US" w:eastAsia="zh-CN"/>
        </w:rPr>
        <w:t>≥10所</w:t>
      </w:r>
      <w:r>
        <w:rPr>
          <w:rFonts w:hint="eastAsia"/>
          <w:color w:val="auto"/>
          <w:highlight w:val="none"/>
        </w:rPr>
        <w:t>；</w:t>
      </w:r>
    </w:p>
    <w:p>
      <w:pPr>
        <w:ind w:firstLine="560"/>
        <w:rPr>
          <w:rFonts w:hint="eastAsia"/>
          <w:color w:val="auto"/>
          <w:highlight w:val="none"/>
        </w:rPr>
      </w:pPr>
      <w:r>
        <w:rPr>
          <w:rFonts w:hint="eastAsia"/>
          <w:color w:val="auto"/>
          <w:highlight w:val="none"/>
        </w:rPr>
        <w:t>“享受学前教育资助的幼儿人数”指标，预期指标值</w:t>
      </w:r>
      <w:r>
        <w:rPr>
          <w:rFonts w:hint="eastAsia"/>
          <w:color w:val="auto"/>
          <w:highlight w:val="none"/>
          <w:lang w:eastAsia="zh-CN"/>
        </w:rPr>
        <w:t>为</w:t>
      </w:r>
      <w:r>
        <w:rPr>
          <w:rFonts w:hint="eastAsia"/>
          <w:color w:val="auto"/>
          <w:highlight w:val="none"/>
          <w:lang w:val="en-US" w:eastAsia="zh-CN"/>
        </w:rPr>
        <w:t>482人</w:t>
      </w:r>
      <w:r>
        <w:rPr>
          <w:rFonts w:hint="eastAsia"/>
          <w:color w:val="auto"/>
          <w:highlight w:val="none"/>
        </w:rPr>
        <w:t>。</w:t>
      </w:r>
    </w:p>
    <w:p>
      <w:pPr>
        <w:ind w:firstLine="560"/>
        <w:rPr>
          <w:rFonts w:hint="eastAsia"/>
          <w:color w:val="auto"/>
          <w:highlight w:val="none"/>
        </w:rPr>
      </w:pPr>
      <w:r>
        <w:rPr>
          <w:rFonts w:hint="eastAsia"/>
          <w:color w:val="auto"/>
          <w:highlight w:val="none"/>
        </w:rPr>
        <w:t>“普惠性学前教育资源覆盖率”指标，预期指标值为</w:t>
      </w:r>
      <w:r>
        <w:rPr>
          <w:rFonts w:hint="eastAsia"/>
          <w:color w:val="auto"/>
          <w:highlight w:val="none"/>
          <w:lang w:val="en-US" w:eastAsia="zh-CN"/>
        </w:rPr>
        <w:t>≥95%</w:t>
      </w:r>
      <w:r>
        <w:rPr>
          <w:rFonts w:hint="eastAsia"/>
          <w:color w:val="auto"/>
          <w:highlight w:val="none"/>
        </w:rPr>
        <w:t>。</w:t>
      </w:r>
    </w:p>
    <w:p>
      <w:pPr>
        <w:ind w:firstLine="560"/>
        <w:rPr>
          <w:rFonts w:hint="eastAsia"/>
          <w:color w:val="auto"/>
          <w:highlight w:val="none"/>
        </w:rPr>
      </w:pPr>
      <w:r>
        <w:rPr>
          <w:rFonts w:hint="eastAsia"/>
          <w:color w:val="auto"/>
          <w:highlight w:val="none"/>
        </w:rPr>
        <w:t>“公办园在园幼儿占比”指标，预期指标值为</w:t>
      </w:r>
      <w:r>
        <w:rPr>
          <w:rFonts w:hint="eastAsia"/>
          <w:color w:val="auto"/>
          <w:highlight w:val="none"/>
          <w:lang w:val="en-US" w:eastAsia="zh-CN"/>
        </w:rPr>
        <w:t>≥95%</w:t>
      </w:r>
      <w:r>
        <w:rPr>
          <w:rFonts w:hint="eastAsia"/>
          <w:color w:val="auto"/>
          <w:highlight w:val="none"/>
        </w:rPr>
        <w:t>。</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“农村学前国语教育覆盖率”指标，预期指标值为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“专业幼师上岗率”指标，预期指标值为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eastAsia"/>
          <w:color w:val="auto"/>
          <w:highlight w:val="none"/>
        </w:rPr>
      </w:pPr>
      <w:r>
        <w:rPr>
          <w:rFonts w:hint="eastAsia"/>
          <w:color w:val="auto"/>
          <w:highlight w:val="none"/>
        </w:rPr>
        <w:t>“资金拨付及时率”指标，预期指标值为</w:t>
      </w:r>
      <w:r>
        <w:rPr>
          <w:rFonts w:hint="eastAsia"/>
          <w:color w:val="auto"/>
          <w:highlight w:val="none"/>
          <w:lang w:val="en-US" w:eastAsia="zh-CN"/>
        </w:rPr>
        <w:t>＝100%</w:t>
      </w:r>
      <w:r>
        <w:rPr>
          <w:rFonts w:hint="eastAsia"/>
          <w:color w:val="auto"/>
          <w:highlight w:val="none"/>
        </w:rPr>
        <w:t>；</w:t>
      </w:r>
    </w:p>
    <w:p>
      <w:pP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pP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rPr>
      </w:pPr>
      <w:r>
        <w:rPr>
          <w:rFonts w:hint="eastAsia"/>
          <w:color w:val="auto"/>
          <w:highlight w:val="none"/>
        </w:rPr>
        <w:t>“学前教育资助经费平均发放标准”指标，预期指标值</w:t>
      </w:r>
      <w:r>
        <w:rPr>
          <w:rFonts w:hint="eastAsia"/>
          <w:color w:val="auto"/>
          <w:highlight w:val="none"/>
          <w:lang w:eastAsia="zh-CN"/>
        </w:rPr>
        <w:t>为</w:t>
      </w:r>
      <w:r>
        <w:rPr>
          <w:rFonts w:hint="eastAsia"/>
          <w:color w:val="auto"/>
          <w:highlight w:val="none"/>
          <w:lang w:val="en-US" w:eastAsia="zh-CN"/>
        </w:rPr>
        <w:t>1227.8元/人/学年</w:t>
      </w:r>
      <w:r>
        <w:rPr>
          <w:rFonts w:hint="eastAsia"/>
          <w:color w:val="auto"/>
          <w:highlight w:val="none"/>
        </w:rPr>
        <w:t>；</w:t>
      </w:r>
    </w:p>
    <w:p>
      <w:pPr>
        <w:ind w:firstLine="560"/>
        <w:rPr>
          <w:rFonts w:hint="eastAsia"/>
          <w:color w:val="auto"/>
          <w:highlight w:val="none"/>
        </w:rPr>
      </w:pPr>
      <w:r>
        <w:rPr>
          <w:rFonts w:hint="eastAsia"/>
          <w:color w:val="auto"/>
          <w:highlight w:val="none"/>
        </w:rPr>
        <w:t>“学前教育资助经费人员变动预拨资金”指标，预期指标值</w:t>
      </w:r>
      <w:r>
        <w:rPr>
          <w:rFonts w:hint="eastAsia"/>
          <w:color w:val="auto"/>
          <w:highlight w:val="none"/>
          <w:lang w:eastAsia="zh-CN"/>
        </w:rPr>
        <w:t>为</w:t>
      </w:r>
      <w:r>
        <w:rPr>
          <w:rFonts w:hint="eastAsia"/>
          <w:color w:val="auto"/>
          <w:highlight w:val="none"/>
          <w:lang w:val="en-US" w:eastAsia="zh-CN"/>
        </w:rPr>
        <w:t>100元</w:t>
      </w:r>
    </w:p>
    <w:p>
      <w:pPr>
        <w:pStyle w:val="2"/>
        <w:ind w:left="0" w:leftChars="0" w:firstLine="560" w:firstLineChars="20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pPr>
        <w:ind w:firstLine="560"/>
        <w:rPr>
          <w:rFonts w:hint="default"/>
          <w:color w:val="auto"/>
          <w:highlight w:val="none"/>
          <w:lang w:val="en-US" w:eastAsia="zh-CN"/>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rPr>
        <w:t>②社会效益指标</w:t>
      </w:r>
    </w:p>
    <w:p>
      <w:pPr>
        <w:ind w:firstLine="560"/>
        <w:rPr>
          <w:rFonts w:hint="eastAsia"/>
          <w:color w:val="auto"/>
          <w:highlight w:val="none"/>
        </w:rPr>
      </w:pPr>
      <w:r>
        <w:rPr>
          <w:rFonts w:hint="eastAsia"/>
          <w:color w:val="auto"/>
          <w:highlight w:val="none"/>
        </w:rPr>
        <w:t>“保障农村适龄幼儿接受免费学前教育”指标，预期指标值为有效</w:t>
      </w:r>
      <w:r>
        <w:rPr>
          <w:rFonts w:hint="eastAsia"/>
          <w:color w:val="auto"/>
          <w:highlight w:val="none"/>
          <w:lang w:val="en-US" w:eastAsia="zh-CN"/>
        </w:rPr>
        <w:t>提高</w:t>
      </w:r>
      <w:r>
        <w:rPr>
          <w:rFonts w:hint="eastAsia"/>
          <w:color w:val="auto"/>
          <w:highlight w:val="none"/>
        </w:rPr>
        <w:t>；</w:t>
      </w:r>
    </w:p>
    <w:p>
      <w:pPr>
        <w:ind w:firstLine="560"/>
        <w:rPr>
          <w:color w:val="auto"/>
          <w:highlight w:val="none"/>
        </w:rPr>
      </w:pPr>
      <w:r>
        <w:rPr>
          <w:rFonts w:hint="eastAsia"/>
          <w:color w:val="auto"/>
          <w:highlight w:val="none"/>
        </w:rPr>
        <w:t>“学前三年毛入率”指标，预期指标值为</w:t>
      </w:r>
      <w:r>
        <w:rPr>
          <w:rFonts w:hint="eastAsia"/>
          <w:color w:val="auto"/>
          <w:highlight w:val="none"/>
          <w:lang w:val="en-US" w:eastAsia="zh-CN"/>
        </w:rPr>
        <w:t>≥100%</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pPr>
        <w:ind w:firstLine="560"/>
        <w:rPr>
          <w:color w:val="auto"/>
          <w:highlight w:val="none"/>
        </w:rPr>
      </w:pPr>
      <w:r>
        <w:rPr>
          <w:rFonts w:hint="eastAsia"/>
          <w:color w:val="auto"/>
          <w:highlight w:val="none"/>
        </w:rPr>
        <w:t>①满意度指标</w:t>
      </w:r>
    </w:p>
    <w:p>
      <w:pPr>
        <w:ind w:firstLine="560"/>
        <w:rPr>
          <w:color w:val="auto"/>
          <w:highlight w:val="none"/>
        </w:rPr>
      </w:pPr>
      <w:r>
        <w:rPr>
          <w:rFonts w:hint="eastAsia"/>
          <w:color w:val="auto"/>
          <w:highlight w:val="none"/>
        </w:rPr>
        <w:t>“受益幼儿家长满意度”指标，预期指标值为≥9</w:t>
      </w:r>
      <w:r>
        <w:rPr>
          <w:rFonts w:hint="eastAsia"/>
          <w:color w:val="auto"/>
          <w:highlight w:val="none"/>
          <w:lang w:val="en-US" w:eastAsia="zh-CN"/>
        </w:rPr>
        <w:t>0</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2"/>
        </w:numPr>
        <w:ind w:firstLine="643"/>
        <w:rPr>
          <w:rFonts w:ascii="楷体" w:hAnsi="楷体" w:cs="楷体"/>
          <w:color w:val="auto"/>
          <w:szCs w:val="32"/>
          <w:highlight w:val="none"/>
        </w:rPr>
      </w:pPr>
      <w:bookmarkStart w:id="0" w:name="_Toc21664"/>
      <w:bookmarkStart w:id="1" w:name="_Toc5258"/>
      <w:bookmarkStart w:id="2" w:name="_Toc26632"/>
      <w:bookmarkStart w:id="3" w:name="_Toc22922"/>
      <w:bookmarkStart w:id="4" w:name="_Toc12868"/>
      <w:bookmarkStart w:id="5" w:name="_Toc5462343"/>
      <w:bookmarkStart w:id="6" w:name="_Toc480473081"/>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eastAsia="zh-CN"/>
        </w:rPr>
        <w:t>2023年学前教育幼儿资助县级配套</w:t>
      </w: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2"/>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5"/>
        <w:ind w:firstLine="562"/>
        <w:rPr>
          <w:color w:val="auto"/>
          <w:highlight w:val="none"/>
        </w:rPr>
      </w:pPr>
      <w:bookmarkStart w:id="8" w:name="_Toc428278230"/>
      <w:bookmarkStart w:id="9" w:name="_Toc419984722"/>
      <w:bookmarkStart w:id="10" w:name="_Toc1913"/>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pPr>
        <w:pStyle w:val="5"/>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5"/>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4"/>
        <w:numPr>
          <w:ilvl w:val="0"/>
          <w:numId w:val="2"/>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（1）评价组组长：周永杰，</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（2）评价组成员：蔡红军，马贵林，雪瑞，杨霞，周晓慧，</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left="0" w:leftChars="0" w:firstLine="0" w:firstLineChars="0"/>
        <w:rPr>
          <w:rFonts w:hint="eastAsia" w:ascii="Times New Roman" w:hAnsi="Times New Roman" w:cs="Times New Roman"/>
          <w:color w:val="auto"/>
          <w:highlight w:val="none"/>
          <w:lang w:val="en-US" w:eastAsia="zh-CN"/>
        </w:rPr>
      </w:pPr>
      <w:r>
        <w:rPr>
          <w:rFonts w:hint="eastAsia"/>
          <w:color w:val="auto"/>
          <w:highlight w:val="none"/>
        </w:rPr>
        <w:t>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3"/>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开展预算绩效管理工作这一部门职责范围相符，属于部门履职所需；本</w:t>
      </w:r>
      <w:r>
        <w:rPr>
          <w:rFonts w:hint="eastAsia"/>
          <w:color w:val="auto"/>
          <w:highlight w:val="none"/>
          <w:lang w:eastAsia="zh-CN"/>
        </w:rPr>
        <w:t>项目绩效目标与实际工作内容具有相关性；</w:t>
      </w:r>
      <w:r>
        <w:rPr>
          <w:rFonts w:hint="eastAsia"/>
          <w:color w:val="auto"/>
          <w:highlight w:val="none"/>
        </w:rPr>
        <w:t>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pPr>
        <w:ind w:firstLine="560"/>
        <w:rPr>
          <w:rFonts w:hint="eastAsia"/>
          <w:color w:val="auto"/>
          <w:highlight w:val="none"/>
          <w:u w:color="000000"/>
          <w:lang w:val="zh-TW" w:eastAsia="zh-CN"/>
        </w:rPr>
      </w:pPr>
      <w:r>
        <w:rPr>
          <w:rFonts w:hint="eastAsia"/>
          <w:color w:val="auto"/>
          <w:highlight w:val="none"/>
          <w:lang w:eastAsia="zh-CN"/>
        </w:rPr>
        <w:t>项目产出方面：</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享受学前教育资助的幼儿园数量10所</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完成享享受学前教育资助的幼儿人数416人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完成义务普惠性学前教育资源覆盖率100%。</w:t>
      </w:r>
    </w:p>
    <w:p>
      <w:pPr>
        <w:bidi w:val="0"/>
        <w:rPr>
          <w:rFonts w:hint="eastAsia" w:ascii="仿宋_GB2312" w:hAnsi="仿宋_GB2312" w:eastAsia="仿宋_GB2312" w:cs="仿宋_GB2312"/>
          <w:color w:val="auto"/>
          <w:sz w:val="28"/>
          <w:szCs w:val="28"/>
          <w:highlight w:val="none"/>
          <w:lang w:val="en-US" w:eastAsia="zh-CN"/>
        </w:rPr>
      </w:pPr>
      <w:r>
        <w:rPr>
          <w:rFonts w:hint="eastAsia"/>
          <w:color w:val="auto"/>
          <w:highlight w:val="none"/>
          <w:lang w:eastAsia="zh-CN"/>
        </w:rPr>
        <w:t>项目效益方面：</w:t>
      </w:r>
      <w:r>
        <w:rPr>
          <w:rFonts w:hint="eastAsia" w:ascii="仿宋_GB2312" w:hAnsi="仿宋_GB2312" w:cs="仿宋_GB2312"/>
          <w:color w:val="auto"/>
          <w:sz w:val="28"/>
          <w:szCs w:val="28"/>
          <w:highlight w:val="none"/>
          <w:lang w:val="en-US" w:eastAsia="zh-CN"/>
        </w:rPr>
        <w:t>保障博斯坦片区幼儿园416名农村在园幼儿免费接受学前三年教育,提高我县农村学前国语教育覆盖率，完善学前教育体系，持续推进学前教育事业发展。</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93.18分，绩效评级为“优秀”。综合评价结论如下：本项目决策指标共设置6个，满分20分，得分率100%；项目过程指标共设置5个，满分20分，得分率100%；项目产出指标共设置7个，满分24分，得分率96.58%；项目成本指标共设置1个，满分12分，得分率50%；项目效益指标共设置3个，满分24分，得分率100%。</w:t>
      </w:r>
    </w:p>
    <w:p>
      <w:pPr>
        <w:pStyle w:val="3"/>
        <w:numPr>
          <w:ilvl w:val="0"/>
          <w:numId w:val="3"/>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val="en-US" w:eastAsia="zh-CN"/>
        </w:rPr>
        <w:t>3</w:t>
      </w:r>
      <w:r>
        <w:rPr>
          <w:rFonts w:hint="eastAsia"/>
          <w:color w:val="auto"/>
          <w:highlight w:val="none"/>
          <w:lang w:eastAsia="zh-CN"/>
        </w:rPr>
        <w:t>个二级指标和</w:t>
      </w:r>
      <w:r>
        <w:rPr>
          <w:rFonts w:hint="eastAsia"/>
          <w:color w:val="auto"/>
          <w:highlight w:val="none"/>
          <w:lang w:val="en-US" w:eastAsia="zh-CN"/>
        </w:rPr>
        <w:t>6</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项目按照规定的《中华人民共和国预算法》程序申请设立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保障本片区416名农村在园幼儿免费接受学前三年教育,提高我县农村学前国语教育覆盖率，完善学前教育体系，持续推进学前教育事业发展。</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59.19</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59.19</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100%</w:t>
      </w:r>
      <w:r>
        <w:rPr>
          <w:rFonts w:hint="eastAsia"/>
          <w:color w:val="auto"/>
          <w:highlight w:val="none"/>
          <w:lang w:eastAsia="zh-CN"/>
        </w:rPr>
        <w:t>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59.19</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保障县域居民享受城乡义务教育，解决各义务教育学校正常运转经费，改善教育教学环境、提高教育教学质量</w:t>
      </w:r>
      <w:r>
        <w:rPr>
          <w:rFonts w:hint="eastAsia" w:ascii="仿宋_GB2312" w:cs="仿宋_GB2312"/>
          <w:color w:val="auto"/>
          <w:sz w:val="28"/>
          <w:szCs w:val="28"/>
          <w:highlight w:val="none"/>
        </w:rPr>
        <w:t>，</w:t>
      </w:r>
      <w:r>
        <w:rPr>
          <w:rFonts w:hint="eastAsia"/>
          <w:color w:val="auto"/>
          <w:highlight w:val="none"/>
          <w:lang w:eastAsia="zh-CN"/>
        </w:rPr>
        <w:t>预算内容与项目</w:t>
      </w:r>
      <w:r>
        <w:rPr>
          <w:rFonts w:hint="eastAsia"/>
          <w:color w:val="auto"/>
          <w:highlight w:val="none"/>
          <w:lang w:val="en-US" w:eastAsia="zh-CN"/>
        </w:rPr>
        <w:t>大致</w:t>
      </w:r>
      <w:r>
        <w:rPr>
          <w:rFonts w:hint="eastAsia"/>
          <w:color w:val="auto"/>
          <w:highlight w:val="none"/>
          <w:lang w:eastAsia="zh-CN"/>
        </w:rPr>
        <w:t>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ind w:firstLine="560"/>
        <w:rPr>
          <w:rFonts w:hint="default" w:eastAsia="仿宋_GB2312"/>
          <w:b w:val="0"/>
          <w:bCs w:val="0"/>
          <w:color w:val="auto"/>
          <w:highlight w:val="none"/>
          <w:lang w:val="en-US" w:eastAsia="zh-CN"/>
        </w:rPr>
      </w:pPr>
      <w:r>
        <w:rPr>
          <w:rFonts w:hint="eastAsia"/>
          <w:color w:val="auto"/>
          <w:highlight w:val="none"/>
        </w:rPr>
        <w:t>本项目实际支付资金</w:t>
      </w:r>
      <w:r>
        <w:rPr>
          <w:rFonts w:hint="eastAsia"/>
          <w:color w:val="auto"/>
          <w:highlight w:val="none"/>
          <w:lang w:val="en-US" w:eastAsia="zh-CN"/>
        </w:rPr>
        <w:t>59.19</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支付办公费12.38万元、水费1.55万元、电费6.63万元、邮电费1.69万元、维修费11.52万元、培训费0.044万元、劳务费4.52万元、其他商品和服务支出0.78万元、助学金20.08万元、办公设备购置0.3万元。</w:t>
      </w:r>
    </w:p>
    <w:p>
      <w:pPr>
        <w:ind w:firstLine="560"/>
        <w:rPr>
          <w:b w:val="0"/>
          <w:bCs w:val="0"/>
          <w:color w:val="auto"/>
          <w:highlight w:val="none"/>
        </w:rPr>
      </w:pP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关于提前下达2022年新疆西藏等地区教育特殊补助资金预算的通知，自治区农村学前三年免费教育保障机制经费吐市财文【2021】126号，关于提前下达2022年教育非直达资金预算的通知等</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59.19</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59.19</w:t>
      </w:r>
      <w:r>
        <w:rPr>
          <w:rFonts w:hint="eastAsia"/>
          <w:color w:val="auto"/>
          <w:highlight w:val="none"/>
        </w:rPr>
        <w:t>万元，实际到位资金</w:t>
      </w:r>
      <w:r>
        <w:rPr>
          <w:rFonts w:hint="eastAsia"/>
          <w:color w:val="auto"/>
          <w:highlight w:val="none"/>
          <w:lang w:val="en-US" w:eastAsia="zh-CN"/>
        </w:rPr>
        <w:t>59.19</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59.19</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59.19</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59.19/59.19</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23.18</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96.58</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482人</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416名</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86.3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5.18分</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lang w:val="en-US" w:eastAsia="zh-CN"/>
        </w:rPr>
        <w:t>由于幼儿人数变动，保障资金支付工作顺利完成。</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3.时效指标完成情况分析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4"/>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（四）项目成本情况</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项目成本类指标包括经济成本、社会成本、生态环境成本三个方面的内容，本项目仅涉及经济成本指标。权重分为12分，实际得分6分，得分率为50%。</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学前教育资助经费人员变动预拨资金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81135.2元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，2023年经费依据2022年学生人数申报并设置目标，203年实际执行过程中学生人数减少，导致变动资金增加</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2.社会成本指标完成情况分析</w:t>
      </w:r>
    </w:p>
    <w:p>
      <w:pPr>
        <w:pStyle w:val="2"/>
        <w:ind w:left="0" w:leftChars="0" w:firstLine="560" w:firstLineChars="200"/>
        <w:rPr>
          <w:rFonts w:hint="eastAsia"/>
        </w:rPr>
      </w:pPr>
      <w:r>
        <w:rPr>
          <w:rFonts w:hint="eastAsia"/>
        </w:rPr>
        <w:t>无</w:t>
      </w:r>
    </w:p>
    <w:p>
      <w:pPr>
        <w:pStyle w:val="5"/>
        <w:bidi w:val="0"/>
        <w:rPr>
          <w:rFonts w:hint="eastAsia"/>
          <w:color w:val="auto"/>
          <w:highlight w:val="none"/>
          <w:lang w:val="en-US" w:eastAsia="zh-CN"/>
        </w:rPr>
      </w:pPr>
      <w:r>
        <w:rPr>
          <w:rFonts w:hint="eastAsia"/>
          <w:color w:val="auto"/>
          <w:highlight w:val="none"/>
          <w:lang w:val="en-US" w:eastAsia="zh-CN"/>
        </w:rPr>
        <w:t>3.生态环境成本指标完成情况分析</w:t>
      </w:r>
    </w:p>
    <w:p>
      <w:pPr>
        <w:pStyle w:val="2"/>
        <w:ind w:left="0" w:leftChars="0" w:firstLine="560" w:firstLineChars="200"/>
        <w:rPr>
          <w:rFonts w:hint="eastAsia"/>
        </w:rPr>
      </w:pPr>
      <w:r>
        <w:rPr>
          <w:rFonts w:hint="eastAsia"/>
        </w:rPr>
        <w:t>无</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5</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numPr>
          <w:ilvl w:val="0"/>
          <w:numId w:val="0"/>
        </w:numPr>
        <w:bidi w:val="0"/>
        <w:ind w:firstLine="562" w:firstLineChars="200"/>
        <w:rPr>
          <w:rFonts w:hint="eastAsia" w:ascii="仿宋_GB2312" w:hAnsi="仿宋_GB2312" w:cs="仿宋_GB2312"/>
          <w:b/>
          <w:bCs/>
          <w:color w:val="auto"/>
          <w:sz w:val="28"/>
          <w:szCs w:val="28"/>
          <w:highlight w:val="none"/>
          <w:lang w:val="en-US" w:eastAsia="zh-CN"/>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rPr>
          <w:rFonts w:hint="default"/>
          <w:b w:val="0"/>
          <w:bCs w:val="0"/>
          <w:color w:val="auto"/>
          <w:highlight w:val="none"/>
          <w:lang w:val="en-US" w:eastAsia="zh-CN"/>
        </w:rPr>
      </w:pPr>
      <w:r>
        <w:rPr>
          <w:rFonts w:hint="eastAsia" w:ascii="仿宋_GB2312" w:hAnsi="仿宋_GB2312" w:cs="仿宋_GB2312"/>
          <w:b w:val="0"/>
          <w:bCs w:val="0"/>
          <w:color w:val="auto"/>
          <w:sz w:val="28"/>
          <w:szCs w:val="28"/>
          <w:highlight w:val="none"/>
          <w:lang w:val="en-US" w:eastAsia="zh-CN"/>
        </w:rPr>
        <w:t>无</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保障农村适龄幼儿接受免费学前教育</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学前三年毛入率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基本达成目标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3"/>
        <w:numPr>
          <w:ilvl w:val="0"/>
          <w:numId w:val="3"/>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资金59.19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资金59.19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59.19</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90.5</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w:t>
      </w:r>
      <w:r>
        <w:rPr>
          <w:rFonts w:hint="eastAsia" w:ascii="仿宋_GB2312" w:hAnsi="仿宋_GB2312" w:cs="仿宋_GB2312"/>
          <w:color w:val="auto"/>
          <w:sz w:val="28"/>
          <w:szCs w:val="28"/>
          <w:highlight w:val="none"/>
          <w:lang w:val="en-US" w:eastAsia="zh-CN"/>
        </w:rPr>
        <w:t>-9.5%。</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482名</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416名</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86.3</w:t>
      </w:r>
      <w:r>
        <w:rPr>
          <w:rFonts w:hint="eastAsia" w:ascii="仿宋_GB2312" w:hAnsi="仿宋_GB2312" w:cs="仿宋_GB2312"/>
          <w:color w:val="auto"/>
          <w:sz w:val="28"/>
          <w:szCs w:val="28"/>
          <w:highlight w:val="none"/>
        </w:rPr>
        <w:t>%</w:t>
      </w:r>
      <w:r>
        <w:rPr>
          <w:rFonts w:hint="eastAsia"/>
          <w:color w:val="auto"/>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13.7%</w:t>
      </w:r>
      <w:r>
        <w:rPr>
          <w:rFonts w:hint="eastAsia" w:ascii="仿宋_GB2312" w:hAnsi="仿宋_GB2312" w:cs="仿宋_GB2312"/>
          <w:color w:val="auto"/>
          <w:sz w:val="28"/>
          <w:szCs w:val="28"/>
          <w:highlight w:val="none"/>
        </w:rPr>
        <w:t>。</w:t>
      </w:r>
    </w:p>
    <w:p>
      <w:pPr>
        <w:bidi w:val="0"/>
        <w:rPr>
          <w:rFonts w:hint="eastAsia" w:eastAsia="仿宋_GB2312"/>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学前教育资助经费人员变动预拨资金</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81135.2元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rPr>
          <w:rFonts w:hint="eastAsia"/>
          <w:color w:val="auto"/>
          <w:highlight w:val="none"/>
        </w:rPr>
      </w:pP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left="197" w:leftChars="0" w:firstLine="643" w:firstLineChars="0"/>
        <w:rPr>
          <w:color w:val="auto"/>
          <w:highlight w:val="none"/>
        </w:rPr>
      </w:pPr>
      <w:bookmarkStart w:id="16" w:name="_Toc1921"/>
      <w:bookmarkStart w:id="17" w:name="_Toc28290"/>
      <w:r>
        <w:rPr>
          <w:rFonts w:hint="eastAsia"/>
          <w:color w:val="auto"/>
          <w:highlight w:val="none"/>
        </w:rPr>
        <w:t>主要经验及做法</w:t>
      </w:r>
    </w:p>
    <w:bookmarkEnd w:id="16"/>
    <w:bookmarkEnd w:id="17"/>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pPr>
        <w:pStyle w:val="4"/>
        <w:numPr>
          <w:ilvl w:val="0"/>
          <w:numId w:val="4"/>
        </w:numPr>
        <w:ind w:left="197" w:leftChars="0" w:firstLine="643" w:firstLineChars="0"/>
        <w:rPr>
          <w:color w:val="auto"/>
          <w:highlight w:val="none"/>
        </w:rPr>
      </w:pPr>
      <w:r>
        <w:rPr>
          <w:rFonts w:hint="eastAsia"/>
          <w:color w:val="auto"/>
          <w:highlight w:val="none"/>
        </w:rPr>
        <w:t>存在的问题及原因分析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该项目在实施过程中，存在绩效指标设置还不够科学，资金管理不足等问题。导致以上问题的原因：一是对项目资金管理工作不够重视；二是对预算管理的相关知识缺乏足够的理解；三是预算管理不到位。</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一是跟进业务工作支出需求，根据业务量变化及时发现资金缺口并按规定办理项目追加，保障各学校日常公用经费正常开支，学校正常运转。</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二是合理安排使用资金，严抓专项资金的规范使用。为保证资金的安全、合理、高效使用， 本单位要按照有关资金管理规定，对项目资金的安排、资金使用、资金监管等严格把控。</w:t>
      </w:r>
    </w:p>
    <w:p>
      <w:pPr>
        <w:bidi w:val="0"/>
        <w:rPr>
          <w:rFonts w:ascii="仿宋_GB2312"/>
          <w:bCs/>
          <w:color w:val="auto"/>
          <w:sz w:val="32"/>
          <w:szCs w:val="32"/>
          <w:highlight w:val="none"/>
        </w:rPr>
      </w:pPr>
      <w:r>
        <w:rPr>
          <w:rFonts w:hint="eastAsia" w:ascii="仿宋_GB2312"/>
          <w:bCs/>
          <w:color w:val="auto"/>
          <w:sz w:val="32"/>
          <w:szCs w:val="32"/>
          <w:highlight w:val="none"/>
        </w:rPr>
        <w:t>三是强化公开公示制度。财政部门，资金管理和使用部门，要按照有关规定进行公开公示，包括预算的公开、执行情况的公开等等。涉及到企业和相关人员的单位，也要进行公示，通过公开和公示自觉接受社会的监督。</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pPr>
        <w:ind w:left="197"/>
      </w:pPr>
      <w:rPr>
        <w:rFonts w:hint="eastAsia"/>
      </w:rPr>
    </w:lvl>
  </w:abstractNum>
  <w:abstractNum w:abstractNumId="3">
    <w:nsid w:val="53E39B23"/>
    <w:multiLevelType w:val="singleLevel"/>
    <w:tmpl w:val="53E39B23"/>
    <w:lvl w:ilvl="0" w:tentative="0">
      <w:start w:val="1"/>
      <w:numFmt w:val="decimalEnclosedCircleChinese"/>
      <w:suff w:val="nothing"/>
      <w:lvlText w:val="%1　"/>
      <w:lvlJc w:val="left"/>
      <w:pPr>
        <w:ind w:left="0" w:firstLine="40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127582"/>
    <w:rsid w:val="022C2BA3"/>
    <w:rsid w:val="025956BB"/>
    <w:rsid w:val="03642D73"/>
    <w:rsid w:val="04F4673E"/>
    <w:rsid w:val="0C590374"/>
    <w:rsid w:val="0C63699C"/>
    <w:rsid w:val="0C675DD7"/>
    <w:rsid w:val="0EA93324"/>
    <w:rsid w:val="1138058D"/>
    <w:rsid w:val="11FC1ECD"/>
    <w:rsid w:val="1288063A"/>
    <w:rsid w:val="12E64D4C"/>
    <w:rsid w:val="13390737"/>
    <w:rsid w:val="135B692A"/>
    <w:rsid w:val="175353D7"/>
    <w:rsid w:val="17B35DB7"/>
    <w:rsid w:val="18982224"/>
    <w:rsid w:val="1A037B71"/>
    <w:rsid w:val="1CC65FAB"/>
    <w:rsid w:val="1CD676AD"/>
    <w:rsid w:val="1FB8106C"/>
    <w:rsid w:val="20242C72"/>
    <w:rsid w:val="223905D4"/>
    <w:rsid w:val="22DD3655"/>
    <w:rsid w:val="23B01F7E"/>
    <w:rsid w:val="23FC4571"/>
    <w:rsid w:val="2493704D"/>
    <w:rsid w:val="254C061E"/>
    <w:rsid w:val="25D32AED"/>
    <w:rsid w:val="2644007A"/>
    <w:rsid w:val="266100F9"/>
    <w:rsid w:val="28153891"/>
    <w:rsid w:val="29BA1697"/>
    <w:rsid w:val="2C792E15"/>
    <w:rsid w:val="2D7B180B"/>
    <w:rsid w:val="2E941121"/>
    <w:rsid w:val="2F803CE6"/>
    <w:rsid w:val="2FAF5F15"/>
    <w:rsid w:val="341B222F"/>
    <w:rsid w:val="35496A51"/>
    <w:rsid w:val="356E624F"/>
    <w:rsid w:val="360B779B"/>
    <w:rsid w:val="367A41E5"/>
    <w:rsid w:val="39330366"/>
    <w:rsid w:val="3D516CC2"/>
    <w:rsid w:val="3DB040EC"/>
    <w:rsid w:val="3F0331D2"/>
    <w:rsid w:val="3FAD084D"/>
    <w:rsid w:val="41902019"/>
    <w:rsid w:val="41BB054D"/>
    <w:rsid w:val="41C85424"/>
    <w:rsid w:val="41EC520B"/>
    <w:rsid w:val="422E6181"/>
    <w:rsid w:val="427D40B5"/>
    <w:rsid w:val="42C779A3"/>
    <w:rsid w:val="43D163CE"/>
    <w:rsid w:val="454442ED"/>
    <w:rsid w:val="45D938AD"/>
    <w:rsid w:val="468772B0"/>
    <w:rsid w:val="4A01554A"/>
    <w:rsid w:val="4B233142"/>
    <w:rsid w:val="4E7F7354"/>
    <w:rsid w:val="51894824"/>
    <w:rsid w:val="52B458D1"/>
    <w:rsid w:val="52C55120"/>
    <w:rsid w:val="539435F4"/>
    <w:rsid w:val="53F8370C"/>
    <w:rsid w:val="558C043F"/>
    <w:rsid w:val="56877C24"/>
    <w:rsid w:val="569F1B7A"/>
    <w:rsid w:val="5ADA1C4D"/>
    <w:rsid w:val="5D243653"/>
    <w:rsid w:val="5DF94AE0"/>
    <w:rsid w:val="5E2A1B5D"/>
    <w:rsid w:val="5E9D0F6C"/>
    <w:rsid w:val="609C79A1"/>
    <w:rsid w:val="65A36562"/>
    <w:rsid w:val="66F40C31"/>
    <w:rsid w:val="68B7537B"/>
    <w:rsid w:val="69B01D77"/>
    <w:rsid w:val="6B3709F5"/>
    <w:rsid w:val="6E0E5716"/>
    <w:rsid w:val="6E8B7C84"/>
    <w:rsid w:val="6E9543B1"/>
    <w:rsid w:val="6ECB3B2A"/>
    <w:rsid w:val="6FB870D9"/>
    <w:rsid w:val="70F3572C"/>
    <w:rsid w:val="714F6A99"/>
    <w:rsid w:val="72035AD5"/>
    <w:rsid w:val="740E280E"/>
    <w:rsid w:val="78054355"/>
    <w:rsid w:val="78BE0E43"/>
    <w:rsid w:val="797F3308"/>
    <w:rsid w:val="79F63EF5"/>
    <w:rsid w:val="7B6F4839"/>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afterLines="0" w:line="480" w:lineRule="auto"/>
      <w:ind w:left="420" w:leftChars="200"/>
    </w:pPr>
    <w:rPr>
      <w:szCs w:val="24"/>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10096</Words>
  <Characters>10712</Characters>
  <Lines>0</Lines>
  <Paragraphs>0</Paragraphs>
  <TotalTime>53</TotalTime>
  <ScaleCrop>false</ScaleCrop>
  <LinksUpToDate>false</LinksUpToDate>
  <CharactersWithSpaces>10718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2024-08-19T11:10:32Z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A34706115F8B49AB8A6569F3000F2D60</vt:lpwstr>
  </property>
</Properties>
</file>