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D9510F">
      <w:pPr>
        <w:spacing w:line="700" w:lineRule="exact"/>
        <w:ind w:left="0" w:leftChars="0" w:firstLine="0" w:firstLineChars="0"/>
        <w:jc w:val="center"/>
        <w:rPr>
          <w:rFonts w:hint="eastAsia" w:ascii="方正小标宋简体" w:hAnsi="方正小标宋简体" w:eastAsia="方正小标宋简体" w:cs="方正小标宋简体"/>
          <w:b/>
          <w:bCs/>
          <w:color w:val="auto"/>
          <w:sz w:val="44"/>
          <w:szCs w:val="44"/>
          <w:highlight w:val="none"/>
        </w:rPr>
      </w:pPr>
      <w:r>
        <w:rPr>
          <w:rFonts w:hint="eastAsia" w:ascii="方正小标宋简体" w:hAnsi="方正小标宋简体" w:eastAsia="方正小标宋简体" w:cs="方正小标宋简体"/>
          <w:b/>
          <w:bCs/>
          <w:color w:val="auto"/>
          <w:sz w:val="44"/>
          <w:szCs w:val="44"/>
          <w:highlight w:val="none"/>
        </w:rPr>
        <w:t>托克逊县卫生健康委员会基本药物制度补助项目</w:t>
      </w:r>
      <w:r>
        <w:rPr>
          <w:rFonts w:hint="eastAsia" w:ascii="方正小标宋简体" w:hAnsi="方正小标宋简体" w:eastAsia="方正小标宋简体" w:cs="方正小标宋简体"/>
          <w:b/>
          <w:bCs/>
          <w:color w:val="auto"/>
          <w:sz w:val="44"/>
          <w:szCs w:val="44"/>
          <w:highlight w:val="none"/>
          <w:lang w:val="en-US" w:eastAsia="zh-CN"/>
        </w:rPr>
        <w:t>经费</w:t>
      </w:r>
      <w:r>
        <w:rPr>
          <w:rFonts w:hint="eastAsia" w:ascii="方正小标宋简体" w:hAnsi="方正小标宋简体" w:eastAsia="方正小标宋简体" w:cs="方正小标宋简体"/>
          <w:b/>
          <w:bCs/>
          <w:color w:val="auto"/>
          <w:sz w:val="44"/>
          <w:szCs w:val="44"/>
          <w:highlight w:val="none"/>
        </w:rPr>
        <w:t>支出绩效评价报告</w:t>
      </w:r>
    </w:p>
    <w:p w14:paraId="2BB37CC4">
      <w:pPr>
        <w:pStyle w:val="2"/>
        <w:ind w:firstLine="640"/>
        <w:rPr>
          <w:color w:val="auto"/>
          <w:highlight w:val="none"/>
        </w:rPr>
      </w:pPr>
      <w:r>
        <w:rPr>
          <w:rFonts w:hint="eastAsia"/>
          <w:color w:val="auto"/>
          <w:highlight w:val="none"/>
        </w:rPr>
        <w:t>一、基本情况</w:t>
      </w:r>
    </w:p>
    <w:p w14:paraId="74F8388D">
      <w:pPr>
        <w:pStyle w:val="3"/>
        <w:ind w:firstLine="643"/>
        <w:rPr>
          <w:color w:val="auto"/>
          <w:highlight w:val="none"/>
        </w:rPr>
      </w:pPr>
      <w:r>
        <w:rPr>
          <w:rFonts w:hint="eastAsia"/>
          <w:color w:val="auto"/>
          <w:highlight w:val="none"/>
        </w:rPr>
        <w:t>（一）项目概况</w:t>
      </w:r>
    </w:p>
    <w:p w14:paraId="72ADEC37">
      <w:pPr>
        <w:pStyle w:val="4"/>
        <w:ind w:firstLine="562"/>
        <w:rPr>
          <w:color w:val="auto"/>
          <w:highlight w:val="none"/>
        </w:rPr>
      </w:pPr>
      <w:r>
        <w:rPr>
          <w:rFonts w:hint="eastAsia"/>
          <w:color w:val="auto"/>
          <w:highlight w:val="none"/>
        </w:rPr>
        <w:t>1.项目背景</w:t>
      </w:r>
    </w:p>
    <w:p w14:paraId="5DD1D67D">
      <w:pPr>
        <w:pStyle w:val="4"/>
        <w:ind w:firstLine="562"/>
        <w:rPr>
          <w:rFonts w:hint="eastAsia" w:ascii="仿宋_GB2312" w:eastAsia="仿宋_GB2312"/>
          <w:b w:val="0"/>
          <w:bCs w:val="0"/>
          <w:color w:val="auto"/>
          <w:sz w:val="28"/>
          <w:szCs w:val="28"/>
          <w:highlight w:val="none"/>
        </w:rPr>
      </w:pPr>
      <w:r>
        <w:rPr>
          <w:rFonts w:hint="eastAsia" w:ascii="仿宋_GB2312" w:eastAsia="仿宋_GB2312"/>
          <w:b w:val="0"/>
          <w:bCs w:val="0"/>
          <w:color w:val="auto"/>
          <w:sz w:val="28"/>
          <w:szCs w:val="28"/>
          <w:highlight w:val="none"/>
        </w:rPr>
        <w:t>基本药物是指为保证大多数人获得基本医疗、预防和保健服务，在任何时候以足够的数量、可靠的质量、适当的剂型，并且以个人和社会能够负担的价格可获得的药物。</w:t>
      </w:r>
    </w:p>
    <w:p w14:paraId="5B1CA4E0">
      <w:pPr>
        <w:pStyle w:val="4"/>
        <w:ind w:firstLine="562"/>
        <w:rPr>
          <w:color w:val="auto"/>
          <w:sz w:val="28"/>
          <w:szCs w:val="28"/>
          <w:highlight w:val="none"/>
        </w:rPr>
      </w:pPr>
      <w:r>
        <w:rPr>
          <w:rFonts w:hint="eastAsia"/>
          <w:color w:val="auto"/>
          <w:sz w:val="28"/>
          <w:szCs w:val="28"/>
          <w:highlight w:val="none"/>
        </w:rPr>
        <w:t>2.主要内容</w:t>
      </w:r>
    </w:p>
    <w:p w14:paraId="163FD0C6">
      <w:pPr>
        <w:ind w:firstLine="560"/>
        <w:rPr>
          <w:rFonts w:hint="eastAsia" w:ascii="仿宋_GB2312" w:hAnsi="仿宋_GB2312" w:eastAsia="仿宋_GB2312" w:cs="仿宋_GB2312"/>
          <w:color w:val="auto"/>
          <w:highlight w:val="none"/>
          <w:lang w:val="en-US" w:eastAsia="zh-CN"/>
        </w:rPr>
      </w:pPr>
      <w:r>
        <w:rPr>
          <w:rFonts w:hint="eastAsia"/>
          <w:color w:val="auto"/>
          <w:highlight w:val="none"/>
          <w:lang w:val="en-US" w:eastAsia="zh-CN"/>
        </w:rPr>
        <w:t>项目名称：2023年</w:t>
      </w:r>
      <w:r>
        <w:rPr>
          <w:rFonts w:hint="eastAsia" w:ascii="仿宋_GB2312" w:hAnsi="仿宋_GB2312" w:eastAsia="仿宋_GB2312" w:cs="仿宋_GB2312"/>
          <w:color w:val="auto"/>
          <w:highlight w:val="none"/>
          <w:lang w:val="en-US" w:eastAsia="zh-CN"/>
        </w:rPr>
        <w:t>基本药物制度补助资金</w:t>
      </w:r>
    </w:p>
    <w:p w14:paraId="72BC0CA0">
      <w:pPr>
        <w:bidi w:val="0"/>
        <w:rPr>
          <w:rFonts w:ascii="Times New Roman" w:hAnsi="Times New Roman"/>
          <w:b w:val="0"/>
          <w:bCs w:val="0"/>
          <w:color w:val="auto"/>
          <w:kern w:val="2"/>
          <w:sz w:val="28"/>
          <w:szCs w:val="28"/>
          <w:highlight w:val="none"/>
        </w:rPr>
      </w:pPr>
      <w:r>
        <w:rPr>
          <w:rFonts w:hint="eastAsia"/>
          <w:color w:val="auto"/>
          <w:highlight w:val="none"/>
          <w:lang w:val="en-US" w:eastAsia="zh-CN"/>
        </w:rPr>
        <w:t>项目主要内容：</w:t>
      </w:r>
      <w:r>
        <w:rPr>
          <w:rFonts w:hint="eastAsia" w:ascii="仿宋_GB2312" w:hAnsi="仿宋_GB2312" w:eastAsia="仿宋_GB2312" w:cs="仿宋_GB2312"/>
          <w:sz w:val="28"/>
          <w:szCs w:val="28"/>
        </w:rPr>
        <w:t>项目实施单位为托克逊县卫生健康委员会，国家基本药物制度补助项目覆盖我县7个乡镇卫生院及45个村卫生室，受益人群为我县各族人民群众。</w:t>
      </w:r>
    </w:p>
    <w:p w14:paraId="6607BDE2">
      <w:pPr>
        <w:ind w:left="0" w:leftChars="0" w:firstLine="560" w:firstLineChars="200"/>
        <w:outlineLvl w:val="9"/>
        <w:rPr>
          <w:rFonts w:hint="eastAsia"/>
          <w:color w:val="auto"/>
          <w:highlight w:val="none"/>
          <w:lang w:val="en-US" w:eastAsia="zh-CN"/>
        </w:rPr>
      </w:pPr>
      <w:r>
        <w:rPr>
          <w:rFonts w:hint="eastAsia"/>
          <w:b w:val="0"/>
          <w:bCs w:val="0"/>
          <w:color w:val="auto"/>
          <w:kern w:val="2"/>
          <w:szCs w:val="24"/>
          <w:highlight w:val="none"/>
          <w:lang w:val="en-US" w:eastAsia="zh-CN"/>
        </w:rPr>
        <w:t>主要用于以下几个方面</w:t>
      </w:r>
      <w:r>
        <w:rPr>
          <w:rFonts w:hint="eastAsia"/>
          <w:b w:val="0"/>
          <w:bCs w:val="0"/>
          <w:color w:val="auto"/>
          <w:kern w:val="2"/>
          <w:szCs w:val="24"/>
          <w:highlight w:val="none"/>
          <w:lang w:eastAsia="zh-CN"/>
        </w:rPr>
        <w:t>：</w:t>
      </w:r>
      <w:r>
        <w:rPr>
          <w:rFonts w:hint="eastAsia"/>
          <w:b w:val="0"/>
          <w:bCs w:val="0"/>
          <w:color w:val="auto"/>
          <w:kern w:val="2"/>
          <w:szCs w:val="24"/>
          <w:highlight w:val="none"/>
          <w:lang w:val="en-US" w:eastAsia="zh-CN"/>
        </w:rPr>
        <w:t>7家乡镇卫生院及45家村卫生室的基本药物补助</w:t>
      </w:r>
      <w:r>
        <w:rPr>
          <w:rFonts w:hint="eastAsia"/>
          <w:color w:val="auto"/>
          <w:highlight w:val="none"/>
          <w:lang w:val="en-US" w:eastAsia="zh-CN"/>
        </w:rPr>
        <w:t>资金。</w:t>
      </w:r>
    </w:p>
    <w:p w14:paraId="2E92F471">
      <w:pPr>
        <w:ind w:left="0" w:leftChars="0" w:firstLine="562" w:firstLineChars="200"/>
        <w:outlineLvl w:val="9"/>
        <w:rPr>
          <w:b/>
          <w:bCs/>
          <w:color w:val="auto"/>
          <w:highlight w:val="none"/>
        </w:rPr>
      </w:pPr>
      <w:r>
        <w:rPr>
          <w:rFonts w:hint="eastAsia"/>
          <w:b/>
          <w:bCs/>
          <w:color w:val="auto"/>
          <w:highlight w:val="none"/>
          <w:lang w:val="en-US" w:eastAsia="zh-CN"/>
        </w:rPr>
        <w:t>3</w:t>
      </w:r>
      <w:r>
        <w:rPr>
          <w:rFonts w:hint="eastAsia"/>
          <w:b/>
          <w:bCs/>
          <w:color w:val="auto"/>
          <w:highlight w:val="none"/>
        </w:rPr>
        <w:t>.实施情况</w:t>
      </w:r>
    </w:p>
    <w:p w14:paraId="14B9EB99">
      <w:pPr>
        <w:ind w:firstLine="562"/>
        <w:rPr>
          <w:color w:val="auto"/>
          <w:highlight w:val="none"/>
        </w:rPr>
      </w:pPr>
      <w:r>
        <w:rPr>
          <w:rFonts w:hint="eastAsia"/>
          <w:color w:val="auto"/>
          <w:highlight w:val="none"/>
          <w:lang w:val="en-US" w:eastAsia="zh-CN"/>
        </w:rPr>
        <w:t>项目</w:t>
      </w:r>
      <w:r>
        <w:rPr>
          <w:color w:val="auto"/>
          <w:highlight w:val="none"/>
        </w:rPr>
        <w:t>实施主体：</w:t>
      </w:r>
    </w:p>
    <w:p w14:paraId="76CB2531">
      <w:pPr>
        <w:ind w:firstLine="562"/>
        <w:rPr>
          <w:rFonts w:hint="eastAsia" w:ascii="楷体_GB2312" w:hAnsi="楷体_GB2312" w:eastAsia="楷体_GB2312" w:cs="楷体_GB2312"/>
          <w:b/>
          <w:color w:val="auto"/>
          <w:sz w:val="32"/>
          <w:szCs w:val="28"/>
          <w:highlight w:val="none"/>
        </w:rPr>
      </w:pPr>
      <w:r>
        <w:rPr>
          <w:rFonts w:hint="eastAsia" w:ascii="楷体_GB2312" w:hAnsi="楷体_GB2312" w:eastAsia="楷体_GB2312" w:cs="楷体_GB2312"/>
          <w:b/>
          <w:color w:val="auto"/>
          <w:sz w:val="32"/>
          <w:szCs w:val="28"/>
          <w:highlight w:val="none"/>
        </w:rPr>
        <w:t>（1）单位职能</w:t>
      </w:r>
    </w:p>
    <w:p w14:paraId="6A6DC9F0">
      <w:pPr>
        <w:spacing w:line="560" w:lineRule="exact"/>
        <w:ind w:firstLine="560" w:firstLineChars="200"/>
        <w:outlineLvl w:val="0"/>
        <w:rPr>
          <w:rFonts w:ascii="仿宋_GB2312" w:eastAsia="仿宋_GB2312"/>
          <w:color w:val="auto"/>
          <w:sz w:val="28"/>
          <w:szCs w:val="28"/>
          <w:highlight w:val="none"/>
        </w:rPr>
      </w:pPr>
      <w:r>
        <w:rPr>
          <w:rFonts w:hint="eastAsia" w:ascii="仿宋_GB2312" w:hAnsi="仿宋_GB2312" w:cs="仿宋_GB2312"/>
          <w:color w:val="auto"/>
          <w:sz w:val="28"/>
          <w:szCs w:val="28"/>
          <w:highlight w:val="none"/>
        </w:rPr>
        <w:t>（一）</w:t>
      </w:r>
      <w:r>
        <w:rPr>
          <w:rFonts w:hint="eastAsia" w:ascii="仿宋_GB2312" w:eastAsia="仿宋_GB2312"/>
          <w:color w:val="auto"/>
          <w:sz w:val="28"/>
          <w:szCs w:val="28"/>
          <w:highlight w:val="none"/>
        </w:rPr>
        <w:t>贯彻执行国民健康政策、卫生健康事业发展法规草案、政策、规划、规章和标准。统筹规划全县卫生健康资源配置，指导全县卫生健康规划的编制和实施。制定并组织实施推进卫生健康基本公共服务均等化、普惠化、便捷化和公共资源向基层延伸等政策措施。</w:t>
      </w:r>
    </w:p>
    <w:p w14:paraId="5BC30AA6">
      <w:pPr>
        <w:spacing w:line="560" w:lineRule="exact"/>
        <w:ind w:firstLine="560" w:firstLineChars="200"/>
        <w:outlineLvl w:val="0"/>
        <w:rPr>
          <w:rFonts w:ascii="仿宋_GB2312" w:eastAsia="仿宋_GB2312"/>
          <w:color w:val="auto"/>
          <w:sz w:val="28"/>
          <w:szCs w:val="28"/>
          <w:highlight w:val="none"/>
        </w:rPr>
      </w:pPr>
      <w:r>
        <w:rPr>
          <w:rFonts w:hint="eastAsia" w:ascii="仿宋_GB2312" w:eastAsia="仿宋_GB2312"/>
          <w:color w:val="auto"/>
          <w:sz w:val="28"/>
          <w:szCs w:val="28"/>
          <w:highlight w:val="none"/>
        </w:rPr>
        <w:t>（二）协调推进深化医药卫生体制改革，研究提出深化医药卫生体制改革重大方针、政策、措施的建议。组织深化公立医院综合改革，推进管办分离，健全现代医院管理制度，制定并组织实施推动卫生健康公共服务提供主体多元化、提供方式多样化的政策措施，提出医疗服务和药品价格政策的建议。</w:t>
      </w:r>
    </w:p>
    <w:p w14:paraId="3C28089E">
      <w:pPr>
        <w:spacing w:line="560" w:lineRule="exact"/>
        <w:ind w:firstLine="560" w:firstLineChars="200"/>
        <w:outlineLvl w:val="0"/>
        <w:rPr>
          <w:rFonts w:ascii="仿宋_GB2312" w:eastAsia="仿宋_GB2312"/>
          <w:color w:val="auto"/>
          <w:sz w:val="28"/>
          <w:szCs w:val="28"/>
          <w:highlight w:val="none"/>
        </w:rPr>
      </w:pPr>
      <w:r>
        <w:rPr>
          <w:rFonts w:hint="eastAsia" w:ascii="仿宋_GB2312" w:eastAsia="仿宋_GB2312"/>
          <w:color w:val="auto"/>
          <w:sz w:val="28"/>
          <w:szCs w:val="28"/>
          <w:highlight w:val="none"/>
        </w:rPr>
        <w:t>（三）贯彻落实国家药物政策和国家基本药物制度，开展药品使用监测、临床综合评价和短缺药品预警。执行国家药品法典，提出基本药物价格政策的建议。组织开展食品安全风险监督评估和食品安全企业标准备案。</w:t>
      </w:r>
    </w:p>
    <w:p w14:paraId="2FA90B21">
      <w:pPr>
        <w:spacing w:line="560" w:lineRule="exact"/>
        <w:ind w:firstLine="560" w:firstLineChars="200"/>
        <w:outlineLvl w:val="0"/>
        <w:rPr>
          <w:rFonts w:ascii="仿宋_GB2312" w:eastAsia="仿宋_GB2312"/>
          <w:color w:val="auto"/>
          <w:sz w:val="28"/>
          <w:szCs w:val="28"/>
          <w:highlight w:val="none"/>
        </w:rPr>
      </w:pPr>
      <w:r>
        <w:rPr>
          <w:rFonts w:hint="eastAsia" w:ascii="仿宋_GB2312" w:eastAsia="仿宋_GB2312"/>
          <w:color w:val="auto"/>
          <w:sz w:val="28"/>
          <w:szCs w:val="28"/>
          <w:highlight w:val="none"/>
        </w:rPr>
        <w:t>（四）负责制定全县医疗机构、医疗服务行业管理办法并监督实施，建立医疗服务评价和监督管理体系。会同有关部门组织实施卫生健康专业技术人员资格标准、医疗服务规范标准和卫生健康专业技术人员执业规则、服务规范。</w:t>
      </w:r>
    </w:p>
    <w:p w14:paraId="1E9283E2">
      <w:pPr>
        <w:spacing w:line="560" w:lineRule="exact"/>
        <w:ind w:firstLine="560" w:firstLineChars="200"/>
        <w:outlineLvl w:val="0"/>
        <w:rPr>
          <w:rFonts w:ascii="仿宋_GB2312" w:eastAsia="仿宋_GB2312"/>
          <w:color w:val="auto"/>
          <w:sz w:val="28"/>
          <w:szCs w:val="28"/>
          <w:highlight w:val="none"/>
        </w:rPr>
      </w:pPr>
      <w:r>
        <w:rPr>
          <w:rFonts w:hint="eastAsia" w:ascii="仿宋_GB2312" w:eastAsia="仿宋_GB2312"/>
          <w:color w:val="auto"/>
          <w:sz w:val="28"/>
          <w:szCs w:val="28"/>
          <w:highlight w:val="none"/>
        </w:rPr>
        <w:t>（五）负责保健对象的医疗保健工作，负责重要会议与重大活动的医疗卫生保障工作。</w:t>
      </w:r>
    </w:p>
    <w:p w14:paraId="04C71CE8">
      <w:pPr>
        <w:spacing w:line="560" w:lineRule="exact"/>
        <w:ind w:firstLine="560" w:firstLineChars="200"/>
        <w:outlineLvl w:val="0"/>
        <w:rPr>
          <w:rFonts w:ascii="仿宋_GB2312" w:eastAsia="仿宋_GB2312"/>
          <w:color w:val="auto"/>
          <w:sz w:val="28"/>
          <w:szCs w:val="28"/>
          <w:highlight w:val="none"/>
        </w:rPr>
      </w:pPr>
      <w:r>
        <w:rPr>
          <w:rFonts w:hint="eastAsia" w:ascii="仿宋_GB2312" w:eastAsia="仿宋_GB2312"/>
          <w:color w:val="auto"/>
          <w:sz w:val="28"/>
          <w:szCs w:val="28"/>
          <w:highlight w:val="none"/>
        </w:rPr>
        <w:t>（六）完成县委、县人民政府交办的其他任务。</w:t>
      </w:r>
    </w:p>
    <w:p w14:paraId="5BE7EC52">
      <w:pPr>
        <w:spacing w:line="560" w:lineRule="exact"/>
        <w:ind w:firstLine="560" w:firstLineChars="200"/>
        <w:outlineLvl w:val="0"/>
        <w:rPr>
          <w:rFonts w:ascii="仿宋_GB2312" w:eastAsia="仿宋_GB2312"/>
          <w:color w:val="auto"/>
          <w:sz w:val="28"/>
          <w:szCs w:val="28"/>
          <w:highlight w:val="none"/>
        </w:rPr>
      </w:pPr>
      <w:r>
        <w:rPr>
          <w:rFonts w:hint="eastAsia" w:ascii="仿宋_GB2312" w:eastAsia="仿宋_GB2312"/>
          <w:color w:val="auto"/>
          <w:sz w:val="28"/>
          <w:szCs w:val="28"/>
          <w:highlight w:val="none"/>
        </w:rPr>
        <w:t>（七）职能转变。县卫生健康委员会应当牢固树立大卫生、大健康理念，推动实施健康中国、健康新疆、健康托克逊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区域和生活困难群众倾斜。三是更加注重提高服务质量和水平，推进卫生健康公共服务均等化、普惠化、便捷化。四是协调推进深化医药卫生体制改革，加大公立医院改革力度，推进管办分离，推动卫生健康公共服务提供主体多元化、提供方式多样化。</w:t>
      </w:r>
    </w:p>
    <w:p w14:paraId="146DC935">
      <w:pPr>
        <w:spacing w:line="560" w:lineRule="exact"/>
        <w:ind w:firstLine="560" w:firstLineChars="200"/>
        <w:outlineLvl w:val="0"/>
        <w:rPr>
          <w:rFonts w:ascii="仿宋_GB2312" w:eastAsia="仿宋_GB2312"/>
          <w:color w:val="auto"/>
          <w:sz w:val="28"/>
          <w:szCs w:val="28"/>
          <w:highlight w:val="none"/>
        </w:rPr>
      </w:pPr>
      <w:r>
        <w:rPr>
          <w:rFonts w:hint="eastAsia" w:ascii="仿宋_GB2312" w:eastAsia="仿宋_GB2312"/>
          <w:color w:val="auto"/>
          <w:sz w:val="28"/>
          <w:szCs w:val="28"/>
          <w:highlight w:val="none"/>
        </w:rPr>
        <w:t>（八）有关职责分工</w:t>
      </w:r>
    </w:p>
    <w:p w14:paraId="56FBA20A">
      <w:pPr>
        <w:spacing w:line="560" w:lineRule="exact"/>
        <w:ind w:firstLine="560" w:firstLineChars="200"/>
        <w:outlineLvl w:val="0"/>
        <w:rPr>
          <w:rFonts w:ascii="仿宋_GB2312" w:eastAsia="仿宋_GB2312"/>
          <w:color w:val="auto"/>
          <w:sz w:val="28"/>
          <w:szCs w:val="28"/>
          <w:highlight w:val="none"/>
        </w:rPr>
      </w:pPr>
      <w:r>
        <w:rPr>
          <w:rFonts w:hint="eastAsia" w:ascii="仿宋_GB2312" w:eastAsia="仿宋_GB2312"/>
          <w:color w:val="auto"/>
          <w:sz w:val="28"/>
          <w:szCs w:val="28"/>
          <w:highlight w:val="none"/>
        </w:rPr>
        <w:t>1.与县发展和改革委员会的有关职责分工。县卫生健康委员会负责开展人口监测预警工作，贯彻落实生育政策，研究提出与生育相关的人口数量、素质、结构、分布方面的政策建议，促进生育政策和相关经济社会政策配套衔接，参与制定人口发展规划和政策，落实国家和自治区人口规划中的有关任务。县发展和改革委员会负责组织监测和评估人口变动情况及趋势影响，建立人口预测预报制度，开展重大决策人口影响评估，完善重大人口政策咨询机制，研究提出县人口发展战略，拟订人口发展规划和人口政策，研究提出人口与经济、社会、资源、环境协调可持续发展，以及统筹促进人口长期均衡发展的政策建议。</w:t>
      </w:r>
    </w:p>
    <w:p w14:paraId="7EB2C201">
      <w:pPr>
        <w:spacing w:line="560" w:lineRule="exact"/>
        <w:ind w:firstLine="560" w:firstLineChars="200"/>
        <w:outlineLvl w:val="0"/>
        <w:rPr>
          <w:rFonts w:ascii="仿宋_GB2312" w:eastAsia="仿宋_GB2312"/>
          <w:color w:val="auto"/>
          <w:sz w:val="28"/>
          <w:szCs w:val="28"/>
          <w:highlight w:val="none"/>
        </w:rPr>
      </w:pPr>
      <w:r>
        <w:rPr>
          <w:rFonts w:hint="eastAsia" w:ascii="仿宋_GB2312" w:eastAsia="仿宋_GB2312"/>
          <w:color w:val="auto"/>
          <w:sz w:val="28"/>
          <w:szCs w:val="28"/>
          <w:highlight w:val="none"/>
        </w:rPr>
        <w:t>2.与县民政局的有关职责分工。县卫生健康委员会负责拟订县应对人口老龄化、医养结合政策措施，综合协调、督促指导、组织推进全县老龄事业发展，承担老年疾病防治、老年人医疗照护、老年人心理健康与关怀服务等老年健康工作。县民政局负责统筹推进、督促指导、监督管理全县养老服务工作，拟订养老服务体系建设规划、法规、政策、标准并组织实施，承担老年人福利和特殊困难老年人救助工作。</w:t>
      </w:r>
    </w:p>
    <w:p w14:paraId="38613F9C">
      <w:pPr>
        <w:spacing w:line="560" w:lineRule="exact"/>
        <w:ind w:firstLine="560" w:firstLineChars="200"/>
        <w:outlineLvl w:val="0"/>
        <w:rPr>
          <w:rFonts w:ascii="仿宋_GB2312" w:eastAsia="仿宋_GB2312"/>
          <w:color w:val="auto"/>
          <w:sz w:val="28"/>
          <w:szCs w:val="28"/>
          <w:highlight w:val="none"/>
        </w:rPr>
      </w:pPr>
      <w:r>
        <w:rPr>
          <w:rFonts w:hint="eastAsia" w:ascii="仿宋_GB2312" w:eastAsia="仿宋_GB2312"/>
          <w:color w:val="auto"/>
          <w:sz w:val="28"/>
          <w:szCs w:val="28"/>
          <w:highlight w:val="none"/>
        </w:rPr>
        <w:t>3.与县市场监督管理局的有关职责分工。县卫生健康委员会负责食品安全风险评估和食品安全企业标准备案工作，会同县市场监督管理局等部门制定、实施食品安全风险监测计划。县卫生健康委员会对通过食品安全风险监测或者接到举报发现食品可能存在安全隐患的，应当立即组织进行检验和食品安全风险评估，并及时向县市场监督管理局等部门通报食品安全风险评估结果，对得出不安全结论的食品，县市场监督管理局等部门应当立即采取措施。县市场监督管理局等部门在监督管理工作中发现需要进行食品安全风险评估的，应当及时向县卫生健康委员会提出建议。县市场监督管理局会同县卫生健康委员会贯彻落实国家药典，建立重大药品不良反应和医疗器械不良事件相互通报机制和联合处置机制。</w:t>
      </w:r>
    </w:p>
    <w:p w14:paraId="1AB28431">
      <w:pPr>
        <w:spacing w:line="560" w:lineRule="exact"/>
        <w:ind w:firstLine="560" w:firstLineChars="200"/>
        <w:outlineLvl w:val="0"/>
        <w:rPr>
          <w:rFonts w:hint="eastAsia" w:ascii="楷体_GB2312" w:hAnsi="楷体_GB2312" w:eastAsia="楷体_GB2312" w:cs="楷体_GB2312"/>
          <w:b/>
          <w:color w:val="auto"/>
          <w:sz w:val="28"/>
          <w:szCs w:val="28"/>
          <w:highlight w:val="none"/>
        </w:rPr>
      </w:pPr>
      <w:r>
        <w:rPr>
          <w:rFonts w:hint="eastAsia" w:ascii="仿宋_GB2312" w:eastAsia="仿宋_GB2312"/>
          <w:color w:val="auto"/>
          <w:sz w:val="28"/>
          <w:szCs w:val="28"/>
          <w:highlight w:val="none"/>
        </w:rPr>
        <w:t>4.与县医疗保障局的有关职责分工。县卫生健康委员会、县医疗保障局等部门在医疗、医保、医药等方面加强制度、政策衔接，建立沟通协商机制，协同推进改革，提高医疗资源使用效率和医疗保障水平。</w:t>
      </w:r>
    </w:p>
    <w:p w14:paraId="72BF16EA">
      <w:pPr>
        <w:ind w:firstLine="562"/>
        <w:rPr>
          <w:rFonts w:hint="eastAsia" w:ascii="楷体_GB2312" w:hAnsi="楷体_GB2312" w:eastAsia="楷体_GB2312" w:cs="楷体_GB2312"/>
          <w:b/>
          <w:color w:val="auto"/>
          <w:sz w:val="32"/>
          <w:szCs w:val="28"/>
          <w:highlight w:val="none"/>
          <w:lang w:val="en-US" w:eastAsia="zh-CN"/>
        </w:rPr>
      </w:pPr>
      <w:r>
        <w:rPr>
          <w:rFonts w:hint="eastAsia" w:ascii="楷体_GB2312" w:hAnsi="楷体_GB2312" w:eastAsia="楷体_GB2312" w:cs="楷体_GB2312"/>
          <w:b/>
          <w:color w:val="auto"/>
          <w:sz w:val="32"/>
          <w:szCs w:val="28"/>
          <w:highlight w:val="none"/>
          <w:lang w:val="en-US" w:eastAsia="zh-CN"/>
        </w:rPr>
        <w:t>（2）设下列内设构：</w:t>
      </w:r>
    </w:p>
    <w:p w14:paraId="6466E761">
      <w:pP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Cs/>
          <w:color w:val="auto"/>
          <w:sz w:val="28"/>
          <w:szCs w:val="28"/>
          <w:highlight w:val="none"/>
        </w:rPr>
        <w:t>托克逊县卫生健康委员会无下属预算单位，下设6个处室，分别是：</w:t>
      </w:r>
      <w:r>
        <w:rPr>
          <w:rFonts w:hint="eastAsia" w:ascii="仿宋_GB2312" w:hAnsi="仿宋_GB2312" w:eastAsia="仿宋_GB2312" w:cs="仿宋_GB2312"/>
          <w:color w:val="auto"/>
          <w:sz w:val="28"/>
          <w:szCs w:val="28"/>
          <w:highlight w:val="none"/>
        </w:rPr>
        <w:t>办公室、综合监督与食品科、基层卫生健康科、计划生育工作科、疾病预防控制科、医政药政管理科。</w:t>
      </w:r>
    </w:p>
    <w:p w14:paraId="71211A9D">
      <w:pPr>
        <w:ind w:firstLine="562"/>
        <w:rPr>
          <w:rFonts w:hint="eastAsia" w:eastAsia="仿宋_GB2312"/>
          <w:b/>
          <w:color w:val="auto"/>
          <w:sz w:val="32"/>
          <w:szCs w:val="28"/>
          <w:highlight w:val="none"/>
          <w:lang w:eastAsia="zh-CN"/>
        </w:rPr>
      </w:pPr>
      <w:r>
        <w:rPr>
          <w:rFonts w:hint="eastAsia"/>
          <w:b/>
          <w:color w:val="auto"/>
          <w:sz w:val="32"/>
          <w:szCs w:val="28"/>
          <w:highlight w:val="none"/>
        </w:rPr>
        <w:t>（</w:t>
      </w:r>
      <w:r>
        <w:rPr>
          <w:rFonts w:hint="eastAsia"/>
          <w:b/>
          <w:color w:val="auto"/>
          <w:sz w:val="32"/>
          <w:szCs w:val="28"/>
          <w:highlight w:val="none"/>
          <w:lang w:val="en-US" w:eastAsia="zh-CN"/>
        </w:rPr>
        <w:t>3</w:t>
      </w:r>
      <w:r>
        <w:rPr>
          <w:rFonts w:hint="eastAsia"/>
          <w:b/>
          <w:color w:val="auto"/>
          <w:sz w:val="32"/>
          <w:szCs w:val="28"/>
          <w:highlight w:val="none"/>
        </w:rPr>
        <w:t>）</w:t>
      </w:r>
      <w:r>
        <w:rPr>
          <w:rFonts w:hint="eastAsia"/>
          <w:b/>
          <w:color w:val="auto"/>
          <w:sz w:val="32"/>
          <w:szCs w:val="28"/>
          <w:highlight w:val="none"/>
          <w:lang w:eastAsia="zh-CN"/>
        </w:rPr>
        <w:t>人员情况</w:t>
      </w:r>
    </w:p>
    <w:p w14:paraId="35DE4B36">
      <w:pPr>
        <w:ind w:firstLine="560"/>
        <w:rPr>
          <w:rFonts w:hint="eastAsia" w:ascii="仿宋_GB2312" w:hAnsi="仿宋_GB2312" w:cs="仿宋_GB2312"/>
          <w:b w:val="0"/>
          <w:bCs w:val="0"/>
          <w:color w:val="auto"/>
          <w:kern w:val="2"/>
          <w:sz w:val="28"/>
          <w:szCs w:val="28"/>
          <w:highlight w:val="none"/>
          <w:lang w:val="en-US" w:eastAsia="zh-CN" w:bidi="ar-SA"/>
        </w:rPr>
      </w:pPr>
      <w:r>
        <w:rPr>
          <w:rFonts w:hint="eastAsia" w:ascii="仿宋_GB2312" w:hAnsi="仿宋_GB2312" w:cs="仿宋_GB2312"/>
          <w:b w:val="0"/>
          <w:bCs w:val="0"/>
          <w:color w:val="auto"/>
          <w:kern w:val="2"/>
          <w:sz w:val="28"/>
          <w:szCs w:val="28"/>
          <w:highlight w:val="none"/>
          <w:lang w:val="en-US" w:eastAsia="zh-CN" w:bidi="ar-SA"/>
        </w:rPr>
        <w:t>托克逊县卫生健康委员会人员编制数共25人，其中：行政编制4人，事业编制6人，工勤2人。年初预算实有在职人员21人，退休人员27人。年末实有在职人数21人，临时工（地方编）4人，退休人员28人。</w:t>
      </w:r>
    </w:p>
    <w:p w14:paraId="2402DF01">
      <w:pPr>
        <w:ind w:firstLine="56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实施时间：</w:t>
      </w:r>
      <w:r>
        <w:rPr>
          <w:rFonts w:hint="eastAsia" w:ascii="仿宋_GB2312" w:hAnsi="仿宋_GB2312" w:eastAsia="仿宋_GB2312" w:cs="仿宋_GB2312"/>
          <w:b w:val="0"/>
          <w:bCs w:val="0"/>
          <w:color w:val="auto"/>
          <w:kern w:val="2"/>
          <w:sz w:val="28"/>
          <w:szCs w:val="28"/>
          <w:highlight w:val="none"/>
          <w:lang w:val="en-US" w:eastAsia="zh-CN" w:bidi="ar-SA"/>
        </w:rPr>
        <w:t>本项目开始时间为2023年1月—2023年12月。</w:t>
      </w:r>
    </w:p>
    <w:p w14:paraId="2564C83A">
      <w:pPr>
        <w:ind w:firstLine="56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项目实施情况：</w:t>
      </w:r>
    </w:p>
    <w:p w14:paraId="4B72D45A">
      <w:pPr>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通过资金的补助，弥补了基层医疗机构药物“零差价”的差价部分。保证基层医疗卫生机构实施国家基本药物制度，巩固基本药物制度，推进综合改革顺利进行。加强医疗机构卫生服务体系建设，不断提升服务能力和水平，筑牢基层医疗卫生服务网底，实现医改“保基本、强基层、建机制” 的目标。</w:t>
      </w:r>
    </w:p>
    <w:p w14:paraId="63970194">
      <w:pPr>
        <w:pStyle w:val="4"/>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14:paraId="6C523FF6">
      <w:pPr>
        <w:ind w:firstLine="560"/>
        <w:rPr>
          <w:rFonts w:hint="eastAsia" w:ascii="仿宋_GB2312" w:hAnsi="仿宋_GB2312" w:eastAsia="仿宋_GB2312" w:cs="仿宋_GB2312"/>
          <w:color w:val="auto"/>
          <w:sz w:val="28"/>
          <w:szCs w:val="28"/>
          <w:highlight w:val="none"/>
        </w:rPr>
      </w:pPr>
      <w:r>
        <w:rPr>
          <w:rFonts w:hint="eastAsia" w:ascii="仿宋_GB2312" w:eastAsia="仿宋_GB2312"/>
          <w:b/>
          <w:color w:val="auto"/>
          <w:sz w:val="28"/>
          <w:szCs w:val="28"/>
          <w:highlight w:val="none"/>
        </w:rPr>
        <w:t>（1） 预算金额 ：</w:t>
      </w:r>
      <w:r>
        <w:rPr>
          <w:rFonts w:hint="eastAsia" w:ascii="仿宋_GB2312" w:hAnsi="仿宋_GB2312" w:eastAsia="仿宋_GB2312" w:cs="仿宋_GB2312"/>
          <w:color w:val="auto"/>
          <w:highlight w:val="none"/>
          <w:lang w:val="en-US" w:eastAsia="zh-CN"/>
        </w:rPr>
        <w:t>本</w:t>
      </w:r>
      <w:r>
        <w:rPr>
          <w:rFonts w:hint="eastAsia" w:ascii="仿宋_GB2312" w:hAnsi="仿宋_GB2312" w:eastAsia="仿宋_GB2312" w:cs="仿宋_GB2312"/>
          <w:color w:val="auto"/>
          <w:highlight w:val="none"/>
        </w:rPr>
        <w:t>项目预算安排总额为</w:t>
      </w:r>
      <w:r>
        <w:rPr>
          <w:rFonts w:hint="eastAsia" w:ascii="仿宋_GB2312" w:eastAsia="仿宋_GB2312"/>
          <w:color w:val="auto"/>
          <w:sz w:val="28"/>
          <w:szCs w:val="28"/>
          <w:highlight w:val="none"/>
        </w:rPr>
        <w:t>132.23</w:t>
      </w:r>
      <w:r>
        <w:rPr>
          <w:rFonts w:hint="eastAsia" w:ascii="仿宋_GB2312" w:hAnsi="仿宋_GB2312" w:eastAsia="仿宋_GB2312" w:cs="仿宋_GB2312"/>
          <w:color w:val="auto"/>
          <w:highlight w:val="none"/>
        </w:rPr>
        <w:t>万元，其中财政资金</w:t>
      </w:r>
      <w:r>
        <w:rPr>
          <w:rFonts w:hint="eastAsia" w:ascii="仿宋_GB2312" w:eastAsia="仿宋_GB2312"/>
          <w:color w:val="auto"/>
          <w:sz w:val="28"/>
          <w:szCs w:val="28"/>
          <w:highlight w:val="none"/>
        </w:rPr>
        <w:t>132.23</w:t>
      </w:r>
      <w:r>
        <w:rPr>
          <w:rFonts w:hint="eastAsia" w:ascii="仿宋_GB2312" w:hAnsi="仿宋_GB2312" w:eastAsia="仿宋_GB2312" w:cs="仿宋_GB2312"/>
          <w:color w:val="auto"/>
          <w:highlight w:val="none"/>
        </w:rPr>
        <w:t>万元，其他资金</w:t>
      </w:r>
      <w:r>
        <w:rPr>
          <w:rFonts w:hint="eastAsia" w:ascii="仿宋_GB2312" w:hAnsi="仿宋_GB2312" w:eastAsia="仿宋_GB2312" w:cs="仿宋_GB2312"/>
          <w:color w:val="auto"/>
          <w:highlight w:val="none"/>
          <w:lang w:val="en-US" w:eastAsia="zh-CN"/>
        </w:rPr>
        <w:t>0</w:t>
      </w:r>
      <w:r>
        <w:rPr>
          <w:rFonts w:hint="eastAsia" w:ascii="仿宋_GB2312" w:hAnsi="仿宋_GB2312" w:eastAsia="仿宋_GB2312" w:cs="仿宋_GB2312"/>
          <w:color w:val="auto"/>
          <w:highlight w:val="none"/>
        </w:rPr>
        <w:t>万元，202</w:t>
      </w:r>
      <w:r>
        <w:rPr>
          <w:rFonts w:hint="eastAsia" w:ascii="仿宋_GB2312" w:hAnsi="仿宋_GB2312" w:eastAsia="仿宋_GB2312" w:cs="仿宋_GB2312"/>
          <w:color w:val="auto"/>
          <w:highlight w:val="none"/>
          <w:lang w:val="en-US" w:eastAsia="zh-CN"/>
        </w:rPr>
        <w:t>3</w:t>
      </w:r>
      <w:r>
        <w:rPr>
          <w:rFonts w:hint="eastAsia" w:ascii="仿宋_GB2312" w:hAnsi="仿宋_GB2312" w:eastAsia="仿宋_GB2312" w:cs="仿宋_GB2312"/>
          <w:color w:val="auto"/>
          <w:highlight w:val="none"/>
        </w:rPr>
        <w:t>年实际收到预算资金</w:t>
      </w:r>
      <w:r>
        <w:rPr>
          <w:rFonts w:hint="eastAsia" w:ascii="仿宋_GB2312" w:eastAsia="仿宋_GB2312"/>
          <w:color w:val="auto"/>
          <w:sz w:val="28"/>
          <w:szCs w:val="28"/>
          <w:highlight w:val="none"/>
        </w:rPr>
        <w:t>132.23</w:t>
      </w:r>
      <w:r>
        <w:rPr>
          <w:rFonts w:hint="eastAsia" w:ascii="仿宋_GB2312" w:hAnsi="仿宋_GB2312" w:eastAsia="仿宋_GB2312" w:cs="仿宋_GB2312"/>
          <w:color w:val="auto"/>
          <w:highlight w:val="none"/>
        </w:rPr>
        <w:t>万元，预算资金到位率为</w:t>
      </w:r>
      <w:r>
        <w:rPr>
          <w:rFonts w:hint="eastAsia" w:ascii="仿宋_GB2312" w:hAnsi="仿宋_GB2312" w:eastAsia="仿宋_GB2312" w:cs="仿宋_GB2312"/>
          <w:color w:val="auto"/>
          <w:highlight w:val="none"/>
          <w:lang w:val="en-US" w:eastAsia="zh-CN"/>
        </w:rPr>
        <w:t>100</w:t>
      </w:r>
      <w:r>
        <w:rPr>
          <w:rFonts w:hint="eastAsia" w:ascii="仿宋_GB2312" w:hAnsi="仿宋_GB2312" w:eastAsia="仿宋_GB2312" w:cs="仿宋_GB2312"/>
          <w:color w:val="auto"/>
          <w:highlight w:val="none"/>
        </w:rPr>
        <w:t>%。</w:t>
      </w:r>
    </w:p>
    <w:p w14:paraId="348FAB05">
      <w:pPr>
        <w:spacing w:line="560" w:lineRule="exact"/>
        <w:ind w:firstLine="562" w:firstLineChars="200"/>
        <w:outlineLvl w:val="0"/>
        <w:rPr>
          <w:rFonts w:ascii="仿宋_GB2312" w:eastAsia="仿宋_GB2312"/>
          <w:b/>
          <w:color w:val="auto"/>
          <w:sz w:val="28"/>
          <w:szCs w:val="28"/>
          <w:highlight w:val="none"/>
        </w:rPr>
      </w:pPr>
      <w:r>
        <w:rPr>
          <w:rFonts w:hint="eastAsia" w:ascii="仿宋_GB2312" w:eastAsia="仿宋_GB2312"/>
          <w:b/>
          <w:color w:val="auto"/>
          <w:sz w:val="28"/>
          <w:szCs w:val="28"/>
          <w:highlight w:val="none"/>
        </w:rPr>
        <w:t>（2）预算来源及使用</w:t>
      </w:r>
    </w:p>
    <w:p w14:paraId="128E36CD">
      <w:pPr>
        <w:keepNext w:val="0"/>
        <w:keepLines w:val="0"/>
        <w:pageBreakBefore w:val="0"/>
        <w:widowControl/>
        <w:kinsoku/>
        <w:wordWrap/>
        <w:overflowPunct/>
        <w:topLinePunct w:val="0"/>
        <w:autoSpaceDE/>
        <w:autoSpaceDN/>
        <w:bidi w:val="0"/>
        <w:adjustRightInd w:val="0"/>
        <w:snapToGrid w:val="0"/>
        <w:spacing w:line="240" w:lineRule="auto"/>
        <w:ind w:firstLine="560" w:firstLineChars="200"/>
        <w:textAlignment w:val="auto"/>
        <w:outlineLvl w:val="0"/>
        <w:rPr>
          <w:rFonts w:hint="eastAsia" w:ascii="仿宋_GB2312"/>
          <w:color w:val="auto"/>
          <w:sz w:val="28"/>
          <w:szCs w:val="28"/>
          <w:highlight w:val="none"/>
          <w:lang w:val="en-US" w:eastAsia="zh-CN"/>
        </w:rPr>
      </w:pPr>
      <w:r>
        <w:rPr>
          <w:rFonts w:hint="eastAsia" w:ascii="仿宋_GB2312" w:eastAsia="仿宋_GB2312"/>
          <w:color w:val="auto"/>
          <w:sz w:val="28"/>
          <w:szCs w:val="28"/>
          <w:highlight w:val="none"/>
        </w:rPr>
        <w:t xml:space="preserve">该项目实际使用资金总额为132.23万元，资金来源均为财政资金，资金执行率为 </w:t>
      </w:r>
      <w:r>
        <w:rPr>
          <w:rFonts w:hint="eastAsia" w:ascii="仿宋_GB2312" w:eastAsia="仿宋_GB2312"/>
          <w:color w:val="auto"/>
          <w:sz w:val="28"/>
          <w:szCs w:val="28"/>
          <w:highlight w:val="none"/>
          <w:lang w:val="en-US" w:eastAsia="zh-CN"/>
        </w:rPr>
        <w:t>10</w:t>
      </w:r>
      <w:r>
        <w:rPr>
          <w:rFonts w:ascii="仿宋_GB2312" w:eastAsia="仿宋_GB2312"/>
          <w:color w:val="auto"/>
          <w:sz w:val="28"/>
          <w:szCs w:val="28"/>
          <w:highlight w:val="none"/>
        </w:rPr>
        <w:t>0</w:t>
      </w:r>
      <w:r>
        <w:rPr>
          <w:rFonts w:hint="eastAsia" w:ascii="仿宋_GB2312" w:eastAsia="仿宋_GB2312"/>
          <w:color w:val="auto"/>
          <w:sz w:val="28"/>
          <w:szCs w:val="28"/>
          <w:highlight w:val="none"/>
        </w:rPr>
        <w:t>%。</w:t>
      </w:r>
      <w:r>
        <w:rPr>
          <w:rFonts w:hint="eastAsia" w:ascii="仿宋_GB2312"/>
          <w:color w:val="auto"/>
          <w:sz w:val="28"/>
          <w:szCs w:val="28"/>
          <w:highlight w:val="none"/>
          <w:lang w:val="en-US" w:eastAsia="zh-CN"/>
        </w:rPr>
        <w:t>资金来源详细如下：</w:t>
      </w:r>
    </w:p>
    <w:p w14:paraId="5ED5CD5F">
      <w:pPr>
        <w:spacing w:line="480" w:lineRule="auto"/>
        <w:ind w:firstLine="560" w:firstLineChars="200"/>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color w:val="auto"/>
          <w:sz w:val="28"/>
          <w:szCs w:val="28"/>
          <w:highlight w:val="none"/>
          <w:lang w:eastAsia="zh-CN"/>
        </w:rPr>
        <w:t>202</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lang w:eastAsia="zh-CN"/>
        </w:rPr>
        <w:t>年</w:t>
      </w:r>
      <w:r>
        <w:rPr>
          <w:rFonts w:hint="eastAsia" w:ascii="仿宋_GB2312" w:hAnsi="仿宋_GB2312" w:eastAsia="仿宋_GB2312" w:cs="仿宋_GB2312"/>
          <w:color w:val="auto"/>
          <w:sz w:val="28"/>
          <w:szCs w:val="28"/>
          <w:highlight w:val="none"/>
          <w:lang w:val="en-US" w:eastAsia="zh-CN"/>
        </w:rPr>
        <w:t>12</w:t>
      </w:r>
      <w:r>
        <w:rPr>
          <w:rFonts w:hint="eastAsia" w:ascii="仿宋_GB2312" w:hAnsi="仿宋_GB2312" w:eastAsia="仿宋_GB2312" w:cs="仿宋_GB2312"/>
          <w:color w:val="auto"/>
          <w:sz w:val="28"/>
          <w:szCs w:val="28"/>
          <w:highlight w:val="none"/>
        </w:rPr>
        <w:t>月，财政</w:t>
      </w:r>
      <w:r>
        <w:rPr>
          <w:rFonts w:hint="eastAsia" w:ascii="仿宋_GB2312" w:hAnsi="仿宋_GB2312" w:eastAsia="仿宋_GB2312" w:cs="仿宋_GB2312"/>
          <w:color w:val="auto"/>
          <w:sz w:val="28"/>
          <w:szCs w:val="28"/>
          <w:highlight w:val="none"/>
          <w:lang w:val="en-US" w:eastAsia="zh-CN"/>
        </w:rPr>
        <w:t>厅</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关于提前下达2023年中央财政基本药物制度补助资金预算</w:t>
      </w:r>
      <w:r>
        <w:rPr>
          <w:rFonts w:hint="eastAsia" w:ascii="仿宋_GB2312" w:hAnsi="仿宋_GB2312" w:eastAsia="仿宋_GB2312" w:cs="仿宋_GB2312"/>
          <w:color w:val="auto"/>
          <w:sz w:val="28"/>
          <w:szCs w:val="28"/>
          <w:highlight w:val="none"/>
        </w:rPr>
        <w:t>的通知》（</w:t>
      </w:r>
      <w:r>
        <w:rPr>
          <w:rFonts w:hint="eastAsia" w:ascii="仿宋_GB2312" w:hAnsi="仿宋_GB2312" w:eastAsia="仿宋_GB2312" w:cs="仿宋_GB2312"/>
          <w:color w:val="auto"/>
          <w:sz w:val="28"/>
          <w:szCs w:val="28"/>
          <w:highlight w:val="none"/>
          <w:lang w:val="en-US" w:eastAsia="zh-CN"/>
        </w:rPr>
        <w:t>新财社</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eastAsia="zh-CN"/>
        </w:rPr>
        <w:t>202</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183</w:t>
      </w:r>
      <w:r>
        <w:rPr>
          <w:rFonts w:hint="eastAsia" w:ascii="仿宋_GB2312" w:hAnsi="仿宋_GB2312" w:eastAsia="仿宋_GB2312" w:cs="仿宋_GB2312"/>
          <w:color w:val="auto"/>
          <w:sz w:val="28"/>
          <w:szCs w:val="28"/>
          <w:highlight w:val="none"/>
        </w:rPr>
        <w:t>号）</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下达新疆</w:t>
      </w:r>
      <w:r>
        <w:rPr>
          <w:rFonts w:hint="eastAsia" w:ascii="仿宋_GB2312" w:hAnsi="仿宋_GB2312" w:eastAsia="仿宋_GB2312" w:cs="仿宋_GB2312"/>
          <w:color w:val="auto"/>
          <w:sz w:val="28"/>
          <w:szCs w:val="28"/>
          <w:highlight w:val="none"/>
          <w:lang w:eastAsia="zh-CN"/>
        </w:rPr>
        <w:t>2023年</w:t>
      </w:r>
      <w:r>
        <w:rPr>
          <w:rFonts w:hint="eastAsia" w:ascii="仿宋_GB2312" w:hAnsi="仿宋_GB2312" w:eastAsia="仿宋_GB2312" w:cs="仿宋_GB2312"/>
          <w:color w:val="auto"/>
          <w:sz w:val="28"/>
          <w:szCs w:val="28"/>
          <w:highlight w:val="none"/>
          <w:lang w:val="en-US" w:eastAsia="zh-CN"/>
        </w:rPr>
        <w:t>基本药物制度补助资金</w:t>
      </w:r>
      <w:r>
        <w:rPr>
          <w:rFonts w:hint="eastAsia" w:ascii="仿宋_GB2312" w:hAnsi="仿宋_GB2312" w:eastAsia="仿宋_GB2312" w:cs="仿宋_GB2312"/>
          <w:color w:val="auto"/>
          <w:sz w:val="28"/>
          <w:szCs w:val="28"/>
          <w:highlight w:val="none"/>
        </w:rPr>
        <w:t>项目，资金</w:t>
      </w:r>
      <w:r>
        <w:rPr>
          <w:rFonts w:hint="eastAsia" w:ascii="仿宋_GB2312" w:hAnsi="仿宋_GB2312" w:eastAsia="仿宋_GB2312" w:cs="仿宋_GB2312"/>
          <w:color w:val="auto"/>
          <w:sz w:val="28"/>
          <w:szCs w:val="28"/>
          <w:highlight w:val="none"/>
          <w:lang w:val="en-US" w:eastAsia="zh-CN"/>
        </w:rPr>
        <w:t>121.08</w:t>
      </w:r>
      <w:r>
        <w:rPr>
          <w:rFonts w:hint="eastAsia" w:ascii="仿宋_GB2312" w:hAnsi="仿宋_GB2312" w:eastAsia="仿宋_GB2312" w:cs="仿宋_GB2312"/>
          <w:color w:val="auto"/>
          <w:sz w:val="28"/>
          <w:szCs w:val="28"/>
          <w:highlight w:val="none"/>
        </w:rPr>
        <w:t>万元；</w:t>
      </w:r>
    </w:p>
    <w:p w14:paraId="71FA517B">
      <w:pPr>
        <w:spacing w:line="480" w:lineRule="auto"/>
        <w:ind w:firstLine="560" w:firstLineChars="200"/>
        <w:rPr>
          <w:rFonts w:hint="default" w:ascii="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eastAsia="zh-CN"/>
        </w:rPr>
        <w:t>2023年</w:t>
      </w: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lang w:val="en-US" w:eastAsia="zh-CN"/>
        </w:rPr>
        <w:t>吐鲁番市财政局</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关于拨付2023年中央基本药物制度补助资金（第二批）的通知</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吐市财社</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eastAsia="zh-CN"/>
        </w:rPr>
        <w:t>202</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21</w:t>
      </w:r>
      <w:r>
        <w:rPr>
          <w:rFonts w:hint="eastAsia" w:ascii="仿宋_GB2312" w:hAnsi="仿宋_GB2312" w:eastAsia="仿宋_GB2312" w:cs="仿宋_GB2312"/>
          <w:color w:val="auto"/>
          <w:sz w:val="28"/>
          <w:szCs w:val="28"/>
          <w:highlight w:val="none"/>
        </w:rPr>
        <w:t>号</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，下达新疆</w:t>
      </w:r>
      <w:r>
        <w:rPr>
          <w:rFonts w:hint="eastAsia" w:ascii="仿宋_GB2312" w:hAnsi="仿宋_GB2312" w:eastAsia="仿宋_GB2312" w:cs="仿宋_GB2312"/>
          <w:color w:val="auto"/>
          <w:sz w:val="28"/>
          <w:szCs w:val="28"/>
          <w:highlight w:val="none"/>
          <w:lang w:eastAsia="zh-CN"/>
        </w:rPr>
        <w:t>2023年</w:t>
      </w:r>
      <w:r>
        <w:rPr>
          <w:rFonts w:hint="eastAsia" w:ascii="仿宋_GB2312" w:hAnsi="仿宋_GB2312" w:eastAsia="仿宋_GB2312" w:cs="仿宋_GB2312"/>
          <w:color w:val="auto"/>
          <w:sz w:val="28"/>
          <w:szCs w:val="28"/>
          <w:highlight w:val="none"/>
          <w:lang w:val="en-US" w:eastAsia="zh-CN"/>
        </w:rPr>
        <w:t>基本药物制度补助资金</w:t>
      </w:r>
      <w:r>
        <w:rPr>
          <w:rFonts w:hint="eastAsia" w:ascii="仿宋_GB2312" w:hAnsi="仿宋_GB2312" w:eastAsia="仿宋_GB2312" w:cs="仿宋_GB2312"/>
          <w:color w:val="auto"/>
          <w:sz w:val="28"/>
          <w:szCs w:val="28"/>
          <w:highlight w:val="none"/>
        </w:rPr>
        <w:t>项目，资金</w:t>
      </w:r>
      <w:r>
        <w:rPr>
          <w:rFonts w:hint="eastAsia" w:ascii="仿宋_GB2312" w:hAnsi="仿宋_GB2312" w:eastAsia="仿宋_GB2312" w:cs="仿宋_GB2312"/>
          <w:color w:val="auto"/>
          <w:sz w:val="28"/>
          <w:szCs w:val="28"/>
          <w:highlight w:val="none"/>
          <w:lang w:val="en-US" w:eastAsia="zh-CN"/>
        </w:rPr>
        <w:t>11.15</w:t>
      </w:r>
      <w:r>
        <w:rPr>
          <w:rFonts w:hint="eastAsia" w:ascii="仿宋_GB2312" w:hAnsi="仿宋_GB2312" w:eastAsia="仿宋_GB2312" w:cs="仿宋_GB2312"/>
          <w:color w:val="auto"/>
          <w:sz w:val="28"/>
          <w:szCs w:val="28"/>
          <w:highlight w:val="none"/>
        </w:rPr>
        <w:t>万元</w:t>
      </w:r>
      <w:r>
        <w:rPr>
          <w:rFonts w:hint="eastAsia" w:ascii="仿宋_GB2312" w:hAnsi="仿宋_GB2312" w:eastAsia="仿宋_GB2312" w:cs="仿宋_GB2312"/>
          <w:color w:val="auto"/>
          <w:sz w:val="28"/>
          <w:szCs w:val="28"/>
          <w:highlight w:val="none"/>
          <w:lang w:eastAsia="zh-CN"/>
        </w:rPr>
        <w:t>。</w:t>
      </w:r>
    </w:p>
    <w:p w14:paraId="5EF71137">
      <w:pPr>
        <w:pStyle w:val="4"/>
        <w:bidi w:val="0"/>
        <w:rPr>
          <w:color w:val="auto"/>
          <w:highlight w:val="none"/>
        </w:rPr>
      </w:pPr>
      <w:r>
        <w:rPr>
          <w:rFonts w:hint="eastAsia"/>
          <w:b w:val="0"/>
          <w:bCs w:val="0"/>
          <w:color w:val="auto"/>
          <w:highlight w:val="none"/>
          <w:lang w:val="en-US" w:eastAsia="zh-CN"/>
        </w:rPr>
        <w:t>截止到2023年12月31日，</w:t>
      </w:r>
      <w:r>
        <w:rPr>
          <w:rFonts w:hint="eastAsia"/>
          <w:b w:val="0"/>
          <w:bCs w:val="0"/>
          <w:color w:val="auto"/>
          <w:highlight w:val="none"/>
        </w:rPr>
        <w:t>本项目实际支付资金</w:t>
      </w:r>
      <w:r>
        <w:rPr>
          <w:rFonts w:hint="eastAsia"/>
          <w:b w:val="0"/>
          <w:bCs w:val="0"/>
          <w:color w:val="auto"/>
          <w:highlight w:val="none"/>
          <w:lang w:val="en-US" w:eastAsia="zh-CN"/>
        </w:rPr>
        <w:t>132.23</w:t>
      </w:r>
      <w:r>
        <w:rPr>
          <w:rFonts w:hint="eastAsia"/>
          <w:b w:val="0"/>
          <w:bCs w:val="0"/>
          <w:color w:val="auto"/>
          <w:highlight w:val="none"/>
        </w:rPr>
        <w:t>万元，预算执行率</w:t>
      </w:r>
      <w:r>
        <w:rPr>
          <w:rFonts w:hint="eastAsia"/>
          <w:b w:val="0"/>
          <w:bCs w:val="0"/>
          <w:color w:val="auto"/>
          <w:highlight w:val="none"/>
          <w:lang w:val="en-US" w:eastAsia="zh-CN"/>
        </w:rPr>
        <w:t>100</w:t>
      </w:r>
      <w:r>
        <w:rPr>
          <w:b w:val="0"/>
          <w:bCs w:val="0"/>
          <w:color w:val="auto"/>
          <w:highlight w:val="none"/>
        </w:rPr>
        <w:t>%</w:t>
      </w:r>
      <w:r>
        <w:rPr>
          <w:rFonts w:hint="eastAsia"/>
          <w:b w:val="0"/>
          <w:bCs w:val="0"/>
          <w:color w:val="auto"/>
          <w:highlight w:val="none"/>
          <w:lang w:eastAsia="zh-CN"/>
        </w:rPr>
        <w:t>，</w:t>
      </w:r>
      <w:r>
        <w:rPr>
          <w:rFonts w:hint="eastAsia"/>
          <w:b w:val="0"/>
          <w:bCs w:val="0"/>
          <w:color w:val="auto"/>
          <w:highlight w:val="none"/>
          <w:lang w:val="en-US" w:eastAsia="zh-CN"/>
        </w:rPr>
        <w:t>结转资金0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结余资金0</w:t>
      </w:r>
      <w:r>
        <w:rPr>
          <w:rFonts w:hint="eastAsia"/>
          <w:b w:val="0"/>
          <w:bCs w:val="0"/>
          <w:color w:val="auto"/>
          <w:highlight w:val="none"/>
        </w:rPr>
        <w:t>万元。</w:t>
      </w:r>
    </w:p>
    <w:p w14:paraId="0B91ABAC">
      <w:pPr>
        <w:pStyle w:val="3"/>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14:paraId="72755F78">
      <w:pPr>
        <w:pStyle w:val="4"/>
        <w:bidi w:val="0"/>
        <w:rPr>
          <w:color w:val="auto"/>
          <w:highlight w:val="none"/>
        </w:rPr>
      </w:pPr>
      <w:r>
        <w:rPr>
          <w:rFonts w:hint="eastAsia"/>
          <w:color w:val="auto"/>
          <w:highlight w:val="none"/>
        </w:rPr>
        <w:t>1.总体目标</w:t>
      </w:r>
    </w:p>
    <w:p w14:paraId="7ABC09E7">
      <w:pPr>
        <w:pStyle w:val="4"/>
        <w:bidi w:val="0"/>
        <w:rPr>
          <w:rFonts w:hint="eastAsia" w:cs="宋体"/>
          <w:b w:val="0"/>
          <w:bCs w:val="0"/>
          <w:color w:val="auto"/>
          <w:highlight w:val="none"/>
          <w:shd w:val="clear" w:color="auto" w:fill="auto"/>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为：目标1：基层医疗卫生机构按要求实施基本药物制度。</w:t>
      </w:r>
    </w:p>
    <w:p w14:paraId="7D61B05E">
      <w:pPr>
        <w:pStyle w:val="4"/>
        <w:bidi w:val="0"/>
        <w:rPr>
          <w:rFonts w:hint="eastAsia" w:cs="宋体"/>
          <w:b w:val="0"/>
          <w:bCs w:val="0"/>
          <w:color w:val="auto"/>
          <w:highlight w:val="none"/>
          <w:shd w:val="clear" w:color="auto" w:fill="auto"/>
          <w:lang w:val="en-US" w:eastAsia="zh-CN"/>
        </w:rPr>
      </w:pPr>
      <w:r>
        <w:rPr>
          <w:rFonts w:hint="eastAsia" w:cs="宋体"/>
          <w:b w:val="0"/>
          <w:bCs w:val="0"/>
          <w:color w:val="auto"/>
          <w:highlight w:val="none"/>
          <w:shd w:val="clear" w:color="auto" w:fill="auto"/>
          <w:lang w:val="en-US" w:eastAsia="zh-CN"/>
        </w:rPr>
        <w:t>目标2：基本药物制度在村卫生室顺利实施。</w:t>
      </w:r>
    </w:p>
    <w:p w14:paraId="596C472E">
      <w:pPr>
        <w:pStyle w:val="4"/>
        <w:bidi w:val="0"/>
        <w:rPr>
          <w:rFonts w:hint="eastAsia" w:cs="宋体"/>
          <w:b w:val="0"/>
          <w:bCs w:val="0"/>
          <w:color w:val="auto"/>
          <w:highlight w:val="none"/>
          <w:shd w:val="clear" w:color="auto" w:fill="auto"/>
          <w:lang w:val="en-US" w:eastAsia="zh-CN"/>
        </w:rPr>
      </w:pPr>
      <w:r>
        <w:rPr>
          <w:rFonts w:hint="eastAsia" w:cs="宋体"/>
          <w:b w:val="0"/>
          <w:bCs w:val="0"/>
          <w:color w:val="auto"/>
          <w:highlight w:val="none"/>
          <w:shd w:val="clear" w:color="auto" w:fill="auto"/>
          <w:lang w:val="en-US" w:eastAsia="zh-CN"/>
        </w:rPr>
        <w:t>目标3：基层医疗卫生机构服务质量进一步提高。</w:t>
      </w:r>
    </w:p>
    <w:p w14:paraId="76BF52EB">
      <w:pPr>
        <w:pStyle w:val="4"/>
        <w:bidi w:val="0"/>
        <w:rPr>
          <w:rFonts w:hint="eastAsia" w:cs="宋体"/>
          <w:b w:val="0"/>
          <w:bCs w:val="0"/>
          <w:color w:val="auto"/>
          <w:highlight w:val="none"/>
          <w:shd w:val="clear" w:color="auto" w:fill="auto"/>
          <w:lang w:val="en-US" w:eastAsia="zh-CN"/>
        </w:rPr>
      </w:pPr>
      <w:r>
        <w:rPr>
          <w:rFonts w:hint="eastAsia" w:cs="宋体"/>
          <w:b w:val="0"/>
          <w:bCs w:val="0"/>
          <w:color w:val="auto"/>
          <w:highlight w:val="none"/>
          <w:shd w:val="clear" w:color="auto" w:fill="auto"/>
          <w:lang w:val="en-US" w:eastAsia="zh-CN"/>
        </w:rPr>
        <w:t>目标4：紧密型医共体等基层卫生综合改革在县域内稳步推进。</w:t>
      </w:r>
    </w:p>
    <w:p w14:paraId="34A7D80F">
      <w:pPr>
        <w:pStyle w:val="4"/>
        <w:bidi w:val="0"/>
        <w:rPr>
          <w:rFonts w:hint="eastAsia" w:ascii="宋体" w:hAnsi="宋体" w:eastAsia="宋体" w:cs="宋体"/>
          <w:b w:val="0"/>
          <w:bCs w:val="0"/>
          <w:color w:val="auto"/>
          <w:highlight w:val="none"/>
          <w:shd w:val="clear" w:color="auto" w:fill="auto"/>
          <w:lang w:val="en-US" w:eastAsia="zh-CN"/>
        </w:rPr>
      </w:pPr>
      <w:r>
        <w:rPr>
          <w:rFonts w:hint="eastAsia" w:cs="宋体"/>
          <w:b w:val="0"/>
          <w:bCs w:val="0"/>
          <w:color w:val="auto"/>
          <w:highlight w:val="none"/>
          <w:shd w:val="clear" w:color="auto" w:fill="auto"/>
          <w:lang w:val="en-US" w:eastAsia="zh-CN"/>
        </w:rPr>
        <w:t>目标5：对基本药物制度补助满意度进一步提高。</w:t>
      </w:r>
    </w:p>
    <w:p w14:paraId="03EA0DF3">
      <w:pPr>
        <w:pStyle w:val="4"/>
        <w:ind w:firstLine="562"/>
        <w:rPr>
          <w:color w:val="auto"/>
          <w:highlight w:val="none"/>
        </w:rPr>
      </w:pPr>
      <w:r>
        <w:rPr>
          <w:rFonts w:hint="eastAsia"/>
          <w:color w:val="auto"/>
          <w:highlight w:val="none"/>
        </w:rPr>
        <w:t>2.阶段性目标</w:t>
      </w:r>
    </w:p>
    <w:p w14:paraId="64A72F93">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14:paraId="02BEA943">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（1）项目产出指标</w:t>
      </w:r>
    </w:p>
    <w:p w14:paraId="2222528C">
      <w:pPr>
        <w:ind w:firstLine="560"/>
        <w:rPr>
          <w:color w:val="auto"/>
          <w:highlight w:val="none"/>
        </w:rPr>
      </w:pPr>
      <w:r>
        <w:rPr>
          <w:rFonts w:hint="eastAsia"/>
          <w:color w:val="auto"/>
          <w:highlight w:val="none"/>
        </w:rPr>
        <w:t>①数量指标</w:t>
      </w:r>
    </w:p>
    <w:p w14:paraId="0C772255">
      <w:pPr>
        <w:ind w:firstLine="560"/>
        <w:rPr>
          <w:rFonts w:hint="default"/>
          <w:color w:val="auto"/>
          <w:highlight w:val="none"/>
          <w:lang w:val="en-US" w:eastAsia="zh-CN"/>
        </w:rPr>
      </w:pPr>
      <w:r>
        <w:rPr>
          <w:rFonts w:hint="eastAsia"/>
          <w:color w:val="auto"/>
          <w:highlight w:val="none"/>
          <w:lang w:val="en-US" w:eastAsia="zh-CN"/>
        </w:rPr>
        <w:t>“实施基本药物制度的政府办基层医疗卫生机构占比”指标，预期指标值为&gt;=52家。</w:t>
      </w:r>
    </w:p>
    <w:p w14:paraId="3BD63FF3">
      <w:pPr>
        <w:ind w:firstLine="560"/>
        <w:rPr>
          <w:rFonts w:hint="default"/>
          <w:color w:val="auto"/>
          <w:highlight w:val="none"/>
          <w:lang w:val="en-US"/>
        </w:rPr>
      </w:pPr>
      <w:r>
        <w:rPr>
          <w:rFonts w:hint="eastAsia"/>
          <w:color w:val="auto"/>
          <w:highlight w:val="none"/>
        </w:rPr>
        <w:t>“村卫生室基本药物补贴品种”指标，预期指标值为</w:t>
      </w:r>
      <w:r>
        <w:rPr>
          <w:rFonts w:hint="eastAsia"/>
          <w:color w:val="auto"/>
          <w:highlight w:val="none"/>
          <w:lang w:val="en-US" w:eastAsia="zh-CN"/>
        </w:rPr>
        <w:t>&gt;=123种。</w:t>
      </w:r>
    </w:p>
    <w:p w14:paraId="5D4496D2">
      <w:pPr>
        <w:ind w:firstLine="560"/>
        <w:rPr>
          <w:color w:val="auto"/>
          <w:highlight w:val="none"/>
        </w:rPr>
      </w:pPr>
      <w:r>
        <w:rPr>
          <w:rFonts w:hint="eastAsia"/>
          <w:color w:val="auto"/>
          <w:highlight w:val="none"/>
        </w:rPr>
        <w:t>②质量指标</w:t>
      </w:r>
    </w:p>
    <w:p w14:paraId="27987410">
      <w:pPr>
        <w:ind w:firstLine="560"/>
        <w:rPr>
          <w:rFonts w:hint="eastAsia"/>
          <w:color w:val="auto"/>
          <w:highlight w:val="none"/>
          <w:lang w:val="en-US" w:eastAsia="zh-CN"/>
        </w:rPr>
      </w:pPr>
      <w:r>
        <w:rPr>
          <w:rFonts w:hint="eastAsia"/>
          <w:color w:val="auto"/>
          <w:highlight w:val="none"/>
        </w:rPr>
        <w:t>“资金规范管理使用率”指标，预期指标值为=100%</w:t>
      </w:r>
      <w:r>
        <w:rPr>
          <w:rFonts w:hint="eastAsia"/>
          <w:color w:val="auto"/>
          <w:highlight w:val="none"/>
          <w:lang w:val="en-US" w:eastAsia="zh-CN"/>
        </w:rPr>
        <w:t>。</w:t>
      </w:r>
    </w:p>
    <w:p w14:paraId="0D70EF11">
      <w:pPr>
        <w:ind w:firstLine="560"/>
        <w:rPr>
          <w:rFonts w:hint="default"/>
          <w:color w:val="auto"/>
          <w:highlight w:val="none"/>
          <w:lang w:val="en-US" w:eastAsia="zh-CN"/>
        </w:rPr>
      </w:pPr>
      <w:r>
        <w:rPr>
          <w:rFonts w:hint="eastAsia"/>
          <w:color w:val="auto"/>
          <w:highlight w:val="none"/>
          <w:lang w:val="en-US" w:eastAsia="zh-CN"/>
        </w:rPr>
        <w:t>“基层医疗卫生机构基本药物制度覆盖率”指标，预期指标值为</w:t>
      </w:r>
      <w:r>
        <w:rPr>
          <w:rFonts w:hint="eastAsia"/>
          <w:color w:val="auto"/>
          <w:highlight w:val="none"/>
        </w:rPr>
        <w:t>=100%</w:t>
      </w:r>
      <w:r>
        <w:rPr>
          <w:rFonts w:hint="eastAsia"/>
          <w:color w:val="auto"/>
          <w:highlight w:val="none"/>
          <w:lang w:val="en-US" w:eastAsia="zh-CN"/>
        </w:rPr>
        <w:t>。</w:t>
      </w:r>
    </w:p>
    <w:p w14:paraId="2D953DB9">
      <w:pPr>
        <w:ind w:firstLine="560"/>
        <w:rPr>
          <w:rFonts w:hint="default"/>
          <w:color w:val="auto"/>
          <w:highlight w:val="none"/>
          <w:lang w:val="en-US"/>
        </w:rPr>
      </w:pPr>
      <w:r>
        <w:rPr>
          <w:rFonts w:hint="eastAsia"/>
          <w:color w:val="auto"/>
          <w:highlight w:val="none"/>
        </w:rPr>
        <w:t>“村卫生室实施国家基本药物制度覆盖率”指标，预期指标值为=100%</w:t>
      </w:r>
      <w:r>
        <w:rPr>
          <w:rFonts w:hint="eastAsia"/>
          <w:color w:val="auto"/>
          <w:highlight w:val="none"/>
          <w:lang w:val="en-US" w:eastAsia="zh-CN"/>
        </w:rPr>
        <w:t>。</w:t>
      </w:r>
    </w:p>
    <w:p w14:paraId="3C2B19A2">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14:paraId="495309A6">
      <w:pPr>
        <w:ind w:firstLine="560"/>
        <w:rPr>
          <w:rFonts w:hint="eastAsia" w:eastAsia="仿宋_GB2312"/>
          <w:color w:val="auto"/>
          <w:highlight w:val="none"/>
          <w:lang w:eastAsia="zh-CN"/>
        </w:rPr>
      </w:pPr>
      <w:r>
        <w:rPr>
          <w:rFonts w:hint="eastAsia"/>
          <w:color w:val="auto"/>
          <w:highlight w:val="none"/>
        </w:rPr>
        <w:t>“基本药物补贴发放及时率”指标，预期指标值为</w:t>
      </w:r>
      <w:r>
        <w:rPr>
          <w:rFonts w:hint="eastAsia"/>
          <w:color w:val="auto"/>
          <w:highlight w:val="none"/>
          <w:lang w:val="en-US" w:eastAsia="zh-CN"/>
        </w:rPr>
        <w:t>100%</w:t>
      </w:r>
      <w:r>
        <w:rPr>
          <w:rFonts w:hint="eastAsia"/>
          <w:color w:val="auto"/>
          <w:highlight w:val="none"/>
          <w:lang w:eastAsia="zh-CN"/>
        </w:rPr>
        <w:t>。</w:t>
      </w:r>
    </w:p>
    <w:p w14:paraId="5BE60A55">
      <w:pPr>
        <w:ind w:firstLine="560"/>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（2）项目成本指标</w:t>
      </w:r>
    </w:p>
    <w:p w14:paraId="0C5B014B">
      <w:pPr>
        <w:ind w:firstLine="560"/>
        <w:rPr>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14:paraId="63E2F589">
      <w:pPr>
        <w:ind w:firstLine="560"/>
        <w:rPr>
          <w:color w:val="auto"/>
          <w:highlight w:val="none"/>
        </w:rPr>
      </w:pPr>
      <w:r>
        <w:rPr>
          <w:rFonts w:hint="eastAsia"/>
          <w:color w:val="auto"/>
          <w:highlight w:val="none"/>
        </w:rPr>
        <w:t>“基本药物补助资金标准”指标，预期指标值为&lt;=25428.85元/家；</w:t>
      </w:r>
    </w:p>
    <w:p w14:paraId="0BEA4A2E">
      <w:pPr>
        <w:ind w:firstLine="560"/>
        <w:rPr>
          <w:color w:val="auto"/>
          <w:highlight w:val="none"/>
        </w:rPr>
      </w:pPr>
      <w:r>
        <w:rPr>
          <w:rFonts w:hint="eastAsia"/>
          <w:color w:val="auto"/>
          <w:highlight w:val="none"/>
        </w:rPr>
        <w:t>②</w:t>
      </w:r>
      <w:r>
        <w:rPr>
          <w:rFonts w:hint="eastAsia"/>
          <w:color w:val="auto"/>
          <w:highlight w:val="none"/>
          <w:lang w:val="en-US" w:eastAsia="zh-CN"/>
        </w:rPr>
        <w:t>社会</w:t>
      </w:r>
      <w:r>
        <w:rPr>
          <w:rFonts w:hint="eastAsia"/>
          <w:color w:val="auto"/>
          <w:highlight w:val="none"/>
        </w:rPr>
        <w:t>成本指标</w:t>
      </w:r>
    </w:p>
    <w:p w14:paraId="27F96E23">
      <w:pPr>
        <w:ind w:firstLine="560"/>
        <w:rPr>
          <w:color w:val="auto"/>
          <w:highlight w:val="none"/>
        </w:rPr>
      </w:pPr>
      <w:r>
        <w:rPr>
          <w:rFonts w:hint="eastAsia"/>
          <w:color w:val="auto"/>
          <w:highlight w:val="none"/>
          <w:lang w:val="en-US" w:eastAsia="zh-CN"/>
        </w:rPr>
        <w:t>无</w:t>
      </w:r>
      <w:r>
        <w:rPr>
          <w:rFonts w:hint="eastAsia"/>
          <w:color w:val="auto"/>
          <w:highlight w:val="none"/>
        </w:rPr>
        <w:t>；</w:t>
      </w:r>
    </w:p>
    <w:p w14:paraId="7A7AAA26">
      <w:pPr>
        <w:ind w:firstLine="560"/>
        <w:rPr>
          <w:color w:val="auto"/>
          <w:highlight w:val="none"/>
        </w:rPr>
      </w:pPr>
      <w:r>
        <w:rPr>
          <w:rFonts w:hint="eastAsia"/>
          <w:color w:val="auto"/>
          <w:highlight w:val="none"/>
        </w:rPr>
        <w:t>③</w:t>
      </w:r>
      <w:r>
        <w:rPr>
          <w:rFonts w:hint="eastAsia"/>
          <w:color w:val="auto"/>
          <w:highlight w:val="none"/>
          <w:lang w:val="en-US" w:eastAsia="zh-CN"/>
        </w:rPr>
        <w:t>生态环境</w:t>
      </w:r>
      <w:r>
        <w:rPr>
          <w:rFonts w:hint="eastAsia"/>
          <w:color w:val="auto"/>
          <w:highlight w:val="none"/>
        </w:rPr>
        <w:t>成本指标</w:t>
      </w:r>
    </w:p>
    <w:p w14:paraId="295E3F7A">
      <w:pPr>
        <w:ind w:firstLine="560"/>
        <w:rPr>
          <w:color w:val="auto"/>
          <w:highlight w:val="none"/>
        </w:rPr>
      </w:pPr>
      <w:r>
        <w:rPr>
          <w:rFonts w:hint="eastAsia"/>
          <w:color w:val="auto"/>
          <w:highlight w:val="none"/>
          <w:lang w:val="en-US" w:eastAsia="zh-CN"/>
        </w:rPr>
        <w:t>无</w:t>
      </w:r>
      <w:r>
        <w:rPr>
          <w:rFonts w:hint="eastAsia"/>
          <w:color w:val="auto"/>
          <w:highlight w:val="none"/>
        </w:rPr>
        <w:t>；</w:t>
      </w:r>
    </w:p>
    <w:p w14:paraId="1BFD8EFC">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（3）项目效益指标</w:t>
      </w:r>
    </w:p>
    <w:p w14:paraId="71620301">
      <w:pPr>
        <w:ind w:firstLine="560"/>
        <w:rPr>
          <w:color w:val="auto"/>
          <w:highlight w:val="none"/>
        </w:rPr>
      </w:pPr>
      <w:r>
        <w:rPr>
          <w:rFonts w:hint="eastAsia"/>
          <w:color w:val="auto"/>
          <w:highlight w:val="none"/>
        </w:rPr>
        <w:t>①经济效益指标</w:t>
      </w:r>
    </w:p>
    <w:p w14:paraId="1DF68B1B">
      <w:pPr>
        <w:ind w:firstLine="560"/>
        <w:rPr>
          <w:color w:val="auto"/>
          <w:highlight w:val="none"/>
        </w:rPr>
      </w:pPr>
      <w:r>
        <w:rPr>
          <w:rFonts w:hint="eastAsia"/>
          <w:color w:val="auto"/>
          <w:highlight w:val="none"/>
          <w:lang w:val="en-US" w:eastAsia="zh-CN"/>
        </w:rPr>
        <w:t>无</w:t>
      </w:r>
      <w:r>
        <w:rPr>
          <w:rFonts w:hint="eastAsia"/>
          <w:color w:val="auto"/>
          <w:highlight w:val="none"/>
        </w:rPr>
        <w:t>；</w:t>
      </w:r>
    </w:p>
    <w:p w14:paraId="59C065BD">
      <w:pPr>
        <w:ind w:firstLine="560"/>
        <w:rPr>
          <w:color w:val="auto"/>
          <w:highlight w:val="none"/>
        </w:rPr>
      </w:pPr>
      <w:r>
        <w:rPr>
          <w:rFonts w:hint="eastAsia"/>
          <w:color w:val="auto"/>
          <w:highlight w:val="none"/>
        </w:rPr>
        <w:t>②社会效益指标</w:t>
      </w:r>
    </w:p>
    <w:p w14:paraId="4E71630D">
      <w:pPr>
        <w:ind w:firstLine="560"/>
        <w:rPr>
          <w:rFonts w:hint="eastAsia"/>
          <w:color w:val="auto"/>
          <w:highlight w:val="none"/>
        </w:rPr>
      </w:pPr>
      <w:r>
        <w:rPr>
          <w:rFonts w:hint="eastAsia"/>
          <w:color w:val="auto"/>
          <w:highlight w:val="none"/>
        </w:rPr>
        <w:t>“降低城乡居民基本用药负担”指标，预期指标值为有效降低；</w:t>
      </w:r>
    </w:p>
    <w:p w14:paraId="214436D1">
      <w:pPr>
        <w:tabs>
          <w:tab w:val="left" w:pos="8942"/>
        </w:tabs>
        <w:ind w:firstLine="560"/>
        <w:rPr>
          <w:rFonts w:hint="eastAsia" w:eastAsia="仿宋_GB2312"/>
          <w:color w:val="auto"/>
          <w:highlight w:val="none"/>
          <w:lang w:eastAsia="zh-CN"/>
        </w:rPr>
      </w:pPr>
      <w:r>
        <w:rPr>
          <w:rFonts w:hint="eastAsia"/>
          <w:color w:val="auto"/>
          <w:highlight w:val="none"/>
          <w:lang w:eastAsia="zh-CN"/>
        </w:rPr>
        <w:t>“保证药品安全、有效、经济性”</w:t>
      </w:r>
      <w:r>
        <w:rPr>
          <w:rFonts w:hint="eastAsia"/>
          <w:color w:val="auto"/>
          <w:highlight w:val="none"/>
        </w:rPr>
        <w:t>指标，预期指标值为有效降低；</w:t>
      </w:r>
    </w:p>
    <w:p w14:paraId="5C60A4F6">
      <w:pPr>
        <w:ind w:firstLine="560"/>
        <w:rPr>
          <w:color w:val="auto"/>
          <w:highlight w:val="none"/>
        </w:rPr>
      </w:pPr>
      <w:r>
        <w:rPr>
          <w:rFonts w:hint="eastAsia"/>
          <w:color w:val="auto"/>
          <w:highlight w:val="none"/>
        </w:rPr>
        <w:t>③生态效益指标</w:t>
      </w:r>
    </w:p>
    <w:p w14:paraId="344F7633">
      <w:pPr>
        <w:ind w:firstLine="560"/>
        <w:rPr>
          <w:color w:val="auto"/>
          <w:highlight w:val="none"/>
        </w:rPr>
      </w:pPr>
      <w:r>
        <w:rPr>
          <w:rFonts w:hint="eastAsia"/>
          <w:color w:val="auto"/>
          <w:highlight w:val="none"/>
          <w:lang w:val="en-US" w:eastAsia="zh-CN"/>
        </w:rPr>
        <w:t>无</w:t>
      </w:r>
      <w:r>
        <w:rPr>
          <w:rFonts w:hint="eastAsia"/>
          <w:color w:val="auto"/>
          <w:highlight w:val="none"/>
        </w:rPr>
        <w:t>；</w:t>
      </w:r>
    </w:p>
    <w:p w14:paraId="1FA90140">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4</w:t>
      </w:r>
      <w:r>
        <w:rPr>
          <w:rFonts w:hint="eastAsia" w:ascii="仿宋" w:hAnsi="仿宋" w:eastAsia="仿宋"/>
          <w:b/>
          <w:color w:val="auto"/>
          <w:highlight w:val="none"/>
        </w:rPr>
        <w:t>）满意度</w:t>
      </w:r>
      <w:r>
        <w:rPr>
          <w:rFonts w:hint="eastAsia" w:ascii="仿宋" w:hAnsi="仿宋" w:eastAsia="仿宋"/>
          <w:b/>
          <w:color w:val="auto"/>
          <w:highlight w:val="none"/>
          <w:lang w:val="en-US" w:eastAsia="zh-CN"/>
        </w:rPr>
        <w:t>指标</w:t>
      </w:r>
    </w:p>
    <w:p w14:paraId="6CC74B65">
      <w:pPr>
        <w:tabs>
          <w:tab w:val="left" w:pos="1646"/>
        </w:tabs>
        <w:ind w:firstLine="560"/>
        <w:rPr>
          <w:rFonts w:hint="eastAsia" w:eastAsia="仿宋_GB2312"/>
          <w:color w:val="auto"/>
          <w:highlight w:val="none"/>
          <w:lang w:eastAsia="zh-CN"/>
        </w:rPr>
      </w:pPr>
      <w:r>
        <w:rPr>
          <w:rFonts w:hint="eastAsia"/>
          <w:color w:val="auto"/>
          <w:highlight w:val="none"/>
          <w:lang w:eastAsia="zh-CN"/>
        </w:rPr>
        <w:t>“病患居民群众满意度”</w:t>
      </w:r>
      <w:r>
        <w:rPr>
          <w:rFonts w:hint="eastAsia"/>
          <w:color w:val="auto"/>
          <w:highlight w:val="none"/>
        </w:rPr>
        <w:t>指标，预期指标值为&gt;=90%</w:t>
      </w:r>
      <w:r>
        <w:rPr>
          <w:rFonts w:hint="eastAsia"/>
          <w:color w:val="auto"/>
          <w:highlight w:val="none"/>
          <w:lang w:eastAsia="zh-CN"/>
        </w:rPr>
        <w:t>；</w:t>
      </w:r>
    </w:p>
    <w:p w14:paraId="0ABED280">
      <w:pPr>
        <w:pStyle w:val="2"/>
        <w:ind w:firstLine="640"/>
        <w:rPr>
          <w:color w:val="auto"/>
          <w:highlight w:val="none"/>
        </w:rPr>
      </w:pPr>
      <w:r>
        <w:rPr>
          <w:rFonts w:hint="eastAsia"/>
          <w:color w:val="auto"/>
          <w:highlight w:val="none"/>
        </w:rPr>
        <w:t>二、绩效评价工作开展情况</w:t>
      </w:r>
    </w:p>
    <w:p w14:paraId="073BA109">
      <w:pPr>
        <w:pStyle w:val="3"/>
        <w:numPr>
          <w:ilvl w:val="0"/>
          <w:numId w:val="1"/>
        </w:numPr>
        <w:ind w:firstLine="643"/>
        <w:rPr>
          <w:rFonts w:ascii="楷体" w:hAnsi="楷体" w:cs="楷体"/>
          <w:color w:val="auto"/>
          <w:szCs w:val="32"/>
          <w:highlight w:val="none"/>
        </w:rPr>
      </w:pPr>
      <w:bookmarkStart w:id="0" w:name="_Toc22169_WPSOffice_Level2"/>
      <w:bookmarkStart w:id="1" w:name="_Toc5462343"/>
      <w:bookmarkStart w:id="2" w:name="_Toc21664"/>
      <w:bookmarkStart w:id="3" w:name="_Toc26632"/>
      <w:bookmarkStart w:id="4" w:name="_Toc12868"/>
      <w:bookmarkStart w:id="5" w:name="_Toc480473081"/>
      <w:bookmarkStart w:id="6" w:name="_Toc5258"/>
      <w:bookmarkStart w:id="7" w:name="_Toc22922"/>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14:paraId="561B7289">
      <w:pPr>
        <w:pStyle w:val="4"/>
        <w:ind w:firstLine="562"/>
        <w:rPr>
          <w:rFonts w:hint="eastAsia"/>
          <w:color w:val="auto"/>
          <w:highlight w:val="none"/>
        </w:rPr>
      </w:pPr>
      <w:r>
        <w:rPr>
          <w:rFonts w:hint="eastAsia"/>
          <w:color w:val="auto"/>
          <w:highlight w:val="none"/>
        </w:rPr>
        <w:t>1.绩效评价的目的</w:t>
      </w:r>
    </w:p>
    <w:p w14:paraId="582F1AAF">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14:paraId="7FB4DC3D">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14:paraId="631E2435">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29F83AE0">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65213D8B">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76E2DFAC">
      <w:pPr>
        <w:pStyle w:val="4"/>
        <w:ind w:firstLine="562"/>
        <w:rPr>
          <w:rFonts w:hint="eastAsia"/>
          <w:color w:val="auto"/>
          <w:highlight w:val="none"/>
        </w:rPr>
      </w:pPr>
      <w:r>
        <w:rPr>
          <w:rFonts w:hint="eastAsia"/>
          <w:color w:val="auto"/>
          <w:highlight w:val="none"/>
        </w:rPr>
        <w:t>2.绩效评价对象</w:t>
      </w:r>
    </w:p>
    <w:p w14:paraId="0BD366F4">
      <w:pPr>
        <w:ind w:firstLine="560"/>
        <w:rPr>
          <w:color w:val="auto"/>
          <w:highlight w:val="none"/>
        </w:rPr>
      </w:pPr>
      <w:r>
        <w:rPr>
          <w:rFonts w:hint="eastAsia"/>
          <w:color w:val="auto"/>
          <w:highlight w:val="none"/>
        </w:rPr>
        <w:t>此次我单位根据《财政支出绩效评价管理暂行办法》（财预〔2020〕10号）文件要求实施评价工作，本次评价对象为</w:t>
      </w:r>
      <w:r>
        <w:rPr>
          <w:rFonts w:hint="eastAsia" w:ascii="仿宋_GB2312" w:hAnsi="仿宋_GB2312" w:eastAsia="仿宋_GB2312" w:cs="仿宋_GB2312"/>
          <w:color w:val="auto"/>
          <w:highlight w:val="none"/>
          <w:lang w:val="en-US" w:eastAsia="zh-CN"/>
        </w:rPr>
        <w:t>综合业务项目经费</w:t>
      </w:r>
      <w:r>
        <w:rPr>
          <w:rFonts w:hint="eastAsia"/>
          <w:color w:val="auto"/>
          <w:highlight w:val="none"/>
        </w:rPr>
        <w:t>，评价核心为项目</w:t>
      </w:r>
      <w:r>
        <w:rPr>
          <w:rFonts w:hint="eastAsia"/>
          <w:color w:val="auto"/>
          <w:highlight w:val="none"/>
          <w:lang w:val="en-US" w:eastAsia="zh-CN"/>
        </w:rPr>
        <w:t>的资金投入、产出及效益</w:t>
      </w:r>
      <w:r>
        <w:rPr>
          <w:rFonts w:hint="eastAsia"/>
          <w:color w:val="auto"/>
          <w:highlight w:val="none"/>
        </w:rPr>
        <w:t>。</w:t>
      </w:r>
    </w:p>
    <w:p w14:paraId="4C4A69B5">
      <w:pPr>
        <w:pStyle w:val="4"/>
        <w:ind w:firstLine="562"/>
        <w:rPr>
          <w:rFonts w:hint="eastAsia"/>
          <w:color w:val="auto"/>
          <w:highlight w:val="none"/>
        </w:rPr>
      </w:pPr>
      <w:r>
        <w:rPr>
          <w:rFonts w:hint="eastAsia"/>
          <w:color w:val="auto"/>
          <w:highlight w:val="none"/>
        </w:rPr>
        <w:t>3.绩效评价范围</w:t>
      </w:r>
    </w:p>
    <w:p w14:paraId="384FCC0E">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14:paraId="36083A44">
      <w:pPr>
        <w:pStyle w:val="3"/>
        <w:numPr>
          <w:ilvl w:val="0"/>
          <w:numId w:val="1"/>
        </w:numPr>
        <w:ind w:firstLine="643"/>
        <w:rPr>
          <w:color w:val="auto"/>
          <w:highlight w:val="none"/>
        </w:rPr>
      </w:pPr>
      <w:r>
        <w:rPr>
          <w:rFonts w:hint="eastAsia"/>
          <w:color w:val="auto"/>
          <w:highlight w:val="none"/>
        </w:rPr>
        <w:t>绩效评价原则、评价指标体系、评价方法评价标准</w:t>
      </w:r>
    </w:p>
    <w:p w14:paraId="2A291050">
      <w:pPr>
        <w:pStyle w:val="4"/>
        <w:ind w:firstLine="562"/>
        <w:rPr>
          <w:color w:val="auto"/>
          <w:highlight w:val="none"/>
        </w:rPr>
      </w:pPr>
      <w:r>
        <w:rPr>
          <w:rFonts w:hint="eastAsia"/>
          <w:color w:val="auto"/>
          <w:highlight w:val="none"/>
        </w:rPr>
        <w:t>1.绩效评价原则</w:t>
      </w:r>
    </w:p>
    <w:p w14:paraId="68D51073">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14:paraId="3981EC69">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14:paraId="2BBE5362">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64926B4D">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14:paraId="578AD009">
      <w:pPr>
        <w:snapToGrid w:val="0"/>
        <w:ind w:firstLine="560"/>
        <w:rPr>
          <w:color w:val="auto"/>
          <w:highlight w:val="none"/>
        </w:rPr>
      </w:pPr>
      <w:r>
        <w:rPr>
          <w:rFonts w:hint="eastAsia"/>
          <w:color w:val="auto"/>
          <w:highlight w:val="none"/>
        </w:rPr>
        <w:t>（4）公开透明。绩效评价结果应依法依规公开，并自觉接受社会监督。</w:t>
      </w:r>
    </w:p>
    <w:p w14:paraId="0204F117">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14:paraId="58402FEC">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14:paraId="271EE1CF">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14:paraId="2E8181B6">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14:paraId="5C8745C1">
      <w:pPr>
        <w:pStyle w:val="4"/>
        <w:ind w:firstLine="562"/>
        <w:rPr>
          <w:color w:val="auto"/>
          <w:highlight w:val="none"/>
        </w:rPr>
      </w:pPr>
      <w:bookmarkStart w:id="8" w:name="_Toc419984722"/>
      <w:bookmarkStart w:id="9" w:name="_Toc428278230"/>
      <w:bookmarkStart w:id="10" w:name="_Toc26131"/>
      <w:bookmarkStart w:id="11" w:name="_Toc1913"/>
      <w:r>
        <w:rPr>
          <w:rFonts w:hint="eastAsia"/>
          <w:color w:val="auto"/>
          <w:highlight w:val="none"/>
        </w:rPr>
        <w:t>2.绩效评价指标体系</w:t>
      </w:r>
      <w:bookmarkEnd w:id="8"/>
      <w:bookmarkEnd w:id="9"/>
      <w:bookmarkEnd w:id="10"/>
      <w:bookmarkEnd w:id="11"/>
    </w:p>
    <w:p w14:paraId="159E97B3">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w:t>
      </w:r>
      <w:r>
        <w:rPr>
          <w:rFonts w:hint="eastAsia"/>
          <w:color w:val="auto"/>
          <w:highlight w:val="none"/>
          <w:lang w:val="en-US" w:eastAsia="zh-CN"/>
        </w:rPr>
        <w:t>预算执行率（10分）、</w:t>
      </w:r>
      <w:r>
        <w:rPr>
          <w:rFonts w:hint="eastAsia"/>
          <w:color w:val="auto"/>
          <w:highlight w:val="none"/>
          <w:lang w:val="zh-TW" w:eastAsia="zh-TW"/>
        </w:rPr>
        <w:t>产出指标（</w:t>
      </w:r>
      <w:r>
        <w:rPr>
          <w:rFonts w:hint="eastAsia"/>
          <w:color w:val="auto"/>
          <w:highlight w:val="none"/>
          <w:lang w:val="en-US" w:eastAsia="zh-CN"/>
        </w:rPr>
        <w:t>40分</w:t>
      </w:r>
      <w:r>
        <w:rPr>
          <w:rFonts w:hint="eastAsia"/>
          <w:color w:val="auto"/>
          <w:highlight w:val="none"/>
          <w:lang w:val="zh-TW" w:eastAsia="zh-TW"/>
        </w:rPr>
        <w:t>）、</w:t>
      </w:r>
      <w:r>
        <w:rPr>
          <w:rFonts w:hint="eastAsia"/>
          <w:color w:val="auto"/>
          <w:highlight w:val="none"/>
          <w:lang w:val="en-US" w:eastAsia="zh-CN"/>
        </w:rPr>
        <w:t>成本指标（20分）、</w:t>
      </w:r>
      <w:r>
        <w:rPr>
          <w:rFonts w:hint="eastAsia"/>
          <w:color w:val="auto"/>
          <w:highlight w:val="none"/>
          <w:lang w:val="zh-TW" w:eastAsia="zh-TW"/>
        </w:rPr>
        <w:t>效益指标（</w:t>
      </w:r>
      <w:r>
        <w:rPr>
          <w:rFonts w:hint="eastAsia"/>
          <w:color w:val="auto"/>
          <w:highlight w:val="none"/>
          <w:lang w:val="en-US" w:eastAsia="zh-CN"/>
        </w:rPr>
        <w:t>20分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lang w:val="en-US" w:eastAsia="zh-CN"/>
        </w:rPr>
        <w:t>满意度指标(10分)</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14:paraId="4661F0AF">
      <w:pPr>
        <w:pStyle w:val="4"/>
        <w:ind w:firstLine="562"/>
        <w:rPr>
          <w:color w:val="auto"/>
          <w:highlight w:val="none"/>
        </w:rPr>
      </w:pPr>
      <w:r>
        <w:rPr>
          <w:rFonts w:hint="eastAsia"/>
          <w:color w:val="auto"/>
          <w:highlight w:val="none"/>
        </w:rPr>
        <w:t>3.评价方法</w:t>
      </w:r>
    </w:p>
    <w:p w14:paraId="201BBDEF">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绩效评价方法主要包括成本效益分析法、比较法、因素分析法、最低成本法、公众评判法、标杆管理法等。我单位根据本项目资金的性质和特点，选用比成本效益分析法</w:t>
      </w:r>
      <w:r>
        <w:rPr>
          <w:rFonts w:hint="eastAsia"/>
          <w:color w:val="auto"/>
          <w:highlight w:val="none"/>
          <w:lang w:val="en-US" w:eastAsia="zh-CN"/>
        </w:rPr>
        <w:t>及</w:t>
      </w:r>
      <w:r>
        <w:rPr>
          <w:rFonts w:hint="eastAsia"/>
          <w:color w:val="auto"/>
          <w:highlight w:val="none"/>
        </w:rPr>
        <w:t>公众评判法对项目进行评价，旨在通过综合分析影响绩效目标实现、实施效果的内外部因素，从而评价本项目绩效。</w:t>
      </w:r>
    </w:p>
    <w:p w14:paraId="047F9CC9">
      <w:pPr>
        <w:ind w:firstLine="560"/>
        <w:rPr>
          <w:color w:val="auto"/>
          <w:highlight w:val="none"/>
        </w:rPr>
      </w:pPr>
      <w:r>
        <w:rPr>
          <w:rFonts w:hint="eastAsia"/>
          <w:color w:val="auto"/>
          <w:highlight w:val="none"/>
        </w:rPr>
        <w:t>三级指标分析环节：总体采用成本效益分析法</w:t>
      </w:r>
      <w:r>
        <w:rPr>
          <w:rFonts w:hint="eastAsia"/>
          <w:color w:val="auto"/>
          <w:highlight w:val="none"/>
          <w:lang w:val="en-US" w:eastAsia="zh-CN"/>
        </w:rPr>
        <w:t>及</w:t>
      </w:r>
      <w:r>
        <w:rPr>
          <w:rFonts w:hint="eastAsia"/>
          <w:color w:val="auto"/>
          <w:highlight w:val="none"/>
        </w:rPr>
        <w:t>公众评判法，根据不同三级指标类型进行逐项分析。</w:t>
      </w:r>
    </w:p>
    <w:p w14:paraId="732D06F1">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42553EB2">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14:paraId="54804A64">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14:paraId="0B3F1BB7">
      <w:pPr>
        <w:pStyle w:val="6"/>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14:paraId="2952A65C">
      <w:pPr>
        <w:pStyle w:val="6"/>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14:paraId="4596608A">
      <w:pPr>
        <w:pStyle w:val="6"/>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14:paraId="0FD2B16A">
      <w:pPr>
        <w:pStyle w:val="6"/>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14:paraId="10ADCA5E">
      <w:pPr>
        <w:pStyle w:val="6"/>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14:paraId="2A9D702D">
      <w:pPr>
        <w:pStyle w:val="6"/>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14:paraId="1A653561">
      <w:pPr>
        <w:pStyle w:val="6"/>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14:paraId="27F8B850">
      <w:pPr>
        <w:pStyle w:val="6"/>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14:paraId="4772CCA2">
      <w:pPr>
        <w:pStyle w:val="6"/>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14:paraId="236F4705">
      <w:pPr>
        <w:pStyle w:val="6"/>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14:paraId="0FB5DD56">
      <w:pPr>
        <w:pStyle w:val="6"/>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25F14F47">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14:paraId="6D4F7E97">
      <w:pPr>
        <w:pStyle w:val="4"/>
        <w:ind w:firstLine="562"/>
        <w:rPr>
          <w:color w:val="auto"/>
          <w:highlight w:val="none"/>
        </w:rPr>
      </w:pPr>
      <w:r>
        <w:rPr>
          <w:rFonts w:hint="eastAsia"/>
          <w:color w:val="auto"/>
          <w:highlight w:val="none"/>
        </w:rPr>
        <w:t>4.评价标准</w:t>
      </w:r>
    </w:p>
    <w:p w14:paraId="64814733">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8BEA49D">
      <w:pPr>
        <w:pStyle w:val="3"/>
        <w:numPr>
          <w:ilvl w:val="0"/>
          <w:numId w:val="1"/>
        </w:numPr>
        <w:ind w:firstLine="643"/>
        <w:rPr>
          <w:color w:val="auto"/>
          <w:highlight w:val="none"/>
        </w:rPr>
      </w:pPr>
      <w:r>
        <w:rPr>
          <w:rFonts w:hint="eastAsia"/>
          <w:color w:val="auto"/>
          <w:highlight w:val="none"/>
        </w:rPr>
        <w:t>绩效评价工作过程</w:t>
      </w:r>
    </w:p>
    <w:p w14:paraId="29B62BD2">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14:paraId="25419EAB">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14:paraId="08CE0B9B">
      <w:pPr>
        <w:ind w:firstLine="560"/>
        <w:rPr>
          <w:rFonts w:hint="default"/>
          <w:color w:val="auto"/>
          <w:highlight w:val="none"/>
          <w:lang w:val="en-US" w:eastAsia="zh-CN"/>
        </w:rPr>
      </w:pPr>
      <w:r>
        <w:rPr>
          <w:rFonts w:hint="eastAsia"/>
          <w:color w:val="auto"/>
          <w:highlight w:val="none"/>
          <w:lang w:val="en-US" w:eastAsia="zh-CN"/>
        </w:rPr>
        <w:t>（1）评价组组长：朱立行，</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14:paraId="2D9AD90E">
      <w:pPr>
        <w:ind w:firstLine="560"/>
        <w:rPr>
          <w:rFonts w:hint="eastAsia"/>
          <w:color w:val="auto"/>
          <w:highlight w:val="none"/>
          <w:lang w:val="en-US" w:eastAsia="zh-CN"/>
        </w:rPr>
      </w:pPr>
      <w:r>
        <w:rPr>
          <w:rFonts w:hint="eastAsia"/>
          <w:color w:val="auto"/>
          <w:highlight w:val="none"/>
          <w:lang w:val="en-US" w:eastAsia="zh-CN"/>
        </w:rPr>
        <w:t>（2）评价组成员：张亮仁，</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14:paraId="7A1062CC">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（3）评价组成员：买地娜依，</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14:paraId="4E795658">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14:paraId="29D6035E">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14:paraId="7F86272F">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14:paraId="114A3456">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14:paraId="58046E9C">
      <w:pPr>
        <w:bidi w:val="0"/>
        <w:rPr>
          <w:rFonts w:hint="eastAsia" w:ascii="Times New Roman" w:hAnsi="Times New Roman" w:cs="Times New Roman"/>
          <w:color w:val="auto"/>
          <w:highlight w:val="none"/>
          <w:lang w:val="en-US" w:eastAsia="zh-CN"/>
        </w:rPr>
      </w:pPr>
      <w:bookmarkStart w:id="12" w:name="_Toc5055"/>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14:paraId="14BAA297">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14:paraId="34577566">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14:paraId="76528945">
      <w:pPr>
        <w:pStyle w:val="4"/>
        <w:ind w:firstLine="562"/>
        <w:rPr>
          <w:rFonts w:hint="eastAsia"/>
          <w:color w:val="auto"/>
          <w:highlight w:val="none"/>
        </w:rPr>
      </w:pPr>
      <w:r>
        <w:rPr>
          <w:rFonts w:hint="eastAsia"/>
          <w:color w:val="auto"/>
          <w:highlight w:val="none"/>
          <w:lang w:val="en-US" w:eastAsia="zh-CN"/>
        </w:rPr>
        <w:t>4.</w:t>
      </w:r>
      <w:r>
        <w:rPr>
          <w:rFonts w:hint="eastAsia"/>
          <w:color w:val="auto"/>
          <w:highlight w:val="none"/>
        </w:rPr>
        <w:t>问题整改</w:t>
      </w:r>
    </w:p>
    <w:p w14:paraId="0CF65404">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124E335C">
      <w:pPr>
        <w:pStyle w:val="4"/>
        <w:bidi w:val="0"/>
        <w:rPr>
          <w:rFonts w:hint="eastAsia"/>
          <w:color w:val="auto"/>
          <w:highlight w:val="none"/>
          <w:lang w:val="en-US" w:eastAsia="zh-CN"/>
        </w:rPr>
      </w:pPr>
      <w:r>
        <w:rPr>
          <w:rFonts w:hint="eastAsia"/>
          <w:color w:val="auto"/>
          <w:highlight w:val="none"/>
          <w:lang w:val="en-US" w:eastAsia="zh-CN"/>
        </w:rPr>
        <w:t>5.归集档案</w:t>
      </w:r>
      <w:bookmarkEnd w:id="12"/>
    </w:p>
    <w:p w14:paraId="787D8987">
      <w:pPr>
        <w:bidi w:val="0"/>
        <w:rPr>
          <w:rFonts w:hint="eastAsia"/>
          <w:color w:val="auto"/>
          <w:highlight w:val="none"/>
          <w:lang w:val="en-US" w:eastAsia="zh-CN"/>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14:paraId="4E343FBE">
      <w:pPr>
        <w:rPr>
          <w:color w:val="auto"/>
          <w:highlight w:val="none"/>
        </w:rPr>
      </w:pPr>
      <w:r>
        <w:rPr>
          <w:rFonts w:hint="eastAsia"/>
          <w:color w:val="auto"/>
          <w:highlight w:val="none"/>
        </w:rPr>
        <w:t>　</w:t>
      </w:r>
    </w:p>
    <w:p w14:paraId="4280BBC1">
      <w:pPr>
        <w:pStyle w:val="2"/>
        <w:numPr>
          <w:ilvl w:val="0"/>
          <w:numId w:val="2"/>
        </w:numPr>
        <w:ind w:firstLine="640"/>
        <w:rPr>
          <w:color w:val="auto"/>
          <w:highlight w:val="none"/>
        </w:rPr>
      </w:pPr>
      <w:r>
        <w:rPr>
          <w:rFonts w:hint="eastAsia"/>
          <w:color w:val="auto"/>
          <w:highlight w:val="none"/>
        </w:rPr>
        <w:t>综合评价情况及评价结论</w:t>
      </w:r>
    </w:p>
    <w:p w14:paraId="65FFB4DC">
      <w:pPr>
        <w:pStyle w:val="3"/>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14:paraId="629C6757">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w:t>
      </w:r>
      <w:r>
        <w:rPr>
          <w:rFonts w:hint="eastAsia"/>
          <w:color w:val="auto"/>
          <w:highlight w:val="none"/>
          <w:lang w:val="en-US" w:eastAsia="zh-CN"/>
        </w:rPr>
        <w:t>达成</w:t>
      </w:r>
      <w:r>
        <w:rPr>
          <w:rFonts w:hint="eastAsia"/>
          <w:color w:val="auto"/>
          <w:highlight w:val="none"/>
          <w:lang w:eastAsia="zh-CN"/>
        </w:rPr>
        <w:t>年初设立的绩效目标，</w:t>
      </w:r>
      <w:r>
        <w:rPr>
          <w:rFonts w:hint="eastAsia"/>
          <w:color w:val="auto"/>
          <w:highlight w:val="none"/>
        </w:rPr>
        <w:t>项目总体组织规范，</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14:paraId="3BA61AEC">
      <w:pPr>
        <w:bidi w:val="0"/>
        <w:rPr>
          <w:rFonts w:hint="eastAsia"/>
          <w:color w:val="auto"/>
          <w:highlight w:val="none"/>
          <w:lang w:val="en-US" w:eastAsia="zh-CN"/>
        </w:rPr>
      </w:pPr>
      <w:r>
        <w:rPr>
          <w:rFonts w:hint="eastAsia"/>
          <w:color w:val="auto"/>
          <w:highlight w:val="none"/>
        </w:rPr>
        <w:t>项目决策方面</w:t>
      </w:r>
      <w:r>
        <w:rPr>
          <w:rFonts w:hint="eastAsia"/>
          <w:color w:val="auto"/>
          <w:highlight w:val="none"/>
          <w:lang w:eastAsia="zh-CN"/>
        </w:rPr>
        <w:t>：</w:t>
      </w:r>
      <w:r>
        <w:rPr>
          <w:rFonts w:hint="eastAsia"/>
          <w:color w:val="auto"/>
          <w:highlight w:val="none"/>
          <w:lang w:val="en-US" w:eastAsia="zh-CN"/>
        </w:rPr>
        <w:t>需要了解基层医疗机构的基本药物配备和使用情况，以及医务人员的用药习惯和能力水平。在决策过程中，需要充分考虑基层医疗机构的实际情况和需求，确保政策能够落地实施并取得实效。</w:t>
      </w:r>
    </w:p>
    <w:p w14:paraId="648A967E">
      <w:pPr>
        <w:bidi w:val="0"/>
        <w:rPr>
          <w:rFonts w:hint="eastAsia" w:ascii="Times New Roman" w:hAnsi="Times New Roman" w:cs="Times New Roman"/>
          <w:color w:val="auto"/>
          <w:highlight w:val="none"/>
          <w:lang w:val="en-US" w:eastAsia="zh-CN"/>
        </w:rPr>
      </w:pPr>
      <w:r>
        <w:rPr>
          <w:rFonts w:hint="eastAsia"/>
          <w:color w:val="auto"/>
          <w:highlight w:val="none"/>
        </w:rPr>
        <w:t>项目管理方面</w:t>
      </w:r>
      <w:r>
        <w:rPr>
          <w:rFonts w:hint="eastAsia"/>
          <w:color w:val="auto"/>
          <w:highlight w:val="none"/>
          <w:lang w:eastAsia="zh-CN"/>
        </w:rPr>
        <w:t>：</w:t>
      </w:r>
      <w:r>
        <w:rPr>
          <w:rFonts w:hint="eastAsia" w:ascii="Times New Roman" w:hAnsi="Times New Roman" w:cs="Times New Roman"/>
          <w:color w:val="auto"/>
          <w:highlight w:val="none"/>
          <w:lang w:val="en-US" w:eastAsia="zh-CN"/>
        </w:rPr>
        <w:t>建立健全的项目管理机制，包括明确的项目目标、实施计划、预算分配以及责任分工。通过制定详细的项目实施方案，确保项目的各个环节都有明确的指导和要求。</w:t>
      </w:r>
    </w:p>
    <w:p w14:paraId="699B4A32">
      <w:pPr>
        <w:bidi w:val="0"/>
        <w:rPr>
          <w:rFonts w:hint="eastAsia"/>
          <w:color w:val="auto"/>
          <w:highlight w:val="none"/>
          <w:lang w:val="en-US" w:eastAsia="zh-CN"/>
        </w:rPr>
      </w:pPr>
      <w:r>
        <w:rPr>
          <w:rFonts w:hint="eastAsia"/>
          <w:color w:val="auto"/>
          <w:highlight w:val="none"/>
          <w:lang w:eastAsia="zh-CN"/>
        </w:rPr>
        <w:t>项目产出方面：补助项目不仅为基层医疗机构提供了资金支持，还通过培训和指导等方式，提升了基层医务人员的基本药物使用和管理能力。这使得基层医疗机构在提供基本医疗服务时更加规范、高效，进一步增强了其服务能力。</w:t>
      </w:r>
    </w:p>
    <w:p w14:paraId="74EC7628">
      <w:pPr>
        <w:bidi w:val="0"/>
        <w:rPr>
          <w:color w:val="auto"/>
          <w:highlight w:val="none"/>
          <w:lang w:val="en-US" w:eastAsia="zh-CN"/>
        </w:rPr>
      </w:pPr>
      <w:r>
        <w:rPr>
          <w:rFonts w:hint="eastAsia"/>
          <w:color w:val="auto"/>
          <w:highlight w:val="none"/>
          <w:lang w:eastAsia="zh-CN"/>
        </w:rPr>
        <w:t>项目效益方面：通过补助项目的实施，基层医疗机构的基本药物配备率显著提升，使得更多患者能够在家门口的医疗机构获得所需的基本药物。这极大地提高了基本药物的可及性，缓解了患者购药难的问题。</w:t>
      </w:r>
    </w:p>
    <w:p w14:paraId="508A50A5">
      <w:pPr>
        <w:pStyle w:val="3"/>
        <w:bidi w:val="0"/>
        <w:rPr>
          <w:rFonts w:hint="eastAsia"/>
          <w:color w:val="auto"/>
          <w:highlight w:val="none"/>
        </w:rPr>
      </w:pPr>
      <w:r>
        <w:rPr>
          <w:rFonts w:hint="eastAsia"/>
          <w:color w:val="auto"/>
          <w:highlight w:val="none"/>
        </w:rPr>
        <w:t>（二）综合评价结论</w:t>
      </w:r>
    </w:p>
    <w:bookmarkEnd w:id="14"/>
    <w:p w14:paraId="1CC73DC6">
      <w:pPr>
        <w:bidi w:val="0"/>
        <w:rPr>
          <w:rFonts w:hint="eastAsia" w:eastAsia="仿宋_GB2312"/>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100分，绩效评级为“优秀”。综合评价结论如下：本项目决策指标共设置6个，满分20分，得分率100%；项目过程指标共设置5个，满分20分，得分率100%；项目产出指标共设置6个，满分24分，得分率100%；项目成本指标共设置1个，满分12分，得分率100%；项目效益指标共设置3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14:paraId="2A085323">
      <w:pPr>
        <w:pStyle w:val="2"/>
        <w:numPr>
          <w:ilvl w:val="0"/>
          <w:numId w:val="2"/>
        </w:numPr>
        <w:ind w:firstLine="640"/>
        <w:rPr>
          <w:rFonts w:hint="eastAsia"/>
          <w:color w:val="auto"/>
          <w:highlight w:val="none"/>
        </w:rPr>
      </w:pPr>
      <w:r>
        <w:rPr>
          <w:rFonts w:hint="eastAsia"/>
          <w:color w:val="auto"/>
          <w:highlight w:val="none"/>
        </w:rPr>
        <w:t>绩效评价指标分析</w:t>
      </w:r>
    </w:p>
    <w:p w14:paraId="466E0053">
      <w:pPr>
        <w:pStyle w:val="3"/>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14:paraId="409835A9">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w:t>
      </w:r>
    </w:p>
    <w:p w14:paraId="3B20982F">
      <w:pPr>
        <w:pStyle w:val="4"/>
        <w:bidi w:val="0"/>
        <w:rPr>
          <w:rFonts w:hint="eastAsia"/>
          <w:color w:val="auto"/>
          <w:highlight w:val="none"/>
          <w:lang w:val="en-US" w:eastAsia="zh-CN"/>
        </w:rPr>
      </w:pPr>
      <w:r>
        <w:rPr>
          <w:rFonts w:hint="eastAsia"/>
          <w:color w:val="auto"/>
          <w:highlight w:val="none"/>
          <w:lang w:val="en-US" w:eastAsia="zh-CN"/>
        </w:rPr>
        <w:t>1.项目立项情况分析</w:t>
      </w:r>
    </w:p>
    <w:p w14:paraId="66C8762E">
      <w:pPr>
        <w:bidi w:val="0"/>
        <w:rPr>
          <w:rFonts w:hint="eastAsia"/>
          <w:b/>
          <w:bCs/>
          <w:color w:val="auto"/>
          <w:highlight w:val="none"/>
        </w:rPr>
      </w:pPr>
      <w:r>
        <w:rPr>
          <w:rFonts w:hint="eastAsia"/>
          <w:b/>
          <w:bCs/>
          <w:color w:val="auto"/>
          <w:highlight w:val="none"/>
        </w:rPr>
        <w:t>（1）立项依据充分性：</w:t>
      </w:r>
    </w:p>
    <w:p w14:paraId="0C9E2A2A">
      <w:pPr>
        <w:bidi w:val="0"/>
        <w:rPr>
          <w:rFonts w:hint="eastAsia"/>
          <w:color w:val="auto"/>
          <w:highlight w:val="none"/>
        </w:rPr>
      </w:pPr>
      <w:r>
        <w:rPr>
          <w:rFonts w:hint="eastAsia"/>
          <w:color w:val="auto"/>
          <w:highlight w:val="none"/>
        </w:rPr>
        <w:t>本</w:t>
      </w:r>
      <w:r>
        <w:rPr>
          <w:rFonts w:hint="eastAsia"/>
          <w:color w:val="auto"/>
          <w:highlight w:val="none"/>
          <w:lang w:eastAsia="zh-Hans"/>
        </w:rPr>
        <w:t>项目立项符合</w:t>
      </w:r>
      <w:r>
        <w:rPr>
          <w:rFonts w:hint="eastAsia" w:ascii="仿宋_GB2312" w:hAnsi="仿宋_GB2312" w:eastAsia="仿宋_GB2312" w:cs="仿宋_GB2312"/>
          <w:color w:val="auto"/>
          <w:sz w:val="28"/>
          <w:szCs w:val="28"/>
          <w:highlight w:val="none"/>
        </w:rPr>
        <w:t>《财政部 国家卫生健康委 国家医保局 国家中医药局 国家疾控局关于修订基本公共卫生服务等5项补助资金管理办法的通知》（财社〔2022〕31号）精神</w:t>
      </w:r>
      <w:r>
        <w:rPr>
          <w:rFonts w:hint="eastAsia"/>
          <w:color w:val="auto"/>
          <w:highlight w:val="none"/>
        </w:rPr>
        <w:t>；本项目</w:t>
      </w:r>
      <w:r>
        <w:rPr>
          <w:rFonts w:hint="eastAsia"/>
          <w:color w:val="auto"/>
          <w:highlight w:val="none"/>
          <w:lang w:eastAsia="zh-Hans"/>
        </w:rPr>
        <w:t>立项符合行业发展规划和政策要求</w:t>
      </w: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托克逊县卫生健康委员会</w:t>
      </w:r>
      <w:r>
        <w:rPr>
          <w:rFonts w:hint="eastAsia"/>
          <w:color w:val="auto"/>
          <w:highlight w:val="none"/>
        </w:rPr>
        <w:t>单位</w:t>
      </w:r>
      <w:r>
        <w:rPr>
          <w:rFonts w:hint="eastAsia"/>
          <w:color w:val="auto"/>
          <w:highlight w:val="none"/>
          <w:lang w:eastAsia="zh-Hans"/>
        </w:rPr>
        <w:t>配置内设机构和人员编制规定》中职责范，属于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rPr>
        <w:t>；根据《财政资金直接支付申请书》，本项目资金性质为</w:t>
      </w:r>
      <w:r>
        <w:rPr>
          <w:rFonts w:hint="eastAsia"/>
          <w:color w:val="auto"/>
          <w:highlight w:val="none"/>
          <w:lang w:val="en-US" w:eastAsia="zh-CN"/>
        </w:rPr>
        <w:t>上级一般转移支付</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210499</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专用材料</w:t>
      </w:r>
      <w:r>
        <w:rPr>
          <w:rFonts w:hint="eastAsia"/>
          <w:color w:val="auto"/>
          <w:highlight w:val="none"/>
        </w:rPr>
        <w:t>支出</w:t>
      </w:r>
      <w:r>
        <w:rPr>
          <w:rFonts w:hint="eastAsia"/>
          <w:color w:val="auto"/>
          <w:highlight w:val="none"/>
          <w:lang w:eastAsia="zh-CN"/>
        </w:rPr>
        <w:t>，</w:t>
      </w:r>
      <w:r>
        <w:rPr>
          <w:rFonts w:hint="eastAsia"/>
          <w:color w:val="auto"/>
          <w:highlight w:val="none"/>
          <w:lang w:val="en-US" w:eastAsia="zh-CN"/>
        </w:rPr>
        <w:t>根据</w:t>
      </w:r>
      <w:r>
        <w:rPr>
          <w:rFonts w:hint="eastAsia"/>
          <w:color w:val="auto"/>
          <w:highlight w:val="none"/>
        </w:rPr>
        <w:t>《</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r>
        <w:rPr>
          <w:rFonts w:hint="eastAsia"/>
          <w:color w:val="auto"/>
          <w:highlight w:val="none"/>
        </w:rPr>
        <w:t>。</w:t>
      </w:r>
    </w:p>
    <w:p w14:paraId="432C6748">
      <w:pPr>
        <w:bidi w:val="0"/>
        <w:rPr>
          <w:rFonts w:hint="eastAsia"/>
          <w:color w:val="auto"/>
          <w:highlight w:val="none"/>
        </w:rPr>
      </w:pPr>
      <w:r>
        <w:rPr>
          <w:rFonts w:hint="eastAsia"/>
          <w:color w:val="auto"/>
          <w:highlight w:val="none"/>
        </w:rPr>
        <w:t>综上</w:t>
      </w:r>
      <w:r>
        <w:rPr>
          <w:rFonts w:hint="eastAsia"/>
          <w:color w:val="auto"/>
          <w:highlight w:val="none"/>
          <w:lang w:val="en-US"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14:paraId="493F14EF">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14:paraId="11CFE27D">
      <w:pPr>
        <w:bidi w:val="0"/>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val="en-US" w:eastAsia="zh-CN"/>
        </w:rPr>
        <w:t>政策</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事前已经过必要的可行性研究、专家论证、风险评估、绩效评估、集体决策</w:t>
      </w:r>
      <w:r>
        <w:rPr>
          <w:rFonts w:hint="eastAsia"/>
          <w:color w:val="auto"/>
          <w:highlight w:val="none"/>
          <w:lang w:eastAsia="zh-CN"/>
        </w:rPr>
        <w:t>；</w:t>
      </w:r>
      <w:r>
        <w:rPr>
          <w:rFonts w:hint="eastAsia"/>
          <w:color w:val="auto"/>
          <w:highlight w:val="none"/>
          <w:lang w:val="en-US" w:eastAsia="zh-CN"/>
        </w:rPr>
        <w:t>单位按照程序向托克逊县财政局提交了关于申请2023年中央基本药物制度补助资金的申请报告等相关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14:paraId="75382ABF">
      <w:pPr>
        <w:pStyle w:val="4"/>
        <w:bidi w:val="0"/>
        <w:rPr>
          <w:rFonts w:hint="eastAsia"/>
          <w:color w:val="auto"/>
          <w:highlight w:val="none"/>
          <w:lang w:val="en-US" w:eastAsia="zh-CN"/>
        </w:rPr>
      </w:pPr>
      <w:r>
        <w:rPr>
          <w:rFonts w:hint="eastAsia"/>
          <w:color w:val="auto"/>
          <w:highlight w:val="none"/>
          <w:lang w:val="en-US" w:eastAsia="zh-CN"/>
        </w:rPr>
        <w:t>2.绩效目标情况分析</w:t>
      </w:r>
    </w:p>
    <w:p w14:paraId="56A58470">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14:paraId="4C53F1ED">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lang w:val="en-US" w:eastAsia="zh-CN"/>
        </w:rPr>
        <w:t xml:space="preserve">1.保证全县所有政府办基层医疗卫生机构实施国家基本药物制度，推进综合改革顺利进行。2.对实施国家基本药物制度的村卫生室给予补助，支持国家基本药物制度在村卫生室顺利实施。 </w:t>
      </w:r>
    </w:p>
    <w:p w14:paraId="5F9F3816">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14:paraId="0026D58E">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w:t>
      </w:r>
      <w:r>
        <w:rPr>
          <w:rFonts w:hint="eastAsia"/>
          <w:color w:val="auto"/>
          <w:highlight w:val="none"/>
          <w:lang w:val="en-US" w:eastAsia="zh-CN"/>
        </w:rPr>
        <w:t>是</w:t>
      </w:r>
      <w:r>
        <w:rPr>
          <w:rFonts w:hint="eastAsia"/>
          <w:color w:val="auto"/>
          <w:highlight w:val="none"/>
        </w:rPr>
        <w:t>符合正常的业绩水平。</w:t>
      </w:r>
    </w:p>
    <w:p w14:paraId="4552BD97">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132.23</w:t>
      </w:r>
      <w:r>
        <w:rPr>
          <w:color w:val="auto"/>
          <w:highlight w:val="none"/>
        </w:rPr>
        <w:t>万元，《财政项目支出绩效目标表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lang w:val="en-US" w:eastAsia="zh-CN"/>
        </w:rPr>
        <w:t>132.23</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14:paraId="3D0262A8">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14:paraId="70D3F812">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14:paraId="44C8975B">
      <w:pPr>
        <w:bidi w:val="0"/>
        <w:rPr>
          <w:rFonts w:hint="eastAsia"/>
          <w:color w:val="auto"/>
          <w:highlight w:val="none"/>
          <w:lang w:eastAsia="zh-CN"/>
        </w:rPr>
      </w:pPr>
      <w:r>
        <w:rPr>
          <w:rFonts w:hint="eastAsia"/>
          <w:color w:val="auto"/>
          <w:highlight w:val="none"/>
          <w:lang w:eastAsia="zh-CN"/>
        </w:rPr>
        <w:t>经检查，我单位年初设置的《项目支出绩效目标表》：</w:t>
      </w:r>
    </w:p>
    <w:p w14:paraId="6A52B941">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14:paraId="0FBFD03C">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14:paraId="3CF6273E">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14:paraId="1BFF25D1">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14:paraId="6BBEFF36">
      <w:pPr>
        <w:pStyle w:val="4"/>
        <w:bidi w:val="0"/>
        <w:rPr>
          <w:color w:val="auto"/>
          <w:highlight w:val="none"/>
        </w:rPr>
      </w:pPr>
      <w:r>
        <w:rPr>
          <w:rFonts w:hint="eastAsia"/>
          <w:color w:val="auto"/>
          <w:highlight w:val="none"/>
          <w:lang w:val="en-US" w:eastAsia="zh-CN"/>
        </w:rPr>
        <w:t>3.资金投入情况分析</w:t>
      </w:r>
    </w:p>
    <w:p w14:paraId="1428CD15">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14:paraId="3CF51747">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14:paraId="47D577C2">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132.23</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基本药物补助</w:t>
      </w:r>
      <w:r>
        <w:rPr>
          <w:rFonts w:hint="eastAsia" w:ascii="仿宋_GB2312" w:cs="仿宋_GB2312"/>
          <w:color w:val="auto"/>
          <w:sz w:val="28"/>
          <w:szCs w:val="28"/>
          <w:highlight w:val="none"/>
        </w:rPr>
        <w:t>资金，</w:t>
      </w:r>
      <w:r>
        <w:rPr>
          <w:rFonts w:hint="eastAsia"/>
          <w:color w:val="auto"/>
          <w:highlight w:val="none"/>
          <w:lang w:eastAsia="zh-CN"/>
        </w:rPr>
        <w:t>预算内容与项目内容匹配；</w:t>
      </w:r>
    </w:p>
    <w:p w14:paraId="0EFFE287">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14:paraId="20AF6C5D">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本项目资金主要用于7家乡镇卫生院及45家村卫生室基本药物补助，</w:t>
      </w:r>
      <w:r>
        <w:rPr>
          <w:rFonts w:hint="eastAsia" w:ascii="仿宋_GB2312" w:cs="仿宋_GB2312"/>
          <w:color w:val="auto"/>
          <w:sz w:val="28"/>
          <w:szCs w:val="28"/>
          <w:highlight w:val="none"/>
        </w:rPr>
        <w:t>预算确定资金量与实际工作任务相匹配。</w:t>
      </w:r>
    </w:p>
    <w:p w14:paraId="4812C2F5">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14:paraId="58351D78">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14:paraId="731245C8">
      <w:pPr>
        <w:pageBreakBefore w:val="0"/>
        <w:kinsoku/>
        <w:wordWrap/>
        <w:topLinePunct w:val="0"/>
        <w:autoSpaceDE/>
        <w:autoSpaceDN/>
        <w:bidi w:val="0"/>
        <w:spacing w:line="560" w:lineRule="exact"/>
        <w:ind w:right="0" w:rightChars="0" w:firstLine="643"/>
        <w:rPr>
          <w:rFonts w:hint="eastAsia"/>
          <w:color w:val="auto"/>
          <w:highlight w:val="none"/>
          <w:lang w:bidi="ar"/>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w:t>
      </w:r>
      <w:r>
        <w:rPr>
          <w:rFonts w:hint="eastAsia"/>
          <w:color w:val="auto"/>
          <w:highlight w:val="none"/>
          <w:lang w:val="en-US" w:eastAsia="zh-CN" w:bidi="ar"/>
        </w:rPr>
        <w:t>2023年中央基本药物制度补助</w:t>
      </w:r>
      <w:r>
        <w:rPr>
          <w:rFonts w:hint="eastAsia"/>
          <w:color w:val="auto"/>
          <w:highlight w:val="none"/>
          <w:lang w:bidi="ar"/>
        </w:rPr>
        <w:t>资金的请示</w:t>
      </w:r>
      <w:r>
        <w:rPr>
          <w:rFonts w:hint="eastAsia"/>
          <w:color w:val="auto"/>
          <w:highlight w:val="none"/>
          <w:lang w:eastAsia="zh-Hans" w:bidi="ar"/>
        </w:rPr>
        <w:t>》为依据进行资金分配，预算资金分配依据充分</w:t>
      </w:r>
      <w:r>
        <w:rPr>
          <w:rFonts w:hint="eastAsia"/>
          <w:color w:val="auto"/>
          <w:highlight w:val="none"/>
          <w:lang w:bidi="ar"/>
        </w:rPr>
        <w:t>。根据</w:t>
      </w:r>
      <w:r>
        <w:rPr>
          <w:rFonts w:hint="eastAsia" w:ascii="仿宋_GB2312" w:hAnsi="仿宋_GB2312" w:eastAsia="仿宋_GB2312" w:cs="仿宋_GB2312"/>
          <w:color w:val="auto"/>
          <w:sz w:val="28"/>
          <w:szCs w:val="28"/>
          <w:highlight w:val="none"/>
        </w:rPr>
        <w:t>财政</w:t>
      </w:r>
      <w:r>
        <w:rPr>
          <w:rFonts w:hint="eastAsia" w:ascii="仿宋_GB2312" w:hAnsi="仿宋_GB2312" w:eastAsia="仿宋_GB2312" w:cs="仿宋_GB2312"/>
          <w:color w:val="auto"/>
          <w:sz w:val="28"/>
          <w:szCs w:val="28"/>
          <w:highlight w:val="none"/>
          <w:lang w:val="en-US" w:eastAsia="zh-CN"/>
        </w:rPr>
        <w:t>厅</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关于提前下达2023年中央财政基本药物制度补助资金预算</w:t>
      </w:r>
      <w:r>
        <w:rPr>
          <w:rFonts w:hint="eastAsia" w:ascii="仿宋_GB2312" w:hAnsi="仿宋_GB2312" w:eastAsia="仿宋_GB2312" w:cs="仿宋_GB2312"/>
          <w:color w:val="auto"/>
          <w:sz w:val="28"/>
          <w:szCs w:val="28"/>
          <w:highlight w:val="none"/>
        </w:rPr>
        <w:t>的通知》（</w:t>
      </w:r>
      <w:r>
        <w:rPr>
          <w:rFonts w:hint="eastAsia" w:ascii="仿宋_GB2312" w:hAnsi="仿宋_GB2312" w:eastAsia="仿宋_GB2312" w:cs="仿宋_GB2312"/>
          <w:color w:val="auto"/>
          <w:sz w:val="28"/>
          <w:szCs w:val="28"/>
          <w:highlight w:val="none"/>
          <w:lang w:val="en-US" w:eastAsia="zh-CN"/>
        </w:rPr>
        <w:t>新财社</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eastAsia="zh-CN"/>
        </w:rPr>
        <w:t>202</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183</w:t>
      </w:r>
      <w:r>
        <w:rPr>
          <w:rFonts w:hint="eastAsia" w:ascii="仿宋_GB2312" w:hAnsi="仿宋_GB2312" w:eastAsia="仿宋_GB2312" w:cs="仿宋_GB2312"/>
          <w:color w:val="auto"/>
          <w:sz w:val="28"/>
          <w:szCs w:val="28"/>
          <w:highlight w:val="none"/>
        </w:rPr>
        <w:t>号）</w:t>
      </w:r>
      <w:r>
        <w:rPr>
          <w:rFonts w:hint="eastAsia" w:ascii="仿宋_GB2312" w:hAnsi="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吐鲁番市财政局</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关于拨付2023年中央基本药物制度补助资金（第二批）的通知</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吐市财社</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eastAsia="zh-CN"/>
        </w:rPr>
        <w:t>202</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21</w:t>
      </w:r>
      <w:r>
        <w:rPr>
          <w:rFonts w:hint="eastAsia" w:ascii="仿宋_GB2312" w:hAnsi="仿宋_GB2312" w:eastAsia="仿宋_GB2312" w:cs="仿宋_GB2312"/>
          <w:color w:val="auto"/>
          <w:sz w:val="28"/>
          <w:szCs w:val="28"/>
          <w:highlight w:val="none"/>
        </w:rPr>
        <w:t>号</w:t>
      </w:r>
      <w:r>
        <w:rPr>
          <w:rFonts w:hint="eastAsia" w:ascii="仿宋_GB2312" w:hAnsi="仿宋_GB2312" w:eastAsia="仿宋_GB2312" w:cs="仿宋_GB2312"/>
          <w:color w:val="auto"/>
          <w:sz w:val="28"/>
          <w:szCs w:val="28"/>
          <w:highlight w:val="none"/>
          <w:lang w:eastAsia="zh-CN"/>
        </w:rPr>
        <w:t>）</w:t>
      </w:r>
      <w:r>
        <w:rPr>
          <w:rFonts w:hint="eastAsia"/>
          <w:color w:val="auto"/>
          <w:highlight w:val="none"/>
          <w:lang w:bidi="ar"/>
        </w:rPr>
        <w:t>文件显示，本项目实际到位资金132.23万元，实际分配资金与我单位提交申请的资金额度一致，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p>
    <w:p w14:paraId="1A985377">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14:paraId="7484D768">
      <w:pPr>
        <w:pStyle w:val="3"/>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14:paraId="40B392C3">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val="en-US" w:eastAsia="zh-CN"/>
        </w:rPr>
        <w:t>6</w:t>
      </w:r>
      <w:r>
        <w:rPr>
          <w:rFonts w:hint="eastAsia"/>
          <w:color w:val="auto"/>
          <w:highlight w:val="none"/>
          <w:lang w:eastAsia="zh-CN"/>
        </w:rPr>
        <w:t>个二级指标和</w:t>
      </w:r>
      <w:r>
        <w:rPr>
          <w:rFonts w:hint="eastAsia"/>
          <w:color w:val="auto"/>
          <w:highlight w:val="none"/>
          <w:lang w:val="en-US" w:eastAsia="zh-CN"/>
        </w:rPr>
        <w:t>5</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w:t>
      </w:r>
    </w:p>
    <w:p w14:paraId="172D7F1A">
      <w:pPr>
        <w:pStyle w:val="4"/>
        <w:bidi w:val="0"/>
        <w:rPr>
          <w:rFonts w:hint="eastAsia"/>
          <w:color w:val="auto"/>
          <w:highlight w:val="none"/>
          <w:lang w:val="en-US" w:eastAsia="zh-CN"/>
        </w:rPr>
      </w:pPr>
      <w:r>
        <w:rPr>
          <w:rFonts w:hint="eastAsia"/>
          <w:color w:val="auto"/>
          <w:highlight w:val="none"/>
          <w:lang w:val="en-US" w:eastAsia="zh-CN"/>
        </w:rPr>
        <w:t>1.资金管理情况分析</w:t>
      </w:r>
    </w:p>
    <w:p w14:paraId="6CA68098">
      <w:pPr>
        <w:bidi w:val="0"/>
        <w:rPr>
          <w:rFonts w:hint="eastAsia"/>
          <w:b/>
          <w:bCs/>
          <w:color w:val="auto"/>
          <w:highlight w:val="none"/>
        </w:rPr>
      </w:pPr>
      <w:r>
        <w:rPr>
          <w:rFonts w:hint="eastAsia"/>
          <w:b/>
          <w:bCs/>
          <w:color w:val="auto"/>
          <w:highlight w:val="none"/>
        </w:rPr>
        <w:t>（1）资金到位率：</w:t>
      </w:r>
    </w:p>
    <w:p w14:paraId="14566CA0">
      <w:pPr>
        <w:bidi w:val="0"/>
        <w:rPr>
          <w:rFonts w:hint="eastAsia"/>
          <w:color w:val="auto"/>
          <w:highlight w:val="none"/>
        </w:rPr>
      </w:pPr>
      <w:r>
        <w:rPr>
          <w:rFonts w:hint="eastAsia"/>
          <w:color w:val="auto"/>
          <w:highlight w:val="none"/>
        </w:rPr>
        <w:t>本项目预算资金为</w:t>
      </w:r>
      <w:r>
        <w:rPr>
          <w:rFonts w:hint="eastAsia"/>
          <w:color w:val="auto"/>
          <w:highlight w:val="none"/>
          <w:lang w:bidi="ar"/>
        </w:rPr>
        <w:t>132.23</w:t>
      </w:r>
      <w:r>
        <w:rPr>
          <w:rFonts w:hint="eastAsia"/>
          <w:color w:val="auto"/>
          <w:highlight w:val="none"/>
        </w:rPr>
        <w:t>万元，其中：本级财政安排资金</w:t>
      </w:r>
      <w:r>
        <w:rPr>
          <w:rFonts w:hint="eastAsia"/>
          <w:color w:val="auto"/>
          <w:highlight w:val="none"/>
          <w:lang w:bidi="ar"/>
        </w:rPr>
        <w:t>132.23</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bidi="ar"/>
        </w:rPr>
        <w:t>132.23</w:t>
      </w:r>
      <w:r>
        <w:rPr>
          <w:rFonts w:hint="eastAsia"/>
          <w:color w:val="auto"/>
          <w:highlight w:val="none"/>
        </w:rPr>
        <w:t>万元，资金到位率=（实际到位资金/预算资金）×100%=（</w:t>
      </w:r>
      <w:r>
        <w:rPr>
          <w:rFonts w:hint="eastAsia"/>
          <w:color w:val="auto"/>
          <w:highlight w:val="none"/>
          <w:lang w:bidi="ar"/>
        </w:rPr>
        <w:t>132.23</w:t>
      </w:r>
      <w:r>
        <w:rPr>
          <w:rFonts w:hint="eastAsia"/>
          <w:color w:val="auto"/>
          <w:highlight w:val="none"/>
        </w:rPr>
        <w:t>/</w:t>
      </w:r>
      <w:r>
        <w:rPr>
          <w:rFonts w:hint="eastAsia"/>
          <w:color w:val="auto"/>
          <w:highlight w:val="none"/>
          <w:lang w:bidi="ar"/>
        </w:rPr>
        <w:t>132.23</w:t>
      </w:r>
      <w:r>
        <w:rPr>
          <w:rFonts w:hint="eastAsia"/>
          <w:color w:val="auto"/>
          <w:highlight w:val="none"/>
        </w:rPr>
        <w:t>）*100%=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4</w:t>
      </w:r>
      <w:r>
        <w:rPr>
          <w:rFonts w:hint="eastAsia"/>
          <w:color w:val="auto"/>
          <w:highlight w:val="none"/>
        </w:rPr>
        <w:t>分。</w:t>
      </w:r>
    </w:p>
    <w:p w14:paraId="2E98E601">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14:paraId="697BDE25">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14:paraId="772A8FA4">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color w:val="auto"/>
          <w:highlight w:val="none"/>
          <w:lang w:bidi="ar"/>
        </w:rPr>
        <w:t>132.23</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color w:val="auto"/>
          <w:highlight w:val="none"/>
          <w:lang w:bidi="ar"/>
        </w:rPr>
        <w:t>132.23</w:t>
      </w:r>
      <w:r>
        <w:rPr>
          <w:rFonts w:hint="eastAsia" w:ascii="仿宋_GB2312" w:cs="仿宋_GB2312"/>
          <w:color w:val="auto"/>
          <w:sz w:val="28"/>
          <w:szCs w:val="28"/>
          <w:highlight w:val="none"/>
        </w:rPr>
        <w:t>万元，预算执行率=（实际支出资金/实际到位资金）×100%=（</w:t>
      </w:r>
      <w:r>
        <w:rPr>
          <w:rFonts w:hint="eastAsia"/>
          <w:color w:val="auto"/>
          <w:highlight w:val="none"/>
          <w:lang w:bidi="ar"/>
        </w:rPr>
        <w:t>132.23</w:t>
      </w:r>
      <w:r>
        <w:rPr>
          <w:rFonts w:hint="eastAsia" w:ascii="仿宋_GB2312" w:cs="仿宋_GB2312"/>
          <w:color w:val="auto"/>
          <w:sz w:val="28"/>
          <w:szCs w:val="28"/>
          <w:highlight w:val="none"/>
        </w:rPr>
        <w:t>/</w:t>
      </w:r>
      <w:r>
        <w:rPr>
          <w:rFonts w:hint="eastAsia"/>
          <w:color w:val="auto"/>
          <w:highlight w:val="none"/>
          <w:lang w:bidi="ar"/>
        </w:rPr>
        <w:t>132.23</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2327772B">
      <w:pPr>
        <w:pageBreakBefore w:val="0"/>
        <w:kinsoku/>
        <w:wordWrap/>
        <w:topLinePunct w:val="0"/>
        <w:autoSpaceDE/>
        <w:autoSpaceDN/>
        <w:bidi w:val="0"/>
        <w:spacing w:line="560" w:lineRule="exact"/>
        <w:ind w:right="0" w:rightChars="0" w:firstLine="643"/>
        <w:rPr>
          <w:rFonts w:hint="eastAsia" w:ascii="Times New Roman" w:hAnsi="Times New Roman" w:eastAsia="仿宋_GB2312"/>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eastAsia="zh-CN"/>
        </w:rPr>
        <w:t>。</w:t>
      </w:r>
    </w:p>
    <w:p w14:paraId="28F7AA77">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14:paraId="54A1E547">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托克逊县卫生健康委员会</w:t>
      </w:r>
      <w:r>
        <w:rPr>
          <w:rFonts w:hint="eastAsia"/>
          <w:color w:val="auto"/>
          <w:highlight w:val="none"/>
        </w:rPr>
        <w:t>单位资金管理办法》，资金的拨付有完整的审批程序和手续，资金实际使用方向与预算批复用途一致，不存在截留、挤占、挪用、虚列支出的情况。</w:t>
      </w:r>
    </w:p>
    <w:p w14:paraId="4A500A7F">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14:paraId="456E6C89">
      <w:pPr>
        <w:pStyle w:val="4"/>
        <w:bidi w:val="0"/>
        <w:rPr>
          <w:rFonts w:hint="eastAsia"/>
          <w:color w:val="auto"/>
          <w:highlight w:val="none"/>
          <w:lang w:val="en-US" w:eastAsia="zh-CN"/>
        </w:rPr>
      </w:pPr>
      <w:r>
        <w:rPr>
          <w:rFonts w:hint="eastAsia"/>
          <w:color w:val="auto"/>
          <w:highlight w:val="none"/>
          <w:lang w:val="en-US" w:eastAsia="zh-CN"/>
        </w:rPr>
        <w:t>2.组织实施情况分析</w:t>
      </w:r>
    </w:p>
    <w:p w14:paraId="31E72FEB">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14:paraId="6C639A67">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托克逊县卫生健康委员会专项资金</w:t>
      </w:r>
      <w:r>
        <w:rPr>
          <w:rFonts w:hint="eastAsia"/>
          <w:color w:val="auto"/>
          <w:highlight w:val="none"/>
        </w:rPr>
        <w:t>管理制度》等，上述已建立的制度均符合行政事业单位内控管理要求，财务和业务管理制度合法、合规、完整，本项目执行符合上述制度规定。</w:t>
      </w:r>
    </w:p>
    <w:p w14:paraId="2C025242">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14:paraId="657DDCF6">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14:paraId="4F9D9665">
      <w:pPr>
        <w:bidi w:val="0"/>
        <w:rPr>
          <w:rFonts w:hint="eastAsia"/>
          <w:color w:val="auto"/>
          <w:highlight w:val="none"/>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w:t>
      </w:r>
      <w:r>
        <w:rPr>
          <w:rFonts w:hint="eastAsia"/>
          <w:color w:val="auto"/>
          <w:highlight w:val="none"/>
          <w:lang w:val="en-US" w:eastAsia="zh-CN"/>
        </w:rPr>
        <w:t>基本药物补助</w:t>
      </w:r>
      <w:r>
        <w:rPr>
          <w:rFonts w:hint="eastAsia" w:ascii="Times New Roman" w:hAnsi="Times New Roman" w:cs="Times New Roman"/>
          <w:color w:val="auto"/>
          <w:highlight w:val="none"/>
        </w:rPr>
        <w:t>资金</w:t>
      </w:r>
      <w:r>
        <w:rPr>
          <w:rFonts w:hint="eastAsia"/>
          <w:color w:val="auto"/>
          <w:highlight w:val="none"/>
        </w:rPr>
        <w:t>项目工作领导小组，由党组书记</w:t>
      </w:r>
      <w:r>
        <w:rPr>
          <w:rFonts w:hint="eastAsia"/>
          <w:color w:val="auto"/>
          <w:highlight w:val="none"/>
          <w:lang w:val="en-US" w:eastAsia="zh-CN"/>
        </w:rPr>
        <w:t>朱立行</w:t>
      </w:r>
      <w:r>
        <w:rPr>
          <w:rFonts w:hint="eastAsia"/>
          <w:color w:val="auto"/>
          <w:highlight w:val="none"/>
        </w:rPr>
        <w:t>任组长，负责项目的组织工作；</w:t>
      </w:r>
      <w:r>
        <w:rPr>
          <w:rFonts w:hint="eastAsia"/>
          <w:color w:val="auto"/>
          <w:highlight w:val="none"/>
          <w:lang w:val="en-US" w:eastAsia="zh-CN"/>
        </w:rPr>
        <w:t>张亮仁</w:t>
      </w:r>
      <w:r>
        <w:rPr>
          <w:rFonts w:hint="eastAsia"/>
          <w:color w:val="auto"/>
          <w:highlight w:val="none"/>
        </w:rPr>
        <w:t>任副组长，负责项目的实施工作；组员包括：</w:t>
      </w:r>
      <w:r>
        <w:rPr>
          <w:rFonts w:hint="eastAsia"/>
          <w:color w:val="auto"/>
          <w:highlight w:val="none"/>
          <w:lang w:val="en-US" w:eastAsia="zh-CN"/>
        </w:rPr>
        <w:t>买地娜依</w:t>
      </w:r>
      <w:r>
        <w:rPr>
          <w:rFonts w:hint="eastAsia"/>
          <w:color w:val="auto"/>
          <w:highlight w:val="none"/>
        </w:rPr>
        <w:t>，主要负责项目监督管理、验收以及资金核拨等工作。</w:t>
      </w:r>
    </w:p>
    <w:p w14:paraId="68459D48">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14:paraId="4EB22A59">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14:paraId="2D24C272">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14:paraId="0701C4BB">
      <w:pPr>
        <w:pStyle w:val="4"/>
        <w:bidi w:val="0"/>
        <w:rPr>
          <w:rFonts w:hint="eastAsia"/>
          <w:color w:val="auto"/>
          <w:highlight w:val="none"/>
          <w:lang w:val="en-US" w:eastAsia="zh-CN"/>
        </w:rPr>
      </w:pPr>
      <w:r>
        <w:rPr>
          <w:rFonts w:hint="eastAsia"/>
          <w:color w:val="auto"/>
          <w:highlight w:val="none"/>
          <w:lang w:val="en-US" w:eastAsia="zh-CN"/>
        </w:rPr>
        <w:t>1.数量指标完成情况分析</w:t>
      </w:r>
    </w:p>
    <w:p w14:paraId="1EBBEA32">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“实施国家基本药物制度村卫生室及乡镇卫生院数量”指标：预期指标值为</w:t>
      </w:r>
      <w:r>
        <w:rPr>
          <w:rFonts w:hint="eastAsia" w:ascii="仿宋_GB2312" w:hAnsi="仿宋_GB2312" w:cs="仿宋_GB2312"/>
          <w:color w:val="auto"/>
          <w:sz w:val="28"/>
          <w:szCs w:val="28"/>
          <w:highlight w:val="none"/>
          <w:lang w:val="en-US" w:eastAsia="zh-CN"/>
        </w:rPr>
        <w:t>&gt;=52家</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=52家</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14:paraId="5C41B415">
      <w:pPr>
        <w:bidi w:val="0"/>
        <w:rPr>
          <w:rFonts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村卫生室基本药物补贴品种</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&gt;=123种</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=123种</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14:paraId="4BE13A0E">
      <w:pPr>
        <w:pStyle w:val="4"/>
        <w:bidi w:val="0"/>
        <w:rPr>
          <w:rFonts w:hint="eastAsia"/>
          <w:color w:val="auto"/>
          <w:highlight w:val="none"/>
          <w:lang w:val="en-US" w:eastAsia="zh-CN"/>
        </w:rPr>
      </w:pPr>
      <w:r>
        <w:rPr>
          <w:rFonts w:hint="eastAsia"/>
          <w:color w:val="auto"/>
          <w:highlight w:val="none"/>
          <w:lang w:val="en-US" w:eastAsia="zh-CN"/>
        </w:rPr>
        <w:t>2.质量指标完成情况分析</w:t>
      </w:r>
    </w:p>
    <w:p w14:paraId="134AFD04">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资金规范管理使用率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14:paraId="21F4C995">
      <w:pPr>
        <w:bidi w:val="0"/>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基层医疗卫生机构基本药物制度覆盖率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14:paraId="04ECA1D9">
      <w:pPr>
        <w:bidi w:val="0"/>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村卫生室实施国家基本药物制度覆盖率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14:paraId="36245CE8">
      <w:pPr>
        <w:pStyle w:val="4"/>
        <w:bidi w:val="0"/>
        <w:rPr>
          <w:rFonts w:hint="eastAsia"/>
          <w:color w:val="auto"/>
          <w:highlight w:val="none"/>
        </w:rPr>
      </w:pPr>
      <w:r>
        <w:rPr>
          <w:rFonts w:hint="eastAsia"/>
          <w:color w:val="auto"/>
          <w:highlight w:val="none"/>
          <w:lang w:val="en-US" w:eastAsia="zh-CN"/>
        </w:rPr>
        <w:t>3.时效指标完成情况分析</w:t>
      </w:r>
    </w:p>
    <w:p w14:paraId="12C066BA">
      <w:pPr>
        <w:bidi w:val="0"/>
        <w:rPr>
          <w:rFonts w:hint="eastAsia" w:cs="仿宋_GB2312"/>
          <w:b w:val="0"/>
          <w:bCs w:val="0"/>
          <w:color w:val="auto"/>
          <w:sz w:val="28"/>
          <w:szCs w:val="28"/>
          <w:highlight w:val="none"/>
          <w:lang w:val="en-US" w:eastAsia="zh-CN"/>
        </w:rPr>
      </w:pPr>
      <w:r>
        <w:rPr>
          <w:rFonts w:hint="eastAsia" w:cs="仿宋_GB2312"/>
          <w:b w:val="0"/>
          <w:bCs w:val="0"/>
          <w:color w:val="auto"/>
          <w:sz w:val="28"/>
          <w:szCs w:val="28"/>
          <w:highlight w:val="none"/>
          <w:lang w:val="en-US" w:eastAsia="zh-CN"/>
        </w:rPr>
        <w:t>“基本药物补贴发放及时率”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&gt;=90%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14:paraId="5A09CA71">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cs="仿宋_GB2312"/>
          <w:color w:val="auto"/>
          <w:sz w:val="32"/>
          <w:highlight w:val="none"/>
          <w:lang w:val="en-US" w:eastAsia="zh-CN"/>
        </w:rPr>
        <w:t>四</w:t>
      </w:r>
      <w:r>
        <w:rPr>
          <w:rFonts w:hint="eastAsia" w:ascii="仿宋_GB2312" w:hAnsi="仿宋_GB2312" w:cs="仿宋_GB2312"/>
          <w:color w:val="auto"/>
          <w:sz w:val="32"/>
          <w:highlight w:val="none"/>
        </w:rPr>
        <w:t>）项目</w:t>
      </w:r>
      <w:r>
        <w:rPr>
          <w:rFonts w:hint="eastAsia" w:cs="仿宋_GB2312"/>
          <w:color w:val="auto"/>
          <w:sz w:val="32"/>
          <w:highlight w:val="none"/>
          <w:lang w:val="en-US" w:eastAsia="zh-CN"/>
        </w:rPr>
        <w:t>成本</w:t>
      </w:r>
      <w:r>
        <w:rPr>
          <w:rFonts w:hint="eastAsia" w:ascii="仿宋_GB2312" w:hAnsi="仿宋_GB2312" w:cs="仿宋_GB2312"/>
          <w:color w:val="auto"/>
          <w:sz w:val="32"/>
          <w:highlight w:val="none"/>
        </w:rPr>
        <w:t>情况</w:t>
      </w:r>
    </w:p>
    <w:p w14:paraId="63E1E05C">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w:t>
      </w:r>
      <w:r>
        <w:rPr>
          <w:rFonts w:hint="eastAsia" w:ascii="仿宋_GB2312" w:cs="仿宋_GB2312"/>
          <w:color w:val="auto"/>
          <w:sz w:val="28"/>
          <w:szCs w:val="28"/>
          <w:highlight w:val="none"/>
          <w:lang w:val="en-US" w:eastAsia="zh-CN"/>
        </w:rPr>
        <w:t>经济成本、社会成本、生态环境成本三</w:t>
      </w:r>
      <w:r>
        <w:rPr>
          <w:rFonts w:hint="eastAsia" w:ascii="仿宋_GB2312" w:cs="仿宋_GB2312"/>
          <w:color w:val="auto"/>
          <w:sz w:val="28"/>
          <w:szCs w:val="28"/>
          <w:highlight w:val="none"/>
        </w:rPr>
        <w:t>方面的内容，</w:t>
      </w:r>
      <w:r>
        <w:rPr>
          <w:rFonts w:hint="eastAsia" w:ascii="仿宋_GB2312" w:cs="仿宋_GB2312"/>
          <w:color w:val="auto"/>
          <w:sz w:val="28"/>
          <w:szCs w:val="28"/>
          <w:highlight w:val="none"/>
          <w:lang w:val="en-US" w:eastAsia="zh-CN"/>
        </w:rPr>
        <w:t>本项目仅涉及经济成本指标，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p>
    <w:p w14:paraId="38229BE3">
      <w:pPr>
        <w:pStyle w:val="4"/>
        <w:numPr>
          <w:ilvl w:val="0"/>
          <w:numId w:val="0"/>
        </w:numPr>
        <w:bidi w:val="0"/>
        <w:ind w:firstLine="562" w:firstLineChars="200"/>
        <w:rPr>
          <w:rFonts w:hint="eastAsia"/>
          <w:color w:val="auto"/>
          <w:highlight w:val="none"/>
          <w:lang w:val="en-US" w:eastAsia="zh-CN"/>
        </w:rPr>
      </w:pPr>
      <w:r>
        <w:rPr>
          <w:rFonts w:hint="eastAsia"/>
          <w:color w:val="auto"/>
          <w:highlight w:val="none"/>
          <w:lang w:val="en-US" w:eastAsia="zh-CN"/>
        </w:rPr>
        <w:t>1.经济成本指标完成情况分析</w:t>
      </w:r>
    </w:p>
    <w:p w14:paraId="6AD12507">
      <w:pPr>
        <w:bidi w:val="0"/>
        <w:rPr>
          <w:rFonts w:hint="default" w:eastAsia="仿宋_GB2312"/>
          <w:color w:val="auto"/>
          <w:highlight w:val="none"/>
          <w:lang w:val="en-US" w:eastAsia="zh-CN"/>
        </w:rPr>
      </w:pPr>
      <w:r>
        <w:rPr>
          <w:rFonts w:hint="eastAsia"/>
          <w:color w:val="auto"/>
          <w:highlight w:val="none"/>
          <w:lang w:val="en-US" w:eastAsia="zh-CN"/>
        </w:rPr>
        <w:t xml:space="preserve">  “基本药物补助资金标准”</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&lt;=25428.85元/家</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=25428.85元/家</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14:paraId="768686AF">
      <w:pPr>
        <w:pStyle w:val="3"/>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五</w:t>
      </w:r>
      <w:r>
        <w:rPr>
          <w:rFonts w:hint="eastAsia" w:ascii="仿宋_GB2312" w:hAnsi="仿宋_GB2312" w:cs="仿宋_GB2312"/>
          <w:color w:val="auto"/>
          <w:sz w:val="32"/>
          <w:highlight w:val="none"/>
        </w:rPr>
        <w:t>）项目效益情况</w:t>
      </w:r>
    </w:p>
    <w:p w14:paraId="65761110">
      <w:pPr>
        <w:bidi w:val="0"/>
        <w:rPr>
          <w:rFonts w:hint="eastAsia" w:ascii="仿宋_GB2312" w:cs="仿宋_GB2312"/>
          <w:color w:val="auto"/>
          <w:sz w:val="28"/>
          <w:szCs w:val="28"/>
          <w:highlight w:val="none"/>
        </w:rPr>
      </w:pPr>
      <w:r>
        <w:rPr>
          <w:rFonts w:hint="eastAsia"/>
          <w:color w:val="auto"/>
          <w:highlight w:val="none"/>
          <w:lang w:eastAsia="zh-CN"/>
        </w:rPr>
        <w:t>项目效益类指标</w:t>
      </w:r>
      <w:r>
        <w:rPr>
          <w:rFonts w:hint="eastAsia" w:ascii="仿宋_GB2312" w:cs="仿宋_GB2312"/>
          <w:color w:val="auto"/>
          <w:sz w:val="28"/>
          <w:szCs w:val="28"/>
          <w:highlight w:val="none"/>
        </w:rPr>
        <w:t>包括</w:t>
      </w:r>
      <w:r>
        <w:rPr>
          <w:rFonts w:hint="eastAsia" w:ascii="仿宋_GB2312" w:cs="仿宋_GB2312"/>
          <w:color w:val="auto"/>
          <w:sz w:val="28"/>
          <w:szCs w:val="28"/>
          <w:highlight w:val="none"/>
          <w:lang w:val="en-US" w:eastAsia="zh-CN"/>
        </w:rPr>
        <w:t>经济效益、社会效益、生态效益、服务对象满意度四个</w:t>
      </w:r>
      <w:r>
        <w:rPr>
          <w:rFonts w:hint="eastAsia" w:ascii="仿宋_GB2312" w:cs="仿宋_GB2312"/>
          <w:color w:val="auto"/>
          <w:sz w:val="28"/>
          <w:szCs w:val="28"/>
          <w:highlight w:val="none"/>
        </w:rPr>
        <w:t>方面，权重分为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14:paraId="329EC8D4">
      <w:pPr>
        <w:pStyle w:val="4"/>
        <w:bidi w:val="0"/>
        <w:rPr>
          <w:rFonts w:hint="eastAsia" w:ascii="仿宋_GB2312" w:hAnsi="仿宋_GB2312" w:cs="仿宋_GB2312"/>
          <w:b/>
          <w:bCs/>
          <w:color w:val="auto"/>
          <w:sz w:val="28"/>
          <w:szCs w:val="28"/>
          <w:highlight w:val="none"/>
          <w:lang w:val="en-US" w:eastAsia="zh-CN"/>
        </w:rPr>
      </w:pPr>
      <w:r>
        <w:rPr>
          <w:rFonts w:hint="eastAsia" w:ascii="仿宋_GB2312" w:hAnsi="仿宋_GB2312" w:cs="仿宋_GB2312"/>
          <w:b/>
          <w:bCs/>
          <w:color w:val="auto"/>
          <w:sz w:val="28"/>
          <w:szCs w:val="28"/>
          <w:highlight w:val="none"/>
          <w:lang w:val="en-US" w:eastAsia="zh-CN"/>
        </w:rPr>
        <w:t>1.经济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14:paraId="30C5FE25">
      <w:pPr>
        <w:ind w:firstLine="840" w:firstLineChars="300"/>
        <w:rPr>
          <w:rFonts w:hint="default"/>
          <w:color w:val="auto"/>
          <w:highlight w:val="none"/>
          <w:lang w:val="en-US" w:eastAsia="zh-CN"/>
        </w:rPr>
      </w:pPr>
      <w:r>
        <w:rPr>
          <w:rFonts w:hint="eastAsia"/>
          <w:color w:val="auto"/>
          <w:highlight w:val="none"/>
          <w:lang w:val="en-US" w:eastAsia="zh-CN"/>
        </w:rPr>
        <w:t>无</w:t>
      </w:r>
    </w:p>
    <w:p w14:paraId="114BDA69">
      <w:pPr>
        <w:pStyle w:val="4"/>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14:paraId="12EAC0C4">
      <w:pPr>
        <w:bidi w:val="0"/>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降低城乡居民基本用药负担</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有效降低</w:t>
      </w:r>
      <w:r>
        <w:rPr>
          <w:rFonts w:hint="eastAsia" w:ascii="仿宋_GB2312" w:hAnsi="仿宋_GB2312" w:cs="仿宋_GB2312"/>
          <w:color w:val="auto"/>
          <w:sz w:val="28"/>
          <w:szCs w:val="28"/>
          <w:highlight w:val="none"/>
        </w:rPr>
        <w:t>，实际完成指标值为达成年度指标</w:t>
      </w:r>
      <w:r>
        <w:rPr>
          <w:rFonts w:hint="eastAsia" w:ascii="仿宋_GB2312" w:hAnsi="仿宋_GB2312" w:cs="仿宋_GB2312"/>
          <w:color w:val="auto"/>
          <w:sz w:val="28"/>
          <w:szCs w:val="28"/>
          <w:highlight w:val="none"/>
          <w:lang w:eastAsia="zh-CN"/>
        </w:rPr>
        <w:t>。</w:t>
      </w:r>
    </w:p>
    <w:p w14:paraId="34BA3D9B">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保证药品安全、有效、经济性</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有效降低</w:t>
      </w:r>
      <w:r>
        <w:rPr>
          <w:rFonts w:hint="eastAsia" w:ascii="仿宋_GB2312" w:hAnsi="仿宋_GB2312" w:cs="仿宋_GB2312"/>
          <w:color w:val="auto"/>
          <w:sz w:val="28"/>
          <w:szCs w:val="28"/>
          <w:highlight w:val="none"/>
        </w:rPr>
        <w:t>，实际完成指标值为达成年度指标</w:t>
      </w:r>
      <w:r>
        <w:rPr>
          <w:rFonts w:hint="eastAsia" w:ascii="仿宋_GB2312" w:hAnsi="仿宋_GB2312" w:cs="仿宋_GB2312"/>
          <w:color w:val="auto"/>
          <w:sz w:val="28"/>
          <w:szCs w:val="28"/>
          <w:highlight w:val="none"/>
          <w:lang w:eastAsia="zh-CN"/>
        </w:rPr>
        <w:t>。</w:t>
      </w:r>
    </w:p>
    <w:p w14:paraId="4C9E9667">
      <w:pPr>
        <w:pStyle w:val="4"/>
        <w:bidi w:val="0"/>
        <w:rPr>
          <w:rFonts w:hint="eastAsia"/>
          <w:color w:val="auto"/>
          <w:highlight w:val="none"/>
          <w:lang w:val="en-US" w:eastAsia="zh-CN"/>
        </w:rPr>
      </w:pPr>
      <w:r>
        <w:rPr>
          <w:rFonts w:hint="eastAsia"/>
          <w:color w:val="auto"/>
          <w:highlight w:val="none"/>
          <w:lang w:val="en-US" w:eastAsia="zh-CN"/>
        </w:rPr>
        <w:t>3.生态效益指标完成情况分析</w:t>
      </w:r>
    </w:p>
    <w:p w14:paraId="16596FC2">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lang w:val="en-US" w:eastAsia="zh-CN"/>
        </w:rPr>
        <w:t>无</w:t>
      </w:r>
    </w:p>
    <w:p w14:paraId="0255B72C">
      <w:pPr>
        <w:pStyle w:val="4"/>
        <w:bidi w:val="0"/>
        <w:rPr>
          <w:rFonts w:hint="eastAsia"/>
          <w:color w:val="auto"/>
          <w:highlight w:val="none"/>
          <w:lang w:val="en-US" w:eastAsia="zh-CN"/>
        </w:rPr>
      </w:pPr>
      <w:r>
        <w:rPr>
          <w:rFonts w:hint="eastAsia"/>
          <w:color w:val="auto"/>
          <w:highlight w:val="none"/>
          <w:lang w:val="en-US" w:eastAsia="zh-CN"/>
        </w:rPr>
        <w:t>4.满意度指标完成情况分析</w:t>
      </w:r>
    </w:p>
    <w:p w14:paraId="5C5DC6E9">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病患居民群众满意度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&gt;=90%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=91%</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bookmarkEnd w:id="15"/>
    </w:p>
    <w:p w14:paraId="09DC0D6E">
      <w:pPr>
        <w:pStyle w:val="2"/>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14:paraId="633CD5F7">
      <w:pPr>
        <w:bidi w:val="0"/>
        <w:rPr>
          <w:rFonts w:hint="eastAsia"/>
          <w:color w:val="auto"/>
          <w:highlight w:val="none"/>
          <w:lang w:val="en-US" w:eastAsia="zh-CN"/>
        </w:rPr>
      </w:pPr>
      <w:r>
        <w:rPr>
          <w:rFonts w:hint="eastAsia"/>
          <w:color w:val="auto"/>
          <w:highlight w:val="none"/>
          <w:lang w:eastAsia="zh-CN"/>
        </w:rPr>
        <w:t>本项目</w:t>
      </w:r>
      <w:r>
        <w:rPr>
          <w:rFonts w:hint="eastAsia"/>
          <w:color w:val="auto"/>
          <w:highlight w:val="none"/>
          <w:lang w:val="en-US" w:eastAsia="zh-CN"/>
        </w:rPr>
        <w:t>全年预算数为132.23万元，全年到位数为132.23万元，全年执行数为132.23万元，预算执行率为100%。</w:t>
      </w:r>
    </w:p>
    <w:p w14:paraId="54E56729">
      <w:pPr>
        <w:pStyle w:val="6"/>
        <w:rPr>
          <w:color w:val="auto"/>
          <w:highlight w:val="none"/>
        </w:rPr>
      </w:pP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21</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21个，扣分指标数量0个，经分析计算所有三级指标完成率得出本项目</w:t>
      </w:r>
      <w:r>
        <w:rPr>
          <w:rFonts w:hint="eastAsia"/>
          <w:color w:val="auto"/>
          <w:highlight w:val="none"/>
        </w:rPr>
        <w:t>总体完成率为</w:t>
      </w:r>
      <w:r>
        <w:rPr>
          <w:rFonts w:hint="eastAsia"/>
          <w:color w:val="auto"/>
          <w:highlight w:val="none"/>
          <w:lang w:val="en-US" w:eastAsia="zh-CN"/>
        </w:rPr>
        <w:t>100</w:t>
      </w:r>
      <w:r>
        <w:rPr>
          <w:rFonts w:hint="eastAsia"/>
          <w:color w:val="auto"/>
          <w:highlight w:val="none"/>
          <w:lang w:val="zh-TW" w:eastAsia="zh-TW"/>
        </w:rPr>
        <w:t>%。</w:t>
      </w:r>
    </w:p>
    <w:p w14:paraId="2E30FC97">
      <w:pPr>
        <w:pStyle w:val="6"/>
        <w:rPr>
          <w:rFonts w:hint="default"/>
          <w:color w:val="auto"/>
          <w:highlight w:val="none"/>
          <w:lang w:val="zh-TW" w:eastAsia="zh-CN"/>
        </w:rPr>
      </w:pPr>
      <w:r>
        <w:rPr>
          <w:rFonts w:hint="eastAsia"/>
          <w:color w:val="auto"/>
          <w:highlight w:val="none"/>
          <w:lang w:val="en-US" w:eastAsia="zh-CN"/>
        </w:rPr>
        <w:t>综上所述本项目预算执行率与总体完成率之间的偏差为0%。</w:t>
      </w:r>
    </w:p>
    <w:p w14:paraId="7FA132E8">
      <w:pPr>
        <w:pStyle w:val="2"/>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14:paraId="0FE77C40">
      <w:pPr>
        <w:pStyle w:val="3"/>
        <w:numPr>
          <w:ilvl w:val="0"/>
          <w:numId w:val="3"/>
        </w:numPr>
        <w:ind w:firstLine="643"/>
        <w:rPr>
          <w:color w:val="auto"/>
          <w:highlight w:val="none"/>
        </w:rPr>
      </w:pPr>
      <w:bookmarkStart w:id="16" w:name="_Toc1921"/>
      <w:bookmarkStart w:id="17" w:name="_Toc28290"/>
      <w:r>
        <w:rPr>
          <w:rFonts w:hint="eastAsia"/>
          <w:color w:val="auto"/>
          <w:highlight w:val="none"/>
        </w:rPr>
        <w:t>主要经验及做法</w:t>
      </w:r>
    </w:p>
    <w:bookmarkEnd w:id="16"/>
    <w:bookmarkEnd w:id="17"/>
    <w:p w14:paraId="533587A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560" w:firstLineChars="200"/>
        <w:jc w:val="left"/>
        <w:textAlignment w:val="auto"/>
        <w:outlineLvl w:val="9"/>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val="en-US" w:eastAsia="zh-CN"/>
        </w:rPr>
        <w:t>1</w:t>
      </w:r>
      <w:r>
        <w:rPr>
          <w:rFonts w:hint="eastAsia" w:ascii="仿宋_GB2312" w:hAnsi="仿宋_GB2312" w:eastAsia="仿宋_GB2312" w:cs="仿宋_GB2312"/>
          <w:color w:val="auto"/>
          <w:kern w:val="0"/>
          <w:sz w:val="28"/>
          <w:szCs w:val="28"/>
          <w:highlight w:val="none"/>
        </w:rPr>
        <w:t>、全部配备和使用基本药物，配备的基本药品全部执行零差价销售，严格执行药品零差价，严格执行网上采购，标内采购。在规定的时间做采购计划，并及时的对药品验收入库。</w:t>
      </w:r>
      <w:r>
        <w:rPr>
          <w:rFonts w:hint="eastAsia" w:ascii="仿宋_GB2312" w:hAnsi="仿宋_GB2312" w:eastAsia="仿宋_GB2312" w:cs="仿宋_GB2312"/>
          <w:color w:val="auto"/>
          <w:kern w:val="0"/>
          <w:sz w:val="28"/>
          <w:szCs w:val="28"/>
          <w:highlight w:val="none"/>
        </w:rPr>
        <w:br w:type="textWrapping"/>
      </w:r>
      <w:r>
        <w:rPr>
          <w:rFonts w:hint="eastAsia" w:ascii="仿宋_GB2312" w:hAnsi="仿宋_GB2312" w:eastAsia="仿宋_GB2312" w:cs="仿宋_GB2312"/>
          <w:color w:val="auto"/>
          <w:kern w:val="0"/>
          <w:sz w:val="28"/>
          <w:szCs w:val="28"/>
          <w:highlight w:val="none"/>
        </w:rPr>
        <w:t>　　</w:t>
      </w:r>
      <w:r>
        <w:rPr>
          <w:rFonts w:hint="eastAsia" w:ascii="仿宋_GB2312" w:hAnsi="仿宋_GB2312" w:eastAsia="仿宋_GB2312" w:cs="仿宋_GB2312"/>
          <w:color w:val="auto"/>
          <w:kern w:val="0"/>
          <w:sz w:val="28"/>
          <w:szCs w:val="28"/>
          <w:highlight w:val="none"/>
          <w:lang w:val="en-US" w:eastAsia="zh-CN"/>
        </w:rPr>
        <w:t>2</w:t>
      </w:r>
      <w:r>
        <w:rPr>
          <w:rFonts w:hint="eastAsia" w:ascii="仿宋_GB2312" w:hAnsi="仿宋_GB2312" w:eastAsia="仿宋_GB2312" w:cs="仿宋_GB2312"/>
          <w:color w:val="auto"/>
          <w:kern w:val="0"/>
          <w:sz w:val="28"/>
          <w:szCs w:val="28"/>
          <w:highlight w:val="none"/>
        </w:rPr>
        <w:t>、</w:t>
      </w:r>
      <w:r>
        <w:rPr>
          <w:rFonts w:hint="eastAsia" w:ascii="仿宋_GB2312" w:hAnsi="仿宋_GB2312" w:eastAsia="仿宋_GB2312" w:cs="仿宋_GB2312"/>
          <w:color w:val="auto"/>
          <w:kern w:val="0"/>
          <w:sz w:val="28"/>
          <w:szCs w:val="28"/>
          <w:highlight w:val="none"/>
          <w:lang w:eastAsia="zh-CN"/>
        </w:rPr>
        <w:t>全部</w:t>
      </w:r>
      <w:r>
        <w:rPr>
          <w:rFonts w:hint="eastAsia" w:ascii="仿宋_GB2312" w:hAnsi="仿宋_GB2312" w:eastAsia="仿宋_GB2312" w:cs="仿宋_GB2312"/>
          <w:color w:val="auto"/>
          <w:kern w:val="0"/>
          <w:sz w:val="28"/>
          <w:szCs w:val="28"/>
          <w:highlight w:val="none"/>
        </w:rPr>
        <w:t>具备基本的计算机硬件和网络条件，能满足药品网上采购的需求。能按规定从挂网的基本药物入围品种目录中采购药品，对药品的进出库以及药品进行了有效的管理，做到货物相符，品价格和国家制定的价格相符，进货价和零售价相符。</w:t>
      </w:r>
    </w:p>
    <w:p w14:paraId="5B428359">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textAlignment w:val="auto"/>
        <w:outlineLvl w:val="9"/>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val="en-US" w:eastAsia="zh-CN"/>
        </w:rPr>
        <w:t xml:space="preserve">    3、</w:t>
      </w:r>
      <w:r>
        <w:rPr>
          <w:rFonts w:hint="eastAsia" w:ascii="仿宋_GB2312" w:hAnsi="仿宋_GB2312" w:eastAsia="仿宋_GB2312" w:cs="仿宋_GB2312"/>
          <w:color w:val="auto"/>
          <w:kern w:val="0"/>
          <w:sz w:val="28"/>
          <w:szCs w:val="28"/>
          <w:highlight w:val="none"/>
        </w:rPr>
        <w:t>执行《基层医疗卫生机构基本药物集中招标采购实施方案》和《2011年度药品集中采购工作实施方案》，保证100%实行网上采购，每</w:t>
      </w:r>
      <w:r>
        <w:rPr>
          <w:rFonts w:hint="eastAsia" w:ascii="仿宋_GB2312" w:hAnsi="仿宋_GB2312" w:eastAsia="仿宋_GB2312" w:cs="仿宋_GB2312"/>
          <w:color w:val="auto"/>
          <w:kern w:val="0"/>
          <w:sz w:val="28"/>
          <w:szCs w:val="28"/>
          <w:highlight w:val="none"/>
          <w:lang w:val="en-US" w:eastAsia="zh-CN"/>
        </w:rPr>
        <w:t>1-2月</w:t>
      </w:r>
      <w:r>
        <w:rPr>
          <w:rFonts w:hint="eastAsia" w:ascii="仿宋_GB2312" w:hAnsi="仿宋_GB2312" w:eastAsia="仿宋_GB2312" w:cs="仿宋_GB2312"/>
          <w:color w:val="auto"/>
          <w:kern w:val="0"/>
          <w:sz w:val="28"/>
          <w:szCs w:val="28"/>
          <w:highlight w:val="none"/>
        </w:rPr>
        <w:t>进购药品一次或两次，实行100%统一支付。杜绝在网下采购药品。</w:t>
      </w:r>
    </w:p>
    <w:p w14:paraId="69F8CED3">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textAlignment w:val="auto"/>
        <w:outlineLvl w:val="9"/>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val="en-US" w:eastAsia="zh-CN"/>
        </w:rPr>
        <w:t xml:space="preserve">    4、</w:t>
      </w:r>
      <w:r>
        <w:rPr>
          <w:rFonts w:hint="eastAsia" w:ascii="仿宋_GB2312" w:hAnsi="仿宋_GB2312" w:eastAsia="仿宋_GB2312" w:cs="仿宋_GB2312"/>
          <w:color w:val="auto"/>
          <w:kern w:val="0"/>
          <w:sz w:val="28"/>
          <w:szCs w:val="28"/>
          <w:highlight w:val="none"/>
          <w:lang w:eastAsia="zh-CN"/>
        </w:rPr>
        <w:t>规定每个乡镇卫生院与不超过</w:t>
      </w:r>
      <w:r>
        <w:rPr>
          <w:rFonts w:hint="eastAsia" w:ascii="仿宋_GB2312" w:hAnsi="仿宋_GB2312" w:eastAsia="仿宋_GB2312" w:cs="仿宋_GB2312"/>
          <w:color w:val="auto"/>
          <w:kern w:val="0"/>
          <w:sz w:val="28"/>
          <w:szCs w:val="28"/>
          <w:highlight w:val="none"/>
          <w:lang w:val="en-US" w:eastAsia="zh-CN"/>
        </w:rPr>
        <w:t>5家的医药公司签订购销合同，以保障药品及耗材的质量；</w:t>
      </w:r>
      <w:r>
        <w:rPr>
          <w:rFonts w:hint="eastAsia" w:ascii="仿宋_GB2312" w:hAnsi="仿宋_GB2312" w:eastAsia="仿宋_GB2312" w:cs="仿宋_GB2312"/>
          <w:color w:val="auto"/>
          <w:kern w:val="0"/>
          <w:sz w:val="28"/>
          <w:szCs w:val="28"/>
          <w:highlight w:val="none"/>
        </w:rPr>
        <w:t>建立药品配送企业档案并登记企业誉度、药品配送情况和不良记录。</w:t>
      </w:r>
    </w:p>
    <w:p w14:paraId="1C10A333">
      <w:pPr>
        <w:keepNext w:val="0"/>
        <w:keepLines w:val="0"/>
        <w:pageBreakBefore w:val="0"/>
        <w:kinsoku/>
        <w:wordWrap/>
        <w:overflowPunct/>
        <w:topLinePunct w:val="0"/>
        <w:autoSpaceDE/>
        <w:autoSpaceDN/>
        <w:bidi w:val="0"/>
        <w:adjustRightInd/>
        <w:snapToGrid/>
        <w:spacing w:line="520" w:lineRule="exact"/>
        <w:ind w:left="0" w:leftChars="0" w:right="0" w:rightChars="0" w:firstLine="735"/>
        <w:textAlignment w:val="auto"/>
        <w:outlineLvl w:val="9"/>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val="en-US" w:eastAsia="zh-CN"/>
        </w:rPr>
        <w:t>5</w:t>
      </w:r>
      <w:r>
        <w:rPr>
          <w:rFonts w:hint="eastAsia" w:ascii="仿宋_GB2312" w:hAnsi="仿宋_GB2312" w:eastAsia="仿宋_GB2312" w:cs="仿宋_GB2312"/>
          <w:color w:val="auto"/>
          <w:kern w:val="0"/>
          <w:sz w:val="28"/>
          <w:szCs w:val="28"/>
          <w:highlight w:val="none"/>
        </w:rPr>
        <w:t>、进一步完善药品进销存核算账务管理，做到药品进购有验收，销售有记录，并定期清查盘点库存药物，及时登记过期、失效、毁损、质变等药品，同时收集同批号药品的企业质量检验合格报告书存档。</w:t>
      </w:r>
    </w:p>
    <w:p w14:paraId="228C7430">
      <w:pPr>
        <w:keepNext w:val="0"/>
        <w:keepLines w:val="0"/>
        <w:pageBreakBefore w:val="0"/>
        <w:kinsoku/>
        <w:wordWrap/>
        <w:overflowPunct/>
        <w:topLinePunct w:val="0"/>
        <w:autoSpaceDE/>
        <w:autoSpaceDN/>
        <w:bidi w:val="0"/>
        <w:adjustRightInd/>
        <w:snapToGrid/>
        <w:spacing w:line="520" w:lineRule="exact"/>
        <w:ind w:left="0" w:leftChars="0" w:right="0" w:rightChars="0" w:firstLine="735"/>
        <w:textAlignment w:val="auto"/>
        <w:outlineLvl w:val="9"/>
        <w:rPr>
          <w:rFonts w:ascii="仿宋_GB2312" w:eastAsia="仿宋_GB2312"/>
          <w:color w:val="auto"/>
          <w:sz w:val="28"/>
          <w:szCs w:val="28"/>
          <w:highlight w:val="none"/>
        </w:rPr>
      </w:pPr>
      <w:r>
        <w:rPr>
          <w:rFonts w:hint="eastAsia" w:ascii="仿宋_GB2312" w:hAnsi="仿宋_GB2312" w:eastAsia="仿宋_GB2312" w:cs="仿宋_GB2312"/>
          <w:color w:val="auto"/>
          <w:kern w:val="0"/>
          <w:sz w:val="28"/>
          <w:szCs w:val="28"/>
          <w:highlight w:val="none"/>
          <w:lang w:val="en-US" w:eastAsia="zh-CN"/>
        </w:rPr>
        <w:t>6</w:t>
      </w:r>
      <w:r>
        <w:rPr>
          <w:rFonts w:hint="eastAsia" w:ascii="仿宋_GB2312" w:hAnsi="仿宋_GB2312" w:eastAsia="仿宋_GB2312" w:cs="仿宋_GB2312"/>
          <w:color w:val="auto"/>
          <w:kern w:val="0"/>
          <w:sz w:val="28"/>
          <w:szCs w:val="28"/>
          <w:highlight w:val="none"/>
        </w:rPr>
        <w:t>、药房</w:t>
      </w:r>
      <w:r>
        <w:rPr>
          <w:rFonts w:hint="eastAsia" w:ascii="仿宋_GB2312" w:hAnsi="仿宋_GB2312" w:eastAsia="仿宋_GB2312" w:cs="仿宋_GB2312"/>
          <w:color w:val="auto"/>
          <w:kern w:val="0"/>
          <w:sz w:val="28"/>
          <w:szCs w:val="28"/>
          <w:highlight w:val="none"/>
          <w:lang w:eastAsia="zh-CN"/>
        </w:rPr>
        <w:t>工作人员</w:t>
      </w:r>
      <w:r>
        <w:rPr>
          <w:rFonts w:hint="eastAsia" w:ascii="仿宋_GB2312" w:hAnsi="仿宋_GB2312" w:eastAsia="仿宋_GB2312" w:cs="仿宋_GB2312"/>
          <w:color w:val="auto"/>
          <w:kern w:val="0"/>
          <w:sz w:val="28"/>
          <w:szCs w:val="28"/>
          <w:highlight w:val="none"/>
        </w:rPr>
        <w:t>全面了解并学习基本药物制度改革、药品零差率销售相关政策以及基本药物的临床应用指南，努力做到确保临床首选和合理使用基本药物。</w:t>
      </w:r>
    </w:p>
    <w:p w14:paraId="08D65ABB">
      <w:pPr>
        <w:pStyle w:val="3"/>
        <w:numPr>
          <w:ilvl w:val="0"/>
          <w:numId w:val="3"/>
        </w:numPr>
        <w:ind w:firstLine="643"/>
        <w:rPr>
          <w:color w:val="auto"/>
          <w:highlight w:val="none"/>
        </w:rPr>
      </w:pPr>
      <w:r>
        <w:rPr>
          <w:rFonts w:hint="eastAsia"/>
          <w:color w:val="auto"/>
          <w:highlight w:val="none"/>
        </w:rPr>
        <w:t>存在的问题及原因分析</w:t>
      </w:r>
    </w:p>
    <w:p w14:paraId="033F87D0">
      <w:pPr>
        <w:keepNext w:val="0"/>
        <w:keepLines w:val="0"/>
        <w:pageBreakBefore w:val="0"/>
        <w:kinsoku/>
        <w:wordWrap/>
        <w:overflowPunct/>
        <w:topLinePunct w:val="0"/>
        <w:autoSpaceDE/>
        <w:autoSpaceDN/>
        <w:bidi w:val="0"/>
        <w:adjustRightInd/>
        <w:snapToGrid/>
        <w:spacing w:line="520" w:lineRule="exact"/>
        <w:ind w:left="0" w:leftChars="0" w:right="0" w:rightChars="0" w:firstLine="627" w:firstLineChars="196"/>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color w:val="auto"/>
          <w:sz w:val="32"/>
          <w:szCs w:val="32"/>
          <w:highlight w:val="none"/>
          <w:lang w:val="en-US" w:eastAsia="zh-CN"/>
        </w:rPr>
        <w:t>1.</w:t>
      </w:r>
      <w:r>
        <w:rPr>
          <w:rFonts w:hint="eastAsia" w:ascii="仿宋_GB2312" w:eastAsia="仿宋_GB2312"/>
          <w:color w:val="auto"/>
          <w:sz w:val="32"/>
          <w:szCs w:val="32"/>
          <w:highlight w:val="none"/>
        </w:rPr>
        <w:t>部分地区的补助资金难以满足基层医疗机构的需求，导致基本药物的供应和使用受限。同时，资金分配也存在不均衡现象，一些经济欠发达地区可能得到的补助相对较少。</w:t>
      </w:r>
    </w:p>
    <w:p w14:paraId="6C842C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2.基层医疗机构的医疗水平和用药管理能力有限，可能缺乏足够的培训和指导。同时，监管机制也可能存在漏洞或执行不力的情况。</w:t>
      </w:r>
    </w:p>
    <w:p w14:paraId="530D3B23">
      <w:pPr>
        <w:pStyle w:val="2"/>
        <w:ind w:firstLine="640"/>
        <w:rPr>
          <w:color w:val="auto"/>
          <w:highlight w:val="none"/>
        </w:rPr>
      </w:pPr>
      <w:r>
        <w:rPr>
          <w:rFonts w:hint="eastAsia"/>
          <w:color w:val="auto"/>
          <w:highlight w:val="none"/>
          <w:lang w:eastAsia="zh-CN"/>
        </w:rPr>
        <w:t>七</w:t>
      </w:r>
      <w:r>
        <w:rPr>
          <w:rFonts w:hint="eastAsia"/>
          <w:color w:val="auto"/>
          <w:highlight w:val="none"/>
        </w:rPr>
        <w:t>、有关建议</w:t>
      </w:r>
    </w:p>
    <w:p w14:paraId="50928CF4">
      <w:pPr>
        <w:keepNext w:val="0"/>
        <w:keepLines w:val="0"/>
        <w:pageBreakBefore w:val="0"/>
        <w:kinsoku/>
        <w:wordWrap/>
        <w:overflowPunct/>
        <w:topLinePunct w:val="0"/>
        <w:autoSpaceDE/>
        <w:autoSpaceDN/>
        <w:bidi w:val="0"/>
        <w:adjustRightInd/>
        <w:snapToGrid/>
        <w:spacing w:line="520" w:lineRule="exact"/>
        <w:ind w:left="0" w:leftChars="0" w:right="0" w:rightChars="0" w:firstLine="627" w:firstLineChars="196"/>
        <w:textAlignment w:val="auto"/>
        <w:outlineLvl w:val="9"/>
        <w:rPr>
          <w:rFonts w:hint="eastAsia" w:ascii="仿宋_GB2312" w:hAnsi="仿宋_GB2312" w:eastAsia="仿宋_GB2312" w:cs="仿宋_GB2312"/>
          <w:color w:val="auto"/>
          <w:kern w:val="0"/>
          <w:sz w:val="32"/>
          <w:szCs w:val="32"/>
          <w:highlight w:val="none"/>
          <w:lang w:val="en-US" w:eastAsia="zh-CN"/>
        </w:rPr>
      </w:pPr>
      <w:r>
        <w:rPr>
          <w:rFonts w:hint="eastAsia" w:ascii="仿宋_GB2312"/>
          <w:color w:val="auto"/>
          <w:sz w:val="32"/>
          <w:szCs w:val="32"/>
          <w:highlight w:val="none"/>
          <w:lang w:val="en-US" w:eastAsia="zh-CN"/>
        </w:rPr>
        <w:t>1.完善基本药物目录：建议定期更新和调整基本药物目录，及时纳入新的有效药物，以满足群众的用药需求。同时，应充分考虑不同地区和不同疾病的治疗需求，制定更加合理和全面的目录。</w:t>
      </w:r>
    </w:p>
    <w:p w14:paraId="2C5F58AF">
      <w:pPr>
        <w:keepNext w:val="0"/>
        <w:keepLines w:val="0"/>
        <w:pageBreakBefore w:val="0"/>
        <w:kinsoku/>
        <w:wordWrap/>
        <w:overflowPunct/>
        <w:topLinePunct w:val="0"/>
        <w:autoSpaceDE/>
        <w:autoSpaceDN/>
        <w:bidi w:val="0"/>
        <w:adjustRightInd/>
        <w:snapToGrid/>
        <w:spacing w:line="520" w:lineRule="exact"/>
        <w:ind w:right="0" w:rightChars="0" w:firstLine="640" w:firstLineChars="200"/>
        <w:textAlignment w:val="auto"/>
        <w:outlineLvl w:val="9"/>
        <w:rPr>
          <w:rFonts w:hint="eastAsia" w:ascii="仿宋_GB2312" w:hAnsi="黑体" w:eastAsia="仿宋_GB2312" w:cs="黑体"/>
          <w:bCs/>
          <w:color w:val="auto"/>
          <w:sz w:val="32"/>
          <w:szCs w:val="32"/>
          <w:highlight w:val="none"/>
        </w:rPr>
      </w:pPr>
      <w:r>
        <w:rPr>
          <w:rFonts w:hint="eastAsia" w:ascii="仿宋_GB2312"/>
          <w:color w:val="auto"/>
          <w:sz w:val="32"/>
          <w:szCs w:val="32"/>
          <w:highlight w:val="none"/>
          <w:lang w:val="en-US" w:eastAsia="zh-CN"/>
        </w:rPr>
        <w:t>2.</w:t>
      </w:r>
      <w:r>
        <w:rPr>
          <w:rFonts w:hint="eastAsia" w:ascii="仿宋_GB2312" w:eastAsia="仿宋_GB2312"/>
          <w:color w:val="auto"/>
          <w:sz w:val="32"/>
          <w:szCs w:val="32"/>
          <w:highlight w:val="none"/>
        </w:rPr>
        <w:t>建议加强对基本药物制度补助的监管和评估工作，确保资金使用的合规性和有效性。同时，建立完善的绩效考核机制，对基层医疗机构和医务人员进行定期考核，激励其积极参与基本药物制度的实施。</w:t>
      </w:r>
    </w:p>
    <w:p w14:paraId="3C4463E7">
      <w:pPr>
        <w:pStyle w:val="2"/>
        <w:ind w:firstLine="1056" w:firstLineChars="330"/>
        <w:rPr>
          <w:color w:val="auto"/>
          <w:highlight w:val="none"/>
        </w:rPr>
      </w:pPr>
      <w:r>
        <w:rPr>
          <w:rFonts w:hint="eastAsia"/>
          <w:color w:val="auto"/>
          <w:highlight w:val="none"/>
          <w:lang w:eastAsia="zh-CN"/>
        </w:rPr>
        <w:t>八</w:t>
      </w:r>
      <w:r>
        <w:rPr>
          <w:rFonts w:hint="eastAsia"/>
          <w:color w:val="auto"/>
          <w:highlight w:val="none"/>
        </w:rPr>
        <w:t>、其他需要说明的问题</w:t>
      </w:r>
    </w:p>
    <w:p w14:paraId="5CE2AA0C">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14:paraId="23FEFCD6">
      <w:pPr>
        <w:pStyle w:val="2"/>
        <w:ind w:firstLine="640"/>
        <w:rPr>
          <w:color w:val="auto"/>
          <w:highlight w:val="none"/>
        </w:rPr>
      </w:pPr>
      <w:r>
        <w:rPr>
          <w:rFonts w:hint="eastAsia"/>
          <w:color w:val="auto"/>
          <w:highlight w:val="none"/>
          <w:lang w:eastAsia="zh-CN"/>
        </w:rPr>
        <w:t>九、</w:t>
      </w:r>
      <w:r>
        <w:rPr>
          <w:rFonts w:hint="eastAsia"/>
          <w:color w:val="auto"/>
          <w:highlight w:val="none"/>
        </w:rPr>
        <w:t>附表</w:t>
      </w:r>
    </w:p>
    <w:p w14:paraId="6843FC5C">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bookmarkStart w:id="18" w:name="_GoBack"/>
      <w:bookmarkEnd w:id="18"/>
    </w:p>
    <w:sectPr>
      <w:headerReference r:id="rId5" w:type="default"/>
      <w:footerReference r:id="rId6"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1C8A4">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455729">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B455729">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63B35">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4166511E"/>
    <w:multiLevelType w:val="singleLevel"/>
    <w:tmpl w:val="4166511E"/>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0M2RlYjNmMjdiYjY3YzI0YWVmOTYxYTNjNDZhYTMifQ=="/>
  </w:docVars>
  <w:rsids>
    <w:rsidRoot w:val="00000000"/>
    <w:rsid w:val="00D104A8"/>
    <w:rsid w:val="03187320"/>
    <w:rsid w:val="03FB03BA"/>
    <w:rsid w:val="05442BF1"/>
    <w:rsid w:val="0F7738A4"/>
    <w:rsid w:val="115E01DA"/>
    <w:rsid w:val="17B35DB7"/>
    <w:rsid w:val="1BDD3B1B"/>
    <w:rsid w:val="22A87507"/>
    <w:rsid w:val="28874872"/>
    <w:rsid w:val="2CB81F9F"/>
    <w:rsid w:val="2E085954"/>
    <w:rsid w:val="349B22FF"/>
    <w:rsid w:val="35496A51"/>
    <w:rsid w:val="378214B0"/>
    <w:rsid w:val="39330366"/>
    <w:rsid w:val="45122B22"/>
    <w:rsid w:val="46592743"/>
    <w:rsid w:val="4B945D75"/>
    <w:rsid w:val="4EA70F97"/>
    <w:rsid w:val="500855AF"/>
    <w:rsid w:val="52C55120"/>
    <w:rsid w:val="53381D82"/>
    <w:rsid w:val="53F8370C"/>
    <w:rsid w:val="58C2180D"/>
    <w:rsid w:val="5946111C"/>
    <w:rsid w:val="5DA27C6B"/>
    <w:rsid w:val="606A75CF"/>
    <w:rsid w:val="6E8B7C84"/>
    <w:rsid w:val="73901B0E"/>
    <w:rsid w:val="777079EF"/>
    <w:rsid w:val="796E5CAB"/>
    <w:rsid w:val="7D171F25"/>
    <w:rsid w:val="7EB93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qFormat/>
    <w:uiPriority w:val="0"/>
    <w:pPr>
      <w:keepNext/>
      <w:keepLines/>
      <w:ind w:firstLine="964"/>
      <w:outlineLvl w:val="0"/>
    </w:pPr>
    <w:rPr>
      <w:rFonts w:eastAsia="黑体"/>
      <w:kern w:val="44"/>
      <w:sz w:val="32"/>
      <w:szCs w:val="22"/>
    </w:rPr>
  </w:style>
  <w:style w:type="paragraph" w:styleId="3">
    <w:name w:val="heading 2"/>
    <w:basedOn w:val="1"/>
    <w:next w:val="1"/>
    <w:unhideWhenUsed/>
    <w:qFormat/>
    <w:uiPriority w:val="0"/>
    <w:pPr>
      <w:keepNext/>
      <w:keepLines/>
      <w:ind w:firstLine="964"/>
      <w:outlineLvl w:val="1"/>
    </w:pPr>
    <w:rPr>
      <w:rFonts w:ascii="Arial" w:hAnsi="Arial" w:eastAsia="楷体"/>
      <w:b/>
      <w:sz w:val="32"/>
    </w:rPr>
  </w:style>
  <w:style w:type="paragraph" w:styleId="4">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style>
  <w:style w:type="paragraph" w:styleId="7">
    <w:name w:val="Body Text 2"/>
    <w:basedOn w:val="1"/>
    <w:qFormat/>
    <w:uiPriority w:val="0"/>
    <w:pPr>
      <w:spacing w:after="120" w:line="480" w:lineRule="auto"/>
    </w:pPr>
    <w:rPr>
      <w:rFonts w:ascii="Times New Roman" w:hAnsi="Times New Roman" w:eastAsia="宋体" w:cs="Times New Roman"/>
    </w:rPr>
  </w:style>
  <w:style w:type="paragraph" w:styleId="8">
    <w:name w:val="Plain Text"/>
    <w:basedOn w:val="1"/>
    <w:qFormat/>
    <w:uiPriority w:val="0"/>
    <w:rPr>
      <w:rFonts w:ascii="宋体" w:hAnsi="Courier New"/>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customStyle="1" w:styleId="13">
    <w:name w:val="Body Text Indent 2"/>
    <w:basedOn w:val="1"/>
    <w:qFormat/>
    <w:uiPriority w:val="0"/>
    <w:pPr>
      <w:spacing w:after="120" w:afterLines="0" w:line="480" w:lineRule="auto"/>
      <w:ind w:left="420" w:left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12475</Words>
  <Characters>13045</Characters>
  <Lines>0</Lines>
  <Paragraphs>0</Paragraphs>
  <TotalTime>0</TotalTime>
  <ScaleCrop>false</ScaleCrop>
  <LinksUpToDate>false</LinksUpToDate>
  <CharactersWithSpaces>13070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7.</cp:lastModifiedBy>
  <dcterms:modified xsi:type="dcterms:W3CDTF">2024-09-23T08:15:15Z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1FE7AD264FDE4A4780D4CB017AA094EB_13</vt:lpwstr>
  </property>
</Properties>
</file>