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60"/>
        <w:jc w:val="center"/>
        <w:rPr>
          <w:rFonts w:ascii="黑体" w:hAnsi="黑体" w:eastAsia="黑体" w:cs="黑体"/>
          <w:b/>
          <w:bCs/>
          <w:color w:val="auto"/>
          <w:sz w:val="44"/>
          <w:szCs w:val="44"/>
          <w:highlight w:val="none"/>
        </w:rPr>
      </w:pPr>
      <w:r>
        <w:rPr>
          <w:rFonts w:hint="eastAsia" w:ascii="黑体" w:hAnsi="黑体" w:eastAsia="黑体" w:cs="黑体"/>
          <w:b/>
          <w:bCs/>
          <w:color w:val="auto"/>
          <w:sz w:val="44"/>
          <w:szCs w:val="44"/>
          <w:highlight w:val="none"/>
          <w:lang w:val="en-US" w:eastAsia="zh-CN"/>
        </w:rPr>
        <w:t>县卫生健康委员会中央财政疫情防控补助资金</w:t>
      </w:r>
      <w:r>
        <w:rPr>
          <w:rFonts w:hint="eastAsia" w:ascii="黑体" w:hAnsi="黑体" w:eastAsia="黑体" w:cs="黑体"/>
          <w:b/>
          <w:bCs/>
          <w:color w:val="auto"/>
          <w:sz w:val="44"/>
          <w:szCs w:val="44"/>
          <w:highlight w:val="none"/>
        </w:rPr>
        <w:t>绩效评价报告</w:t>
      </w:r>
    </w:p>
    <w:p>
      <w:pPr>
        <w:pStyle w:val="3"/>
        <w:ind w:firstLine="640"/>
        <w:rPr>
          <w:color w:val="auto"/>
          <w:highlight w:val="none"/>
        </w:rPr>
      </w:pPr>
      <w:r>
        <w:rPr>
          <w:rFonts w:hint="eastAsia"/>
          <w:color w:val="auto"/>
          <w:highlight w:val="none"/>
        </w:rPr>
        <w:t>一、基本情况</w:t>
      </w:r>
    </w:p>
    <w:p>
      <w:pPr>
        <w:pStyle w:val="4"/>
        <w:ind w:firstLine="643"/>
        <w:rPr>
          <w:color w:val="auto"/>
          <w:highlight w:val="none"/>
        </w:rPr>
      </w:pPr>
      <w:r>
        <w:rPr>
          <w:rFonts w:hint="eastAsia"/>
          <w:color w:val="auto"/>
          <w:highlight w:val="none"/>
        </w:rPr>
        <w:t>（一）项目概况</w:t>
      </w:r>
    </w:p>
    <w:p>
      <w:pPr>
        <w:pStyle w:val="5"/>
        <w:ind w:firstLine="562"/>
        <w:rPr>
          <w:color w:val="auto"/>
          <w:highlight w:val="none"/>
        </w:rPr>
      </w:pPr>
      <w:r>
        <w:rPr>
          <w:rFonts w:hint="eastAsia"/>
          <w:color w:val="auto"/>
          <w:highlight w:val="none"/>
        </w:rPr>
        <w:t>1.项目背景</w:t>
      </w:r>
    </w:p>
    <w:p>
      <w:pPr>
        <w:ind w:firstLine="560"/>
        <w:outlineLvl w:val="9"/>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自新冠疫情发生以来，疫情传播范围不断扩大，医疗资源以及疫情可能对公共卫生造成严重威胁时，为最大限度地保护群众的健康和安全，成立此项目。</w:t>
      </w:r>
    </w:p>
    <w:p>
      <w:pPr>
        <w:pStyle w:val="5"/>
        <w:ind w:firstLine="562"/>
        <w:rPr>
          <w:color w:val="auto"/>
          <w:highlight w:val="none"/>
        </w:rPr>
      </w:pPr>
      <w:r>
        <w:rPr>
          <w:rFonts w:hint="eastAsia"/>
          <w:color w:val="auto"/>
          <w:highlight w:val="none"/>
        </w:rPr>
        <w:t>2.主要内容</w:t>
      </w:r>
    </w:p>
    <w:p>
      <w:pPr>
        <w:ind w:firstLine="560"/>
        <w:rPr>
          <w:rFonts w:hint="default"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项目名称：中央财政疫情防控补助资金</w:t>
      </w:r>
    </w:p>
    <w:p>
      <w:pPr>
        <w:ind w:firstLine="560"/>
        <w:outlineLvl w:val="9"/>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项目主要内容：支付2022年医疗防护物资、核酸检测物资购置款，提高对疫情检测和常态化预警能力建设等方面。</w:t>
      </w:r>
    </w:p>
    <w:p>
      <w:pPr>
        <w:ind w:left="0" w:leftChars="0" w:firstLine="0" w:firstLineChars="0"/>
        <w:outlineLvl w:val="9"/>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主要用于以下几个方面：1.提高对疫情检测和常态化预警能力建设。 2.保障企业合法权益，缓解政企关系，减少矛盾纠纷。 3.通过项目实施，保障疫情期间医疗物资充足，确保新型冠状病毒感染的肺炎疫情不发生集聚性爆发性扩散。</w:t>
      </w:r>
    </w:p>
    <w:p>
      <w:pPr>
        <w:pStyle w:val="5"/>
        <w:ind w:firstLine="562"/>
        <w:rPr>
          <w:color w:val="auto"/>
          <w:highlight w:val="none"/>
        </w:rPr>
      </w:pPr>
      <w:r>
        <w:rPr>
          <w:rFonts w:hint="eastAsia"/>
          <w:color w:val="auto"/>
          <w:highlight w:val="none"/>
          <w:lang w:val="en-US" w:eastAsia="zh-CN"/>
        </w:rPr>
        <w:t>3</w:t>
      </w:r>
      <w:r>
        <w:rPr>
          <w:rFonts w:hint="eastAsia"/>
          <w:color w:val="auto"/>
          <w:highlight w:val="none"/>
        </w:rPr>
        <w:t>.实施情况</w:t>
      </w:r>
    </w:p>
    <w:p>
      <w:pPr>
        <w:ind w:firstLine="562"/>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项目实施主体：（1）单位职能</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一)贯彻执行国民健康政策、卫生健康事业发展法规草案、政策、规划、规章和标准。统筹规划全县卫生健康资源配置，指导全县卫生健康规划的编制和实施。制定并组织实施推进卫生健康基本公共服务均等化、普惠化、便捷化和公共资源向基层延伸等政策措施。</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二)协调推进深化医药卫生体制改革，研究提出深化医药卫生体制改革重大方针、政策、措施的建议。组织深化公立医院综合改革，推进管办分离，健全现代医院管理制度，制定并组织实施推动卫生健康公共服务提供主体多元化、提供方式多样化的政策措施，提出医疗服务和药品价格政策的建议。</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三)制定并组织落实疾病预防控制规划、免疫规划及严重危害人民健康的公共卫生问题的干预措施。执行国家检疫传染病和监测传染病目录。负责全县卫生应急工作，组织指导突发公共卫生事件的预防控制和各类突发公共事件的医疗卫生救援。</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(四)协调落实全县应对人口老龄化政策措施，负责推进老年健康服务体系建设和医养结合工作。</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五)贯彻落实国家药物政策和国家基本药物制度，开展药品使用监测、临床综合评价和短缺药品预警。执行国家药品法典，提出基本药物价格政策的建议。组织开展食品安全风险监督评估和食品安全企业标准备案。</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六)负责职责范围内的职业卫生、放射卫生、环境卫生、学校卫生、公共场所卫生、饮用水卫生等公共卫生和监督管理，负责传染病防治监督，健全卫生健康综合监督体系。牵头《烟草控制框架公约》履约有关工作。</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七)负责制定全县医疗机构、医疗服务行业管理办法并监督实施，建立医疗服务评价和监督管理体系。会同有关部门组织实施卫生健康专业技术人员资格标准、医疗服务规范标准和卫生健康专业技术人员执业规则、服务规范。</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(八)负责计划生育管理和服务工作，开展人口监测预警研究提出人口与家庭发展相关政策建议，完善计划生育政策。</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(九)指导全县卫生健康工作，指导基层医疗卫生、妇幼健康服务体系和全科医生队伍建设。推进卫生健康科技创新发展。</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(十)负责保健对象的医疗保健工作，负责重要会议与重大活动的医疗卫生保障工作。</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(十一)承担全县老龄委员会的日常工作。指导县计划生育协会的业务工作。</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(十二)完成县委、县人民政府交办的其他任务。</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十三)职能转变。县卫生健康委员会应当牢固树立大卫生、大健康理念，推动实施健康中国、健康新疆、健康托克逊战略，以改革创新为动力，以促健康、转模式、强基层、重保障为着力点，把以治病为中心转变到以人民健康为中心，为各族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边远区域和生活困难群众倾斜。三是更加注重提高服务质量和水平，推进卫生健康公共服务均等化、普惠化、便捷化。四是协调推进深化医药卫生体制改革，加大公立医院改革力度，推进管办分离，推动卫生健康公共服务提供主体多元化、提供方式多样化。</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(十四)有关职责分工</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1.与县发展和改革委员会的有关职责分工。县卫生健康委员会负责开展人口监测预警工作，贯彻落实生育政策，研究提出与生育相关的人口数量、素质、结构、分布方面的政策建议，促进生育政策和相关经济社会政策配套衔接，参与制定人口发展规划和政策，落实国家和自治区人口规划中的有关任务。县发展和改革委员会负责组织监测和评估人口变动情况及趋势影响，建立人口预测预报制度，开展重大决策人口影响评估，完善重大人口政策咨询机制，研究提出县人口发展战略，拟订人口发展规划和人口政策，研究提出人口与经济、社会、资源、环境协调可持续发展，以及统筹促进人口长期均衡发展的政策建议。</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2.与县民政局的有关职责分工，县卫生健康委员会负责拟订县应对人口老龄化、医养结合政策措施，综合协调、督促指导、组织推进全县老龄事业发展，承担老年疾病防治、老年人医疗照护、老年人心理健康与关怀服务等老年健康工作。县民政局负责统筹推进、督促指导、监督管理全县养老服务工作，拟订养老服务体系建设规划、法规、政策、标准并组织实施，承担老年人福利和特殊困难老年人救助工作。</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3.与县市场监督管理局的有关职责分工，县卫生健康委员会负责食品安全风险评估和食品安全企业标准备案工作，会同县市场监督管理局等部门制定、实施食品安全风险监测计划。县卫生健康委员会对通过食品安全风险监测或者接到举报发现食品可能存在安全隐患的，应当立即组织进行检验和食品安全风险评估，并及时向县市场监督管理局等部门通报食品安全风险评估结果，对得出不安全结论的食品，县市场监督管理局等部门应当立即采取措施。县市场监督管理局等部门在监督管理工作中发现需要进行食品安全风险评估的，应当及时向县卫生健康委员会提出建议。县市场监督管理局会同县卫生健康委员会贯彻落实国家药典,建立重大药品不良反应和医疗器械不良事件相互通报机制和联合处置机制。</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4.与县医疗保障局的有关职责分工。县卫生健康委员会、县医疗保障局等部门在医疗、医保、医药等方面加强制度、政策衔接，建立沟通协商机制，协同推进改革，提高医疗资源使用效率和医疗保障水平。</w:t>
      </w:r>
    </w:p>
    <w:p>
      <w:pPr>
        <w:ind w:firstLine="562"/>
        <w:rPr>
          <w:rFonts w:hint="eastAsia" w:ascii="楷体_GB2312" w:hAnsi="楷体_GB2312" w:eastAsia="楷体_GB2312" w:cs="楷体_GB2312"/>
          <w:b/>
          <w:color w:val="auto"/>
          <w:sz w:val="32"/>
          <w:szCs w:val="28"/>
          <w:highlight w:val="none"/>
          <w:lang w:val="en-US" w:eastAsia="zh-CN"/>
        </w:rPr>
      </w:pPr>
      <w:r>
        <w:rPr>
          <w:rFonts w:hint="eastAsia" w:ascii="楷体_GB2312" w:hAnsi="楷体_GB2312" w:eastAsia="楷体_GB2312" w:cs="楷体_GB2312"/>
          <w:b/>
          <w:color w:val="auto"/>
          <w:sz w:val="32"/>
          <w:szCs w:val="28"/>
          <w:highlight w:val="none"/>
          <w:lang w:val="en-US" w:eastAsia="zh-CN"/>
        </w:rPr>
        <w:t>（2）设下列内设构：</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（一）办公室。负责机关日常运转，承担党政务公开、督办、财务、离退休干部管理等工作；负责机关和直属单位的党的建设、作风建设、队伍建设、干部人事、机构编制和绩效管理等工作。</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二）医政药政管理科(中医科、心理与职业健康科)。承担健康中国、健康新疆、健康吐鲁番、健康托克逊县战略协调推进工作，组织拟订卫生健康事业发展中长期规划，负责卫生健康项目规划（包含基建项目）与实施、对口援疆、脱贫攻坚等工作；贯彻执行国家医疗机构、医疗技术应用、医疗质量和安全、医疗服务、采供血机构以及行风建设等行业管理政策规范、标准，拟订全区实施办法并组织实施；承担推进护理、康复事业发展工作；拟订公立医院运行监管、绩效评价和考核制度；负责县保健委员会的具体工作，组织开展区保健对象的医疗保健工作，以及区重要会议和重大活动的医疗卫生保障工作。贯彻落实国家药物政策和国家基本药物制度，执行国家药品法典和国家基本药物目录；开展药品使用监测、临床综合评价和短缺药品预警；提出药品价格政策和基本药物目录内药品生产鼓励扶持政策的建议。落实中医医疗、保健、预防、康复、护理及临床用药等有关管理规定和技术标准；负责中医专业技术人员的资格认定和执业注册等工作；负责医疗事故、病残儿等技术鉴定。落实地方性法规草案、规章和标准，承担规范性文件的合法性审查工作，承担行政复议、行政应诉等工作；承担深化医药卫生体制改革具体工作，研究提出深化医药卫生体制改革政策措施的建议并督促推进落实，承担组织推进公立医院综合改革工作。拟定区社会心理服务体系工作政策和服务规范，培养社会心理服务人才队伍，组织开展心理健康服务；落实职业卫生、放射卫生相关政策、标准；开展重点职业病监测、专项调查、职业健康风险评估和职业人群安全健康监督管理工作。</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三）公共卫生科（疾病预防控制科、卫生应急办公室、妇幼健康科、老龄健康科）。拟订全县重大疾病防治规划、免疫规划、地方病和严重危害人民健康的公共卫生问题的干预措施并组织实施；完善疾病防控体系，根据授权发布法定报告传染病疫情信息；承担实验室生物安全监督工作；指导卫生健康服务体系及信息化建设工作。承担卫生应急和紧急医学救援工作，组织编制专项预案，承担预案演练的组织实施和指导监督工作；指导和推进卫生应急体系和能力建设；根据授权发布突发公共卫生事件应急处置信息。落实妇幼卫生健康政策、标准和规范，推进妇幼卫生健康服务体系建设，指导妇幼卫生、出生缺陷防治、婴幼儿早期发展、人类辅助生殖技术管理和生育技术服务工作。负责为人民身体健康提供地方病防治保障、监测、防治卫生宣传教育、培训、技术指导、科研等工作。协调落实应对老龄化的政策措施；组织拟订医养结合的政策、标准和规范，建立和完善老年健康服务体系。</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四）爱国卫生运动办公室。负责组织、宣传、贯彻有关爱国卫生工作的法律、法规、规章和政策；实施爱国卫生工作的监督检查、考核评价；开展创建卫生城市、卫生乡（镇）、村和卫生单位活动；组织开展爱国卫生运动和卫生健康统计工作；组织全民参加爱国卫生运动；督促检查环境卫生整治工作，开展全民健康教育和环境卫生整洁活动。完成上级部门交办的其他工作任务。协调开展职业病防治工作，承担《烟草控制框架公约》履约有关工作。</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（五）财务科（集中核算中心）。承担机关和预算管理单位预决算、财务、资产管理和内部审计工作。统筹管理和监督卫生健康专项资金。</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六）综合监督科。承担公共卫生、医疗卫生、计划生育等监督工作，查处医疗服务市场违法行为；组织开展学校卫生、公共场所卫生、饮用水卫生、传染病防治监督检查；完善综合监督体系，指导规范执法行为；组织开展食品安全风险监测、评估和交流，以及食品安全企业标准备案；负责卫生健康系统维稳及安全生产工作。</w:t>
      </w:r>
    </w:p>
    <w:p>
      <w:pPr>
        <w:ind w:firstLine="562"/>
        <w:rPr>
          <w:rFonts w:hint="eastAsia" w:eastAsia="仿宋_GB2312"/>
          <w:b/>
          <w:color w:val="auto"/>
          <w:sz w:val="32"/>
          <w:szCs w:val="28"/>
          <w:highlight w:val="none"/>
          <w:lang w:eastAsia="zh-CN"/>
        </w:rPr>
      </w:pPr>
      <w:r>
        <w:rPr>
          <w:rFonts w:hint="eastAsia"/>
          <w:b/>
          <w:color w:val="auto"/>
          <w:sz w:val="32"/>
          <w:szCs w:val="28"/>
          <w:highlight w:val="none"/>
        </w:rPr>
        <w:t>（</w:t>
      </w:r>
      <w:r>
        <w:rPr>
          <w:rFonts w:hint="eastAsia"/>
          <w:b/>
          <w:color w:val="auto"/>
          <w:sz w:val="32"/>
          <w:szCs w:val="28"/>
          <w:highlight w:val="none"/>
          <w:lang w:val="en-US" w:eastAsia="zh-CN"/>
        </w:rPr>
        <w:t>3</w:t>
      </w:r>
      <w:r>
        <w:rPr>
          <w:rFonts w:hint="eastAsia"/>
          <w:b/>
          <w:color w:val="auto"/>
          <w:sz w:val="32"/>
          <w:szCs w:val="28"/>
          <w:highlight w:val="none"/>
        </w:rPr>
        <w:t>）</w:t>
      </w:r>
      <w:r>
        <w:rPr>
          <w:rFonts w:hint="eastAsia"/>
          <w:b/>
          <w:color w:val="auto"/>
          <w:sz w:val="32"/>
          <w:szCs w:val="28"/>
          <w:highlight w:val="none"/>
          <w:lang w:eastAsia="zh-CN"/>
        </w:rPr>
        <w:t>人员情况</w:t>
      </w:r>
    </w:p>
    <w:p>
      <w:pPr>
        <w:ind w:firstLine="560"/>
        <w:rPr>
          <w:rFonts w:hint="eastAsia" w:ascii="仿宋_GB2312" w:hAnsi="仿宋_GB2312" w:cs="仿宋_GB2312"/>
          <w:b w:val="0"/>
          <w:bCs w:val="0"/>
          <w:color w:val="auto"/>
          <w:kern w:val="2"/>
          <w:sz w:val="32"/>
          <w:szCs w:val="32"/>
          <w:highlight w:val="none"/>
          <w:lang w:val="en-US" w:eastAsia="zh-CN" w:bidi="ar-SA"/>
        </w:rPr>
      </w:pPr>
      <w:r>
        <w:rPr>
          <w:rFonts w:hint="eastAsia" w:ascii="仿宋_GB2312" w:hAnsi="仿宋_GB2312" w:cs="仿宋_GB2312"/>
          <w:b w:val="0"/>
          <w:bCs w:val="0"/>
          <w:color w:val="auto"/>
          <w:kern w:val="2"/>
          <w:sz w:val="32"/>
          <w:szCs w:val="32"/>
          <w:highlight w:val="none"/>
          <w:lang w:val="en-US" w:eastAsia="zh-CN" w:bidi="ar-SA"/>
        </w:rPr>
        <w:t>托克逊县卫生健康委员会人员编制数共25人，其中：行政编制4人，事业编制6人，工勤2人。年初预算实有在职人员21人，退休人员27人。年末实有在职人数21人，临时工（地方编）4人，退休人员28人。</w:t>
      </w:r>
    </w:p>
    <w:p>
      <w:pPr>
        <w:ind w:firstLine="56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实施时间：本项目开始时间为2023年1月—2023年12月。</w:t>
      </w:r>
    </w:p>
    <w:p>
      <w:pPr>
        <w:ind w:firstLine="56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项目实施情况：</w:t>
      </w:r>
    </w:p>
    <w:p>
      <w:pPr>
        <w:ind w:firstLine="56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这笔资金主要用于</w:t>
      </w:r>
      <w:r>
        <w:rPr>
          <w:rFonts w:hint="eastAsia" w:ascii="仿宋_GB2312" w:hAnsi="仿宋_GB2312" w:cs="仿宋_GB2312"/>
          <w:b w:val="0"/>
          <w:bCs w:val="0"/>
          <w:color w:val="auto"/>
          <w:kern w:val="2"/>
          <w:sz w:val="32"/>
          <w:szCs w:val="32"/>
          <w:highlight w:val="none"/>
          <w:lang w:val="en-US" w:eastAsia="zh-CN" w:bidi="ar-SA"/>
        </w:rPr>
        <w:t>应对新冠疫情带来的社会影响</w:t>
      </w:r>
      <w:r>
        <w:rPr>
          <w:rFonts w:hint="eastAsia" w:ascii="仿宋_GB2312" w:hAnsi="仿宋_GB2312" w:eastAsia="仿宋_GB2312" w:cs="仿宋_GB2312"/>
          <w:b w:val="0"/>
          <w:bCs w:val="0"/>
          <w:color w:val="auto"/>
          <w:kern w:val="2"/>
          <w:sz w:val="32"/>
          <w:szCs w:val="32"/>
          <w:highlight w:val="none"/>
          <w:lang w:val="en-US" w:eastAsia="zh-CN" w:bidi="ar-SA"/>
        </w:rPr>
        <w:t>；召开</w:t>
      </w:r>
      <w:r>
        <w:rPr>
          <w:rFonts w:hint="eastAsia" w:ascii="仿宋_GB2312" w:hAnsi="仿宋_GB2312" w:cs="仿宋_GB2312"/>
          <w:b w:val="0"/>
          <w:bCs w:val="0"/>
          <w:color w:val="auto"/>
          <w:kern w:val="2"/>
          <w:sz w:val="32"/>
          <w:szCs w:val="32"/>
          <w:highlight w:val="none"/>
          <w:lang w:val="en-US" w:eastAsia="zh-CN" w:bidi="ar-SA"/>
        </w:rPr>
        <w:t>疫情相关</w:t>
      </w:r>
      <w:r>
        <w:rPr>
          <w:rFonts w:hint="eastAsia" w:ascii="仿宋_GB2312" w:hAnsi="仿宋_GB2312" w:eastAsia="仿宋_GB2312" w:cs="仿宋_GB2312"/>
          <w:b w:val="0"/>
          <w:bCs w:val="0"/>
          <w:color w:val="auto"/>
          <w:kern w:val="2"/>
          <w:sz w:val="32"/>
          <w:szCs w:val="32"/>
          <w:highlight w:val="none"/>
          <w:lang w:val="en-US" w:eastAsia="zh-CN" w:bidi="ar-SA"/>
        </w:rPr>
        <w:t>工作会议，推动</w:t>
      </w:r>
      <w:r>
        <w:rPr>
          <w:rFonts w:hint="eastAsia" w:ascii="仿宋_GB2312" w:hAnsi="仿宋_GB2312" w:cs="仿宋_GB2312"/>
          <w:b w:val="0"/>
          <w:bCs w:val="0"/>
          <w:color w:val="auto"/>
          <w:kern w:val="2"/>
          <w:sz w:val="32"/>
          <w:szCs w:val="32"/>
          <w:highlight w:val="none"/>
          <w:lang w:val="en-US" w:eastAsia="zh-CN" w:bidi="ar-SA"/>
        </w:rPr>
        <w:t>人民生活健康持续向好</w:t>
      </w:r>
      <w:r>
        <w:rPr>
          <w:rFonts w:hint="eastAsia" w:ascii="仿宋_GB2312" w:hAnsi="仿宋_GB2312" w:eastAsia="仿宋_GB2312" w:cs="仿宋_GB2312"/>
          <w:b w:val="0"/>
          <w:bCs w:val="0"/>
          <w:color w:val="auto"/>
          <w:kern w:val="2"/>
          <w:sz w:val="32"/>
          <w:szCs w:val="32"/>
          <w:highlight w:val="none"/>
          <w:lang w:val="en-US" w:eastAsia="zh-CN" w:bidi="ar-SA"/>
        </w:rPr>
        <w:t>；开展</w:t>
      </w:r>
      <w:r>
        <w:rPr>
          <w:rFonts w:hint="eastAsia" w:ascii="仿宋_GB2312" w:hAnsi="仿宋_GB2312" w:cs="仿宋_GB2312"/>
          <w:b w:val="0"/>
          <w:bCs w:val="0"/>
          <w:color w:val="auto"/>
          <w:kern w:val="2"/>
          <w:sz w:val="32"/>
          <w:szCs w:val="32"/>
          <w:highlight w:val="none"/>
          <w:lang w:val="en-US" w:eastAsia="zh-CN" w:bidi="ar-SA"/>
        </w:rPr>
        <w:t>应急处突以及全民核酸处置演练</w:t>
      </w:r>
      <w:r>
        <w:rPr>
          <w:rFonts w:hint="eastAsia" w:ascii="仿宋_GB2312" w:hAnsi="仿宋_GB2312" w:eastAsia="仿宋_GB2312" w:cs="仿宋_GB2312"/>
          <w:b w:val="0"/>
          <w:bCs w:val="0"/>
          <w:color w:val="auto"/>
          <w:kern w:val="2"/>
          <w:sz w:val="32"/>
          <w:szCs w:val="32"/>
          <w:highlight w:val="none"/>
          <w:lang w:val="en-US" w:eastAsia="zh-CN" w:bidi="ar-SA"/>
        </w:rPr>
        <w:t>；开展</w:t>
      </w:r>
      <w:r>
        <w:rPr>
          <w:rFonts w:hint="eastAsia" w:ascii="仿宋_GB2312" w:hAnsi="仿宋_GB2312" w:cs="仿宋_GB2312"/>
          <w:b w:val="0"/>
          <w:bCs w:val="0"/>
          <w:color w:val="auto"/>
          <w:kern w:val="2"/>
          <w:sz w:val="32"/>
          <w:szCs w:val="32"/>
          <w:highlight w:val="none"/>
          <w:lang w:val="en-US" w:eastAsia="zh-CN" w:bidi="ar-SA"/>
        </w:rPr>
        <w:t>医疗处突</w:t>
      </w:r>
      <w:r>
        <w:rPr>
          <w:rFonts w:hint="eastAsia" w:ascii="仿宋_GB2312" w:hAnsi="仿宋_GB2312" w:eastAsia="仿宋_GB2312" w:cs="仿宋_GB2312"/>
          <w:b w:val="0"/>
          <w:bCs w:val="0"/>
          <w:color w:val="auto"/>
          <w:kern w:val="2"/>
          <w:sz w:val="32"/>
          <w:szCs w:val="32"/>
          <w:highlight w:val="none"/>
          <w:lang w:val="en-US" w:eastAsia="zh-CN" w:bidi="ar-SA"/>
        </w:rPr>
        <w:t>培训，提升其履职能力等方面。主要用于以下几个方面：1.购买医疗防护物资，确保医疗防控物资的短缺,确保我县群众核酸检测物资正常供应，提高应急突发事件处置保障能力。</w:t>
      </w:r>
    </w:p>
    <w:p>
      <w:pPr>
        <w:ind w:firstLine="56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2.提高对疫情检测和常态化预警能力建设。</w:t>
      </w:r>
    </w:p>
    <w:p>
      <w:pPr>
        <w:ind w:firstLine="56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3.通过项目实施，保障疫情期间医疗物资充足，确保新型冠状病毒感染的肺炎疫情不发生集聚性爆发性扩散。</w:t>
      </w:r>
    </w:p>
    <w:p>
      <w:pPr>
        <w:pStyle w:val="5"/>
        <w:ind w:firstLine="562"/>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pPr>
        <w:ind w:firstLine="562"/>
        <w:rPr>
          <w:rFonts w:hint="eastAsia" w:ascii="仿宋_GB2312" w:hAnsi="仿宋_GB2312" w:eastAsia="仿宋_GB2312" w:cs="仿宋_GB2312"/>
          <w:b/>
          <w:color w:val="auto"/>
          <w:highlight w:val="none"/>
        </w:rPr>
      </w:pPr>
      <w:r>
        <w:rPr>
          <w:rFonts w:hint="eastAsia" w:ascii="仿宋_GB2312" w:hAnsi="仿宋_GB2312" w:eastAsia="仿宋_GB2312" w:cs="仿宋_GB2312"/>
          <w:b/>
          <w:color w:val="auto"/>
          <w:highlight w:val="none"/>
        </w:rPr>
        <w:t>（1）项目资金安排落实、总投入等情况分析</w:t>
      </w:r>
    </w:p>
    <w:p>
      <w:pPr>
        <w:ind w:firstLine="56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val="en-US" w:eastAsia="zh-CN"/>
        </w:rPr>
        <w:t>本</w:t>
      </w:r>
      <w:r>
        <w:rPr>
          <w:rFonts w:hint="eastAsia" w:ascii="仿宋_GB2312" w:hAnsi="仿宋_GB2312" w:eastAsia="仿宋_GB2312" w:cs="仿宋_GB2312"/>
          <w:color w:val="auto"/>
          <w:highlight w:val="none"/>
        </w:rPr>
        <w:t>项目预算安排总额为</w:t>
      </w:r>
      <w:r>
        <w:rPr>
          <w:rFonts w:hint="eastAsia" w:ascii="仿宋_GB2312" w:hAnsi="仿宋_GB2312" w:cs="仿宋_GB2312"/>
          <w:color w:val="auto"/>
          <w:highlight w:val="none"/>
          <w:lang w:val="en-US" w:eastAsia="zh-CN"/>
        </w:rPr>
        <w:t>2947</w:t>
      </w:r>
      <w:r>
        <w:rPr>
          <w:rFonts w:hint="eastAsia" w:ascii="仿宋_GB2312" w:hAnsi="仿宋_GB2312" w:eastAsia="仿宋_GB2312" w:cs="仿宋_GB2312"/>
          <w:color w:val="auto"/>
          <w:highlight w:val="none"/>
        </w:rPr>
        <w:t>万元，其中财政资金</w:t>
      </w:r>
      <w:r>
        <w:rPr>
          <w:rFonts w:hint="eastAsia" w:ascii="仿宋_GB2312" w:hAnsi="仿宋_GB2312" w:cs="仿宋_GB2312"/>
          <w:color w:val="auto"/>
          <w:highlight w:val="none"/>
          <w:lang w:val="en-US" w:eastAsia="zh-CN"/>
        </w:rPr>
        <w:t>2947</w:t>
      </w:r>
      <w:r>
        <w:rPr>
          <w:rFonts w:hint="eastAsia" w:ascii="仿宋_GB2312" w:hAnsi="仿宋_GB2312" w:eastAsia="仿宋_GB2312" w:cs="仿宋_GB2312"/>
          <w:color w:val="auto"/>
          <w:highlight w:val="none"/>
        </w:rPr>
        <w:t>万元，其他资金</w:t>
      </w:r>
      <w:r>
        <w:rPr>
          <w:rFonts w:hint="eastAsia" w:ascii="仿宋_GB2312" w:hAnsi="仿宋_GB2312" w:eastAsia="仿宋_GB2312" w:cs="仿宋_GB2312"/>
          <w:color w:val="auto"/>
          <w:highlight w:val="none"/>
          <w:lang w:val="en-US" w:eastAsia="zh-CN"/>
        </w:rPr>
        <w:t>0</w:t>
      </w:r>
      <w:r>
        <w:rPr>
          <w:rFonts w:hint="eastAsia" w:ascii="仿宋_GB2312" w:hAnsi="仿宋_GB2312" w:eastAsia="仿宋_GB2312" w:cs="仿宋_GB2312"/>
          <w:color w:val="auto"/>
          <w:highlight w:val="none"/>
        </w:rPr>
        <w:t>万元，202</w:t>
      </w:r>
      <w:r>
        <w:rPr>
          <w:rFonts w:hint="eastAsia" w:ascii="仿宋_GB2312" w:hAnsi="仿宋_GB2312" w:eastAsia="仿宋_GB2312" w:cs="仿宋_GB2312"/>
          <w:color w:val="auto"/>
          <w:highlight w:val="none"/>
          <w:lang w:val="en-US" w:eastAsia="zh-CN"/>
        </w:rPr>
        <w:t>3</w:t>
      </w:r>
      <w:r>
        <w:rPr>
          <w:rFonts w:hint="eastAsia" w:ascii="仿宋_GB2312" w:hAnsi="仿宋_GB2312" w:eastAsia="仿宋_GB2312" w:cs="仿宋_GB2312"/>
          <w:color w:val="auto"/>
          <w:highlight w:val="none"/>
        </w:rPr>
        <w:t>年实际收到预算资金</w:t>
      </w:r>
      <w:r>
        <w:rPr>
          <w:rFonts w:hint="eastAsia" w:ascii="仿宋_GB2312" w:hAnsi="仿宋_GB2312" w:cs="仿宋_GB2312"/>
          <w:color w:val="auto"/>
          <w:highlight w:val="none"/>
          <w:lang w:val="en-US" w:eastAsia="zh-CN"/>
        </w:rPr>
        <w:t>2947</w:t>
      </w:r>
      <w:r>
        <w:rPr>
          <w:rFonts w:hint="eastAsia" w:ascii="仿宋_GB2312" w:hAnsi="仿宋_GB2312" w:eastAsia="仿宋_GB2312" w:cs="仿宋_GB2312"/>
          <w:color w:val="auto"/>
          <w:highlight w:val="none"/>
        </w:rPr>
        <w:t>万元，预算资金到位率为</w:t>
      </w:r>
      <w:r>
        <w:rPr>
          <w:rFonts w:hint="eastAsia" w:ascii="仿宋_GB2312" w:hAnsi="仿宋_GB2312" w:eastAsia="仿宋_GB2312" w:cs="仿宋_GB2312"/>
          <w:color w:val="auto"/>
          <w:highlight w:val="none"/>
          <w:lang w:val="en-US" w:eastAsia="zh-CN"/>
        </w:rPr>
        <w:t>100</w:t>
      </w:r>
      <w:r>
        <w:rPr>
          <w:rFonts w:hint="eastAsia" w:ascii="仿宋_GB2312" w:hAnsi="仿宋_GB2312" w:eastAsia="仿宋_GB2312" w:cs="仿宋_GB2312"/>
          <w:color w:val="auto"/>
          <w:highlight w:val="none"/>
        </w:rPr>
        <w:t>%。</w:t>
      </w:r>
    </w:p>
    <w:p>
      <w:pPr>
        <w:ind w:firstLine="562"/>
        <w:rPr>
          <w:rFonts w:hint="eastAsia" w:ascii="仿宋_GB2312" w:hAnsi="仿宋_GB2312" w:eastAsia="仿宋_GB2312" w:cs="仿宋_GB2312"/>
          <w:b/>
          <w:color w:val="auto"/>
          <w:highlight w:val="none"/>
        </w:rPr>
      </w:pPr>
      <w:r>
        <w:rPr>
          <w:rFonts w:hint="eastAsia" w:ascii="仿宋_GB2312" w:hAnsi="仿宋_GB2312" w:eastAsia="仿宋_GB2312" w:cs="仿宋_GB2312"/>
          <w:b/>
          <w:color w:val="auto"/>
          <w:highlight w:val="none"/>
        </w:rPr>
        <w:t>（2）</w:t>
      </w:r>
      <w:r>
        <w:rPr>
          <w:rFonts w:hint="eastAsia" w:ascii="仿宋_GB2312" w:hAnsi="仿宋_GB2312" w:eastAsia="仿宋_GB2312" w:cs="仿宋_GB2312"/>
          <w:b/>
          <w:bCs/>
          <w:color w:val="auto"/>
          <w:spacing w:val="-4"/>
          <w:highlight w:val="none"/>
        </w:rPr>
        <w:t>项目资金实际使用情况分析</w:t>
      </w:r>
    </w:p>
    <w:p>
      <w:pPr>
        <w:pStyle w:val="5"/>
        <w:bidi w:val="0"/>
        <w:rPr>
          <w:b w:val="0"/>
          <w:bCs w:val="0"/>
          <w:color w:val="auto"/>
          <w:highlight w:val="none"/>
        </w:rPr>
      </w:pPr>
      <w:r>
        <w:rPr>
          <w:rFonts w:hint="eastAsia"/>
          <w:b w:val="0"/>
          <w:bCs w:val="0"/>
          <w:color w:val="auto"/>
          <w:highlight w:val="none"/>
          <w:lang w:val="en-US" w:eastAsia="zh-CN"/>
        </w:rPr>
        <w:t>截止到2023年12月31日，</w:t>
      </w:r>
      <w:r>
        <w:rPr>
          <w:rFonts w:hint="eastAsia"/>
          <w:b w:val="0"/>
          <w:bCs w:val="0"/>
          <w:color w:val="auto"/>
          <w:highlight w:val="none"/>
        </w:rPr>
        <w:t>本项目实际支付资金</w:t>
      </w:r>
      <w:r>
        <w:rPr>
          <w:rFonts w:hint="eastAsia"/>
          <w:b w:val="0"/>
          <w:bCs w:val="0"/>
          <w:color w:val="auto"/>
          <w:highlight w:val="none"/>
          <w:lang w:val="en-US" w:eastAsia="zh-CN"/>
        </w:rPr>
        <w:t>2947.00</w:t>
      </w:r>
      <w:r>
        <w:rPr>
          <w:rFonts w:hint="eastAsia"/>
          <w:b w:val="0"/>
          <w:bCs w:val="0"/>
          <w:color w:val="auto"/>
          <w:highlight w:val="none"/>
        </w:rPr>
        <w:t>万元，预算执行率</w:t>
      </w:r>
      <w:r>
        <w:rPr>
          <w:rFonts w:hint="eastAsia"/>
          <w:b w:val="0"/>
          <w:bCs w:val="0"/>
          <w:color w:val="auto"/>
          <w:highlight w:val="none"/>
          <w:lang w:val="en-US" w:eastAsia="zh-CN"/>
        </w:rPr>
        <w:t>100</w:t>
      </w:r>
      <w:r>
        <w:rPr>
          <w:b w:val="0"/>
          <w:bCs w:val="0"/>
          <w:color w:val="auto"/>
          <w:highlight w:val="none"/>
        </w:rPr>
        <w:t>%</w:t>
      </w:r>
      <w:r>
        <w:rPr>
          <w:rFonts w:hint="eastAsia"/>
          <w:b w:val="0"/>
          <w:bCs w:val="0"/>
          <w:color w:val="auto"/>
          <w:highlight w:val="none"/>
          <w:lang w:eastAsia="zh-CN"/>
        </w:rPr>
        <w:t>，</w:t>
      </w:r>
      <w:r>
        <w:rPr>
          <w:rFonts w:hint="eastAsia"/>
          <w:b w:val="0"/>
          <w:bCs w:val="0"/>
          <w:color w:val="auto"/>
          <w:highlight w:val="none"/>
          <w:lang w:val="en-US" w:eastAsia="zh-CN"/>
        </w:rPr>
        <w:t>结转资金0</w:t>
      </w:r>
      <w:r>
        <w:rPr>
          <w:rFonts w:hint="eastAsia"/>
          <w:b w:val="0"/>
          <w:bCs w:val="0"/>
          <w:color w:val="auto"/>
          <w:highlight w:val="none"/>
        </w:rPr>
        <w:t>万元</w:t>
      </w:r>
      <w:r>
        <w:rPr>
          <w:rFonts w:hint="eastAsia"/>
          <w:b w:val="0"/>
          <w:bCs w:val="0"/>
          <w:color w:val="auto"/>
          <w:highlight w:val="none"/>
          <w:lang w:eastAsia="zh-CN"/>
        </w:rPr>
        <w:t>，</w:t>
      </w:r>
      <w:r>
        <w:rPr>
          <w:rFonts w:hint="eastAsia"/>
          <w:b w:val="0"/>
          <w:bCs w:val="0"/>
          <w:color w:val="auto"/>
          <w:highlight w:val="none"/>
          <w:lang w:val="en-US" w:eastAsia="zh-CN"/>
        </w:rPr>
        <w:t>结余资金0</w:t>
      </w:r>
      <w:r>
        <w:rPr>
          <w:rFonts w:hint="eastAsia"/>
          <w:b w:val="0"/>
          <w:bCs w:val="0"/>
          <w:color w:val="auto"/>
          <w:highlight w:val="none"/>
        </w:rPr>
        <w:t>万元。</w:t>
      </w:r>
    </w:p>
    <w:p>
      <w:pPr>
        <w:pStyle w:val="4"/>
        <w:ind w:firstLine="643"/>
        <w:rPr>
          <w:color w:val="auto"/>
          <w:highlight w:val="none"/>
        </w:rPr>
      </w:pPr>
      <w:r>
        <w:rPr>
          <w:rFonts w:hint="eastAsia"/>
          <w:color w:val="auto"/>
          <w:highlight w:val="none"/>
        </w:rPr>
        <w:t>（</w:t>
      </w:r>
      <w:r>
        <w:rPr>
          <w:rFonts w:hint="eastAsia"/>
          <w:color w:val="auto"/>
          <w:highlight w:val="none"/>
          <w:lang w:val="en-US" w:eastAsia="zh-CN"/>
        </w:rPr>
        <w:t>二</w:t>
      </w:r>
      <w:r>
        <w:rPr>
          <w:rFonts w:hint="eastAsia"/>
          <w:color w:val="auto"/>
          <w:highlight w:val="none"/>
        </w:rPr>
        <w:t>）项目绩效目标</w:t>
      </w:r>
    </w:p>
    <w:p>
      <w:pPr>
        <w:pStyle w:val="5"/>
        <w:bidi w:val="0"/>
        <w:rPr>
          <w:color w:val="auto"/>
          <w:highlight w:val="none"/>
        </w:rPr>
      </w:pPr>
      <w:r>
        <w:rPr>
          <w:rFonts w:hint="eastAsia"/>
          <w:color w:val="auto"/>
          <w:highlight w:val="none"/>
        </w:rPr>
        <w:t>1.总体目标</w:t>
      </w:r>
    </w:p>
    <w:p>
      <w:pPr>
        <w:keepNext w:val="0"/>
        <w:keepLines w:val="0"/>
        <w:widowControl/>
        <w:suppressLineNumbers w:val="0"/>
        <w:jc w:val="left"/>
        <w:rPr>
          <w:rFonts w:hint="eastAsia" w:ascii="仿宋_GB2312" w:hAnsi="仿宋_GB2312" w:eastAsia="仿宋_GB2312" w:cs="宋体"/>
          <w:b w:val="0"/>
          <w:bCs w:val="0"/>
          <w:color w:val="auto"/>
          <w:kern w:val="0"/>
          <w:sz w:val="28"/>
          <w:szCs w:val="32"/>
          <w:highlight w:val="none"/>
          <w:shd w:val="clear" w:color="auto" w:fill="auto"/>
          <w:lang w:val="en-US" w:eastAsia="zh-CN" w:bidi="ar-SA"/>
        </w:rPr>
      </w:pPr>
      <w:r>
        <w:rPr>
          <w:rFonts w:hint="eastAsia"/>
          <w:b w:val="0"/>
          <w:bCs w:val="0"/>
          <w:color w:val="auto"/>
          <w:highlight w:val="none"/>
          <w:lang w:val="en-US" w:eastAsia="zh-CN"/>
        </w:rPr>
        <w:t>本项目绩效总体目标</w:t>
      </w:r>
      <w:r>
        <w:rPr>
          <w:rFonts w:hint="eastAsia" w:cs="宋体"/>
          <w:b w:val="0"/>
          <w:bCs w:val="0"/>
          <w:color w:val="auto"/>
          <w:highlight w:val="none"/>
          <w:shd w:val="clear" w:color="auto" w:fill="auto"/>
          <w:lang w:val="en-US" w:eastAsia="zh-CN"/>
        </w:rPr>
        <w:t>为：目标1</w:t>
      </w:r>
      <w:r>
        <w:rPr>
          <w:rFonts w:hint="eastAsia" w:ascii="仿宋_GB2312" w:hAnsi="仿宋_GB2312" w:eastAsia="仿宋_GB2312" w:cs="宋体"/>
          <w:b w:val="0"/>
          <w:bCs w:val="0"/>
          <w:color w:val="auto"/>
          <w:kern w:val="0"/>
          <w:sz w:val="28"/>
          <w:szCs w:val="32"/>
          <w:highlight w:val="none"/>
          <w:shd w:val="clear" w:color="auto" w:fill="auto"/>
          <w:lang w:val="en-US" w:eastAsia="zh-CN" w:bidi="ar-SA"/>
        </w:rPr>
        <w:t>：2023年12个月购买医疗防护物资确保医疗防控物资的短缺,确保每月14万人都能做核算一年</w:t>
      </w:r>
      <w:r>
        <w:rPr>
          <w:rFonts w:hint="eastAsia" w:ascii="仿宋_GB2312" w:hAnsi="仿宋_GB2312" w:cs="宋体"/>
          <w:b w:val="0"/>
          <w:bCs w:val="0"/>
          <w:color w:val="auto"/>
          <w:kern w:val="0"/>
          <w:sz w:val="28"/>
          <w:szCs w:val="32"/>
          <w:highlight w:val="none"/>
          <w:shd w:val="clear" w:color="auto" w:fill="auto"/>
          <w:lang w:val="en-US" w:eastAsia="zh-CN" w:bidi="ar-SA"/>
        </w:rPr>
        <w:t>5</w:t>
      </w:r>
      <w:r>
        <w:rPr>
          <w:rFonts w:hint="eastAsia" w:ascii="仿宋_GB2312" w:hAnsi="仿宋_GB2312" w:eastAsia="仿宋_GB2312" w:cs="宋体"/>
          <w:b w:val="0"/>
          <w:bCs w:val="0"/>
          <w:color w:val="auto"/>
          <w:kern w:val="0"/>
          <w:sz w:val="28"/>
          <w:szCs w:val="32"/>
          <w:highlight w:val="none"/>
          <w:shd w:val="clear" w:color="auto" w:fill="auto"/>
          <w:lang w:val="en-US" w:eastAsia="zh-CN" w:bidi="ar-SA"/>
        </w:rPr>
        <w:t>批次提供疫情消杀物资,一年12批次购买后勤保障物资,给县城6个点食宿保障.确保新型冠状病毒感染的肺炎疫情不发生集聚性爆发性扩散、确保社会大局稳定。</w:t>
      </w:r>
    </w:p>
    <w:p>
      <w:pPr>
        <w:keepNext w:val="0"/>
        <w:keepLines w:val="0"/>
        <w:widowControl/>
        <w:suppressLineNumbers w:val="0"/>
        <w:jc w:val="left"/>
        <w:rPr>
          <w:rFonts w:hint="eastAsia" w:ascii="仿宋_GB2312" w:hAnsi="仿宋_GB2312" w:eastAsia="仿宋_GB2312" w:cs="宋体"/>
          <w:b w:val="0"/>
          <w:bCs w:val="0"/>
          <w:color w:val="auto"/>
          <w:kern w:val="0"/>
          <w:sz w:val="28"/>
          <w:szCs w:val="32"/>
          <w:highlight w:val="none"/>
          <w:shd w:val="clear" w:color="auto" w:fill="auto"/>
          <w:lang w:val="en-US" w:eastAsia="zh-CN" w:bidi="ar-SA"/>
        </w:rPr>
      </w:pPr>
      <w:r>
        <w:rPr>
          <w:rFonts w:hint="eastAsia" w:ascii="仿宋_GB2312" w:hAnsi="仿宋_GB2312" w:eastAsia="仿宋_GB2312" w:cs="宋体"/>
          <w:b w:val="0"/>
          <w:bCs w:val="0"/>
          <w:color w:val="auto"/>
          <w:kern w:val="0"/>
          <w:sz w:val="28"/>
          <w:szCs w:val="32"/>
          <w:highlight w:val="none"/>
          <w:shd w:val="clear" w:color="auto" w:fill="auto"/>
          <w:lang w:val="en-US" w:eastAsia="zh-CN" w:bidi="ar-SA"/>
        </w:rPr>
        <w:t>目标2：2.统一领导、统一指挥、统一行动、统一部署。突出基层、突出保障、突出救治、早发现、早报告、早隔离、早治疗；打赢疫情防控阻击战、取得疫情防控最终胜利。</w:t>
      </w:r>
    </w:p>
    <w:p>
      <w:pPr>
        <w:pStyle w:val="5"/>
        <w:ind w:firstLine="562"/>
        <w:rPr>
          <w:color w:val="auto"/>
          <w:highlight w:val="none"/>
        </w:rPr>
      </w:pPr>
      <w:r>
        <w:rPr>
          <w:rFonts w:hint="eastAsia"/>
          <w:color w:val="auto"/>
          <w:highlight w:val="none"/>
        </w:rPr>
        <w:t>2.阶段性目标</w:t>
      </w:r>
    </w:p>
    <w:p>
      <w:pPr>
        <w:ind w:firstLine="560"/>
        <w:rPr>
          <w:rFonts w:hint="eastAsia" w:hAnsi="Arial" w:cs="宋体"/>
          <w:bCs/>
          <w:color w:val="auto"/>
          <w:highlight w:val="none"/>
        </w:rPr>
      </w:pPr>
      <w:r>
        <w:rPr>
          <w:rFonts w:hint="eastAsia" w:hAnsi="Arial" w:cs="宋体"/>
          <w:bCs/>
          <w:color w:val="auto"/>
          <w:highlight w:val="none"/>
        </w:rPr>
        <w:t>1.202</w:t>
      </w:r>
      <w:r>
        <w:rPr>
          <w:rFonts w:hint="eastAsia" w:hAnsi="Arial" w:cs="宋体"/>
          <w:bCs/>
          <w:color w:val="auto"/>
          <w:highlight w:val="none"/>
          <w:lang w:val="en-US" w:eastAsia="zh-CN"/>
        </w:rPr>
        <w:t>3</w:t>
      </w:r>
      <w:r>
        <w:rPr>
          <w:rFonts w:hint="eastAsia" w:hAnsi="Arial" w:cs="宋体"/>
          <w:bCs/>
          <w:color w:val="auto"/>
          <w:highlight w:val="none"/>
        </w:rPr>
        <w:t>年12个月购买医疗防护物资确保医疗防控物资的短缺,确保每月14万人都能做核算一年</w:t>
      </w:r>
      <w:r>
        <w:rPr>
          <w:rFonts w:hint="eastAsia" w:hAnsi="Arial" w:cs="宋体"/>
          <w:bCs/>
          <w:color w:val="auto"/>
          <w:highlight w:val="none"/>
          <w:lang w:val="en-US" w:eastAsia="zh-CN"/>
        </w:rPr>
        <w:t>5</w:t>
      </w:r>
      <w:r>
        <w:rPr>
          <w:rFonts w:hint="eastAsia" w:hAnsi="Arial" w:cs="宋体"/>
          <w:bCs/>
          <w:color w:val="auto"/>
          <w:highlight w:val="none"/>
        </w:rPr>
        <w:t>批次提供疫情消杀物资,一年12批次购买后勤保障物资,给县城6个点食宿保障.确保新型冠状病毒感染的肺炎疫情不发生集聚性爆发性扩散、确保社会大局稳定；</w:t>
      </w:r>
    </w:p>
    <w:p>
      <w:pPr>
        <w:ind w:firstLine="560"/>
        <w:rPr>
          <w:rFonts w:hint="eastAsia" w:hAnsi="Arial" w:cs="宋体"/>
          <w:bCs/>
          <w:color w:val="auto"/>
          <w:highlight w:val="none"/>
        </w:rPr>
      </w:pPr>
      <w:r>
        <w:rPr>
          <w:rFonts w:hint="eastAsia" w:hAnsi="Arial" w:cs="宋体"/>
          <w:bCs/>
          <w:color w:val="auto"/>
          <w:highlight w:val="none"/>
        </w:rPr>
        <w:t>2.统一领导、统一指挥、统一行动、统一部署。突出基层、突出保障、突出救治、早发现、早报告、早隔离、早治疗；打赢疫情防控阻击战、取得疫情防控最终胜利。</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（1）项目产出指标</w:t>
      </w:r>
    </w:p>
    <w:p>
      <w:pPr>
        <w:ind w:firstLine="560"/>
        <w:rPr>
          <w:color w:val="auto"/>
          <w:highlight w:val="none"/>
        </w:rPr>
      </w:pPr>
      <w:r>
        <w:rPr>
          <w:rFonts w:hint="eastAsia"/>
          <w:color w:val="auto"/>
          <w:highlight w:val="none"/>
        </w:rPr>
        <w:t>①数量指标</w:t>
      </w:r>
    </w:p>
    <w:p>
      <w:pPr>
        <w:ind w:firstLine="560"/>
        <w:rPr>
          <w:rFonts w:hint="default"/>
          <w:color w:val="auto"/>
          <w:highlight w:val="none"/>
          <w:lang w:val="en-US" w:eastAsia="zh-CN"/>
        </w:rPr>
      </w:pPr>
      <w:r>
        <w:rPr>
          <w:rFonts w:hint="eastAsia"/>
          <w:color w:val="auto"/>
          <w:highlight w:val="none"/>
          <w:lang w:val="en-US" w:eastAsia="zh-CN"/>
        </w:rPr>
        <w:t>“</w:t>
      </w:r>
      <w:r>
        <w:rPr>
          <w:rFonts w:hint="eastAsia" w:ascii="Times New Roman" w:hAnsi="Times New Roman" w:cs="Times New Roman"/>
          <w:color w:val="auto"/>
          <w:highlight w:val="none"/>
        </w:rPr>
        <w:t>采购疫情防控医疗物资批次</w:t>
      </w:r>
      <w:r>
        <w:rPr>
          <w:rFonts w:hint="eastAsia"/>
          <w:color w:val="auto"/>
          <w:highlight w:val="none"/>
          <w:lang w:val="en-US" w:eastAsia="zh-CN"/>
        </w:rPr>
        <w:t>”指标，预期指标值为</w:t>
      </w:r>
      <w:r>
        <w:rPr>
          <w:rFonts w:hint="eastAsia" w:ascii="Times New Roman" w:hAnsi="Times New Roman" w:cs="Times New Roman"/>
          <w:color w:val="auto"/>
          <w:highlight w:val="none"/>
          <w:lang w:val="en-US" w:eastAsia="zh-CN"/>
        </w:rPr>
        <w:t>5批</w:t>
      </w:r>
      <w:r>
        <w:rPr>
          <w:rFonts w:hint="eastAsia"/>
          <w:color w:val="auto"/>
          <w:highlight w:val="none"/>
          <w:lang w:val="en-US" w:eastAsia="zh-CN"/>
        </w:rPr>
        <w:t>。</w:t>
      </w:r>
    </w:p>
    <w:p>
      <w:pPr>
        <w:ind w:firstLine="560"/>
        <w:rPr>
          <w:rFonts w:hint="default"/>
          <w:color w:val="auto"/>
          <w:highlight w:val="none"/>
          <w:lang w:val="en-US"/>
        </w:rPr>
      </w:pPr>
      <w:r>
        <w:rPr>
          <w:rFonts w:hint="eastAsia"/>
          <w:color w:val="auto"/>
          <w:highlight w:val="none"/>
        </w:rPr>
        <w:t>“</w:t>
      </w:r>
      <w:r>
        <w:rPr>
          <w:rFonts w:hint="eastAsia" w:ascii="Times New Roman" w:hAnsi="Times New Roman" w:cs="Times New Roman"/>
          <w:color w:val="auto"/>
          <w:highlight w:val="none"/>
        </w:rPr>
        <w:t>采购核酸检测物资批次</w:t>
      </w:r>
      <w:r>
        <w:rPr>
          <w:rFonts w:hint="eastAsia"/>
          <w:color w:val="auto"/>
          <w:highlight w:val="none"/>
        </w:rPr>
        <w:t>”指标，预期指标值为</w:t>
      </w:r>
      <w:r>
        <w:rPr>
          <w:rFonts w:hint="eastAsia"/>
          <w:color w:val="auto"/>
          <w:highlight w:val="none"/>
          <w:lang w:val="en-US" w:eastAsia="zh-CN"/>
        </w:rPr>
        <w:t>6批。</w:t>
      </w:r>
    </w:p>
    <w:p>
      <w:pPr>
        <w:ind w:firstLine="560"/>
        <w:rPr>
          <w:rFonts w:hint="eastAsia"/>
          <w:color w:val="auto"/>
          <w:highlight w:val="none"/>
          <w:lang w:val="en-US" w:eastAsia="zh-CN"/>
        </w:rPr>
      </w:pPr>
      <w:r>
        <w:rPr>
          <w:rFonts w:hint="eastAsia"/>
          <w:color w:val="auto"/>
          <w:highlight w:val="none"/>
        </w:rPr>
        <w:t>“疫情检测和常态化预警能力建设批次”指标，预期指标值为</w:t>
      </w:r>
      <w:r>
        <w:rPr>
          <w:rFonts w:hint="eastAsia"/>
          <w:color w:val="auto"/>
          <w:highlight w:val="none"/>
          <w:lang w:val="en-US" w:eastAsia="zh-CN"/>
        </w:rPr>
        <w:t>1批。</w:t>
      </w:r>
    </w:p>
    <w:p>
      <w:pPr>
        <w:ind w:firstLine="560"/>
        <w:rPr>
          <w:color w:val="auto"/>
          <w:highlight w:val="none"/>
        </w:rPr>
      </w:pPr>
      <w:r>
        <w:rPr>
          <w:rFonts w:hint="eastAsia"/>
          <w:color w:val="auto"/>
          <w:highlight w:val="none"/>
        </w:rPr>
        <w:t>②质量指标</w:t>
      </w:r>
    </w:p>
    <w:p>
      <w:pPr>
        <w:ind w:firstLine="560"/>
        <w:rPr>
          <w:rFonts w:hint="eastAsia"/>
          <w:color w:val="auto"/>
          <w:highlight w:val="none"/>
          <w:lang w:val="en-US" w:eastAsia="zh-CN"/>
        </w:rPr>
      </w:pPr>
      <w:r>
        <w:rPr>
          <w:rFonts w:hint="eastAsia"/>
          <w:color w:val="auto"/>
          <w:highlight w:val="none"/>
          <w:lang w:val="en-US" w:eastAsia="zh-CN"/>
        </w:rPr>
        <w:t>“物资采购合格率”指标，预期指标值为100%。</w:t>
      </w:r>
    </w:p>
    <w:p>
      <w:pPr>
        <w:ind w:firstLine="560"/>
        <w:rPr>
          <w:color w:val="auto"/>
          <w:highlight w:val="none"/>
        </w:rPr>
      </w:pPr>
      <w:r>
        <w:rPr>
          <w:rFonts w:hint="eastAsia"/>
          <w:color w:val="auto"/>
          <w:highlight w:val="none"/>
        </w:rPr>
        <w:t>③</w:t>
      </w:r>
      <w:r>
        <w:rPr>
          <w:rFonts w:hint="eastAsia"/>
          <w:color w:val="auto"/>
          <w:highlight w:val="none"/>
          <w:lang w:val="en-US" w:eastAsia="zh-CN"/>
        </w:rPr>
        <w:t>时效</w:t>
      </w:r>
      <w:r>
        <w:rPr>
          <w:rFonts w:hint="eastAsia"/>
          <w:color w:val="auto"/>
          <w:highlight w:val="none"/>
        </w:rPr>
        <w:t>指标</w:t>
      </w:r>
    </w:p>
    <w:p>
      <w:pPr>
        <w:ind w:firstLine="560"/>
        <w:rPr>
          <w:rFonts w:hint="eastAsia" w:ascii="Times New Roman" w:hAnsi="Times New Roman" w:cs="Times New Roman"/>
          <w:color w:val="auto"/>
          <w:highlight w:val="none"/>
          <w:lang w:val="en-US" w:eastAsia="zh-CN"/>
        </w:rPr>
      </w:pPr>
      <w:r>
        <w:rPr>
          <w:rFonts w:hint="eastAsia"/>
          <w:color w:val="auto"/>
          <w:highlight w:val="none"/>
        </w:rPr>
        <w:t>“资金支付及时率”指标，预期指标值为</w:t>
      </w:r>
      <w:bookmarkStart w:id="18" w:name="_GoBack"/>
      <w:bookmarkEnd w:id="18"/>
      <w:r>
        <w:rPr>
          <w:rFonts w:hint="eastAsia" w:cs="Times New Roman"/>
          <w:color w:val="auto"/>
          <w:highlight w:val="none"/>
          <w:lang w:val="en-US" w:eastAsia="zh-CN"/>
        </w:rPr>
        <w:t>大于等于</w:t>
      </w:r>
      <w:r>
        <w:rPr>
          <w:rFonts w:hint="eastAsia" w:ascii="Times New Roman" w:hAnsi="Times New Roman" w:cs="Times New Roman"/>
          <w:color w:val="auto"/>
          <w:highlight w:val="none"/>
          <w:lang w:val="en-US" w:eastAsia="zh-CN"/>
        </w:rPr>
        <w:t>95%。</w:t>
      </w:r>
    </w:p>
    <w:p>
      <w:pPr>
        <w:pStyle w:val="5"/>
        <w:rPr>
          <w:rFonts w:hint="default"/>
          <w:b w:val="0"/>
          <w:bCs w:val="0"/>
          <w:color w:val="auto"/>
          <w:highlight w:val="none"/>
          <w:lang w:val="en-US" w:eastAsia="zh-CN"/>
        </w:rPr>
      </w:pPr>
      <w:r>
        <w:rPr>
          <w:rFonts w:hint="eastAsia" w:ascii="Times New Roman" w:hAnsi="Times New Roman" w:cs="Times New Roman"/>
          <w:b w:val="0"/>
          <w:bCs w:val="0"/>
          <w:color w:val="auto"/>
          <w:highlight w:val="none"/>
          <w:lang w:val="en-US" w:eastAsia="zh-CN"/>
        </w:rPr>
        <w:t>“</w:t>
      </w:r>
      <w:r>
        <w:rPr>
          <w:rFonts w:hint="eastAsia" w:ascii="Times New Roman" w:hAnsi="Times New Roman" w:eastAsia="仿宋_GB2312" w:cs="Times New Roman"/>
          <w:b w:val="0"/>
          <w:bCs w:val="0"/>
          <w:color w:val="auto"/>
          <w:kern w:val="2"/>
          <w:sz w:val="28"/>
          <w:szCs w:val="24"/>
          <w:highlight w:val="none"/>
          <w:lang w:val="en-US" w:eastAsia="zh-CN" w:bidi="ar-SA"/>
        </w:rPr>
        <w:t>物资及时使用率”</w:t>
      </w:r>
      <w:r>
        <w:rPr>
          <w:rFonts w:hint="eastAsia" w:ascii="Times New Roman" w:hAnsi="Times New Roman" w:cs="Times New Roman"/>
          <w:b w:val="0"/>
          <w:bCs w:val="0"/>
          <w:color w:val="auto"/>
          <w:kern w:val="2"/>
          <w:sz w:val="28"/>
          <w:szCs w:val="24"/>
          <w:highlight w:val="none"/>
          <w:lang w:val="en-US" w:eastAsia="zh-CN" w:bidi="ar-SA"/>
        </w:rPr>
        <w:t>指标，</w:t>
      </w:r>
      <w:r>
        <w:rPr>
          <w:rFonts w:hint="eastAsia"/>
          <w:b w:val="0"/>
          <w:bCs w:val="0"/>
          <w:color w:val="auto"/>
          <w:highlight w:val="none"/>
        </w:rPr>
        <w:t>预期指标值为</w:t>
      </w:r>
      <w:r>
        <w:rPr>
          <w:rFonts w:hint="eastAsia"/>
          <w:b w:val="0"/>
          <w:bCs w:val="0"/>
          <w:color w:val="auto"/>
          <w:highlight w:val="none"/>
          <w:lang w:val="en-US" w:eastAsia="zh-CN"/>
        </w:rPr>
        <w:t>100%</w:t>
      </w:r>
      <w:r>
        <w:rPr>
          <w:rFonts w:hint="eastAsia"/>
          <w:color w:val="auto"/>
          <w:highlight w:val="none"/>
          <w:lang w:val="en-US" w:eastAsia="zh-CN"/>
        </w:rPr>
        <w:t>。</w:t>
      </w:r>
    </w:p>
    <w:p>
      <w:pPr>
        <w:ind w:firstLine="560"/>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（2）项目成本指标</w:t>
      </w:r>
    </w:p>
    <w:p>
      <w:pPr>
        <w:ind w:firstLine="560"/>
        <w:rPr>
          <w:color w:val="auto"/>
          <w:highlight w:val="none"/>
        </w:rPr>
      </w:pPr>
      <w:r>
        <w:rPr>
          <w:rFonts w:hint="eastAsia"/>
          <w:color w:val="auto"/>
          <w:highlight w:val="none"/>
        </w:rPr>
        <w:t>①</w:t>
      </w:r>
      <w:r>
        <w:rPr>
          <w:rFonts w:hint="eastAsia"/>
          <w:color w:val="auto"/>
          <w:highlight w:val="none"/>
          <w:lang w:val="en-US" w:eastAsia="zh-CN"/>
        </w:rPr>
        <w:t>经济</w:t>
      </w:r>
      <w:r>
        <w:rPr>
          <w:rFonts w:hint="eastAsia"/>
          <w:color w:val="auto"/>
          <w:highlight w:val="none"/>
        </w:rPr>
        <w:t>成本指标</w:t>
      </w:r>
    </w:p>
    <w:p>
      <w:pPr>
        <w:ind w:firstLine="560"/>
        <w:rPr>
          <w:color w:val="auto"/>
          <w:highlight w:val="none"/>
        </w:rPr>
      </w:pPr>
      <w:r>
        <w:rPr>
          <w:rFonts w:hint="eastAsia"/>
          <w:color w:val="auto"/>
          <w:highlight w:val="none"/>
        </w:rPr>
        <w:t>“采购疫情防控医疗物资成本”指标，预期指标值为</w:t>
      </w:r>
      <w:r>
        <w:rPr>
          <w:rFonts w:hint="eastAsia" w:cs="Times New Roman"/>
          <w:color w:val="auto"/>
          <w:highlight w:val="none"/>
          <w:lang w:val="en-US" w:eastAsia="zh-CN"/>
        </w:rPr>
        <w:t>小于等于</w:t>
      </w:r>
      <w:r>
        <w:rPr>
          <w:rFonts w:hint="eastAsia"/>
          <w:color w:val="auto"/>
          <w:highlight w:val="none"/>
        </w:rPr>
        <w:t>1800万元；</w:t>
      </w:r>
    </w:p>
    <w:p>
      <w:pPr>
        <w:ind w:firstLine="560"/>
        <w:rPr>
          <w:rFonts w:hint="eastAsia"/>
          <w:color w:val="auto"/>
          <w:highlight w:val="none"/>
        </w:rPr>
      </w:pPr>
      <w:r>
        <w:rPr>
          <w:rFonts w:hint="eastAsia"/>
          <w:color w:val="auto"/>
          <w:highlight w:val="none"/>
        </w:rPr>
        <w:t>“采购核酸检测物资成本”指标，预期指标值为</w:t>
      </w:r>
      <w:r>
        <w:rPr>
          <w:rFonts w:hint="eastAsia" w:cs="Times New Roman"/>
          <w:color w:val="auto"/>
          <w:highlight w:val="none"/>
          <w:lang w:val="en-US" w:eastAsia="zh-CN"/>
        </w:rPr>
        <w:t>小于等于</w:t>
      </w:r>
      <w:r>
        <w:rPr>
          <w:rFonts w:hint="eastAsia"/>
          <w:color w:val="auto"/>
          <w:highlight w:val="none"/>
        </w:rPr>
        <w:t>700万元；</w:t>
      </w:r>
    </w:p>
    <w:p>
      <w:pPr>
        <w:ind w:firstLine="560"/>
        <w:rPr>
          <w:rFonts w:hint="eastAsia"/>
          <w:color w:val="auto"/>
          <w:highlight w:val="none"/>
        </w:rPr>
      </w:pPr>
      <w:r>
        <w:rPr>
          <w:rFonts w:hint="eastAsia"/>
          <w:color w:val="auto"/>
          <w:highlight w:val="none"/>
        </w:rPr>
        <w:t>““疫情检测和常态化预警能力建设成本”指标，预期指标值为</w:t>
      </w:r>
      <w:r>
        <w:rPr>
          <w:rFonts w:hint="eastAsia" w:cs="Times New Roman"/>
          <w:color w:val="auto"/>
          <w:highlight w:val="none"/>
          <w:lang w:val="en-US" w:eastAsia="zh-CN"/>
        </w:rPr>
        <w:t>小于等于</w:t>
      </w:r>
      <w:r>
        <w:rPr>
          <w:rFonts w:hint="eastAsia"/>
          <w:color w:val="auto"/>
          <w:highlight w:val="none"/>
        </w:rPr>
        <w:t>447万元；</w:t>
      </w:r>
    </w:p>
    <w:p>
      <w:pPr>
        <w:ind w:firstLine="560"/>
        <w:rPr>
          <w:color w:val="auto"/>
          <w:highlight w:val="none"/>
        </w:rPr>
      </w:pPr>
      <w:r>
        <w:rPr>
          <w:rFonts w:hint="eastAsia"/>
          <w:color w:val="auto"/>
          <w:highlight w:val="none"/>
        </w:rPr>
        <w:t>②</w:t>
      </w:r>
      <w:r>
        <w:rPr>
          <w:rFonts w:hint="eastAsia"/>
          <w:color w:val="auto"/>
          <w:highlight w:val="none"/>
          <w:lang w:val="en-US" w:eastAsia="zh-CN"/>
        </w:rPr>
        <w:t>社会</w:t>
      </w:r>
      <w:r>
        <w:rPr>
          <w:rFonts w:hint="eastAsia"/>
          <w:color w:val="auto"/>
          <w:highlight w:val="none"/>
        </w:rPr>
        <w:t>成本指标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0"/>
        <w:rPr>
          <w:color w:val="auto"/>
          <w:highlight w:val="none"/>
        </w:rPr>
      </w:pPr>
      <w:r>
        <w:rPr>
          <w:rFonts w:hint="eastAsia"/>
          <w:color w:val="auto"/>
          <w:highlight w:val="none"/>
        </w:rPr>
        <w:t>③</w:t>
      </w:r>
      <w:r>
        <w:rPr>
          <w:rFonts w:hint="eastAsia"/>
          <w:color w:val="auto"/>
          <w:highlight w:val="none"/>
          <w:lang w:val="en-US" w:eastAsia="zh-CN"/>
        </w:rPr>
        <w:t>生态环境</w:t>
      </w:r>
      <w:r>
        <w:rPr>
          <w:rFonts w:hint="eastAsia"/>
          <w:color w:val="auto"/>
          <w:highlight w:val="none"/>
        </w:rPr>
        <w:t>成本指标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（3）项目效益指标</w:t>
      </w:r>
    </w:p>
    <w:p>
      <w:pPr>
        <w:ind w:firstLine="560"/>
        <w:rPr>
          <w:color w:val="auto"/>
          <w:highlight w:val="none"/>
        </w:rPr>
      </w:pPr>
      <w:r>
        <w:rPr>
          <w:rFonts w:hint="eastAsia"/>
          <w:color w:val="auto"/>
          <w:highlight w:val="none"/>
        </w:rPr>
        <w:t>①经济效益指标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0"/>
        <w:rPr>
          <w:color w:val="auto"/>
          <w:highlight w:val="none"/>
        </w:rPr>
      </w:pPr>
      <w:r>
        <w:rPr>
          <w:rFonts w:hint="eastAsia"/>
          <w:color w:val="auto"/>
          <w:highlight w:val="none"/>
        </w:rPr>
        <w:t>②社会效益指标</w:t>
      </w:r>
    </w:p>
    <w:p>
      <w:pPr>
        <w:ind w:firstLine="560"/>
        <w:rPr>
          <w:rFonts w:hint="eastAsia"/>
          <w:color w:val="auto"/>
          <w:highlight w:val="none"/>
        </w:rPr>
      </w:pPr>
      <w:r>
        <w:rPr>
          <w:rFonts w:hint="eastAsia"/>
          <w:color w:val="auto"/>
          <w:highlight w:val="none"/>
        </w:rPr>
        <w:t>“提高医疗处置能力”指标，预期指标值为效果明显；</w:t>
      </w:r>
    </w:p>
    <w:p>
      <w:pPr>
        <w:ind w:firstLine="560"/>
        <w:rPr>
          <w:color w:val="auto"/>
          <w:highlight w:val="none"/>
        </w:rPr>
      </w:pPr>
      <w:r>
        <w:rPr>
          <w:rFonts w:hint="eastAsia"/>
          <w:color w:val="auto"/>
          <w:highlight w:val="none"/>
        </w:rPr>
        <w:t>“保障人民群众身体健康”指标，预期指标值为有效保障；</w:t>
      </w:r>
    </w:p>
    <w:p>
      <w:pPr>
        <w:ind w:firstLine="560"/>
        <w:rPr>
          <w:color w:val="auto"/>
          <w:highlight w:val="none"/>
        </w:rPr>
      </w:pPr>
      <w:r>
        <w:rPr>
          <w:rFonts w:hint="eastAsia"/>
          <w:color w:val="auto"/>
          <w:highlight w:val="none"/>
        </w:rPr>
        <w:t>③生态效益指标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rPr>
        <w:t>（</w:t>
      </w:r>
      <w:r>
        <w:rPr>
          <w:rFonts w:hint="eastAsia" w:ascii="仿宋" w:hAnsi="仿宋" w:eastAsia="仿宋"/>
          <w:b/>
          <w:color w:val="auto"/>
          <w:highlight w:val="none"/>
          <w:lang w:val="en-US" w:eastAsia="zh-CN"/>
        </w:rPr>
        <w:t>4</w:t>
      </w:r>
      <w:r>
        <w:rPr>
          <w:rFonts w:hint="eastAsia" w:ascii="仿宋" w:hAnsi="仿宋" w:eastAsia="仿宋"/>
          <w:b/>
          <w:color w:val="auto"/>
          <w:highlight w:val="none"/>
        </w:rPr>
        <w:t>）满意度</w:t>
      </w:r>
      <w:r>
        <w:rPr>
          <w:rFonts w:hint="eastAsia" w:ascii="仿宋" w:hAnsi="仿宋" w:eastAsia="仿宋"/>
          <w:b/>
          <w:color w:val="auto"/>
          <w:highlight w:val="none"/>
          <w:lang w:val="en-US" w:eastAsia="zh-CN"/>
        </w:rPr>
        <w:t>指标</w:t>
      </w:r>
    </w:p>
    <w:p>
      <w:pPr>
        <w:ind w:firstLine="560"/>
        <w:rPr>
          <w:rFonts w:hint="eastAsia"/>
          <w:color w:val="auto"/>
          <w:highlight w:val="none"/>
        </w:rPr>
      </w:pPr>
      <w:r>
        <w:rPr>
          <w:rFonts w:hint="eastAsia"/>
          <w:color w:val="auto"/>
          <w:highlight w:val="none"/>
        </w:rPr>
        <w:t>“受益群众满意度”指标</w:t>
      </w:r>
      <w:r>
        <w:rPr>
          <w:rFonts w:hint="eastAsia"/>
          <w:color w:val="auto"/>
          <w:highlight w:val="none"/>
          <w:lang w:val="en-US" w:eastAsia="zh-CN"/>
        </w:rPr>
        <w:t xml:space="preserve"> </w:t>
      </w:r>
      <w:r>
        <w:rPr>
          <w:rFonts w:hint="eastAsia"/>
          <w:color w:val="auto"/>
          <w:highlight w:val="none"/>
        </w:rPr>
        <w:t>，预期指标值为</w:t>
      </w:r>
      <w:r>
        <w:rPr>
          <w:rFonts w:hint="eastAsia"/>
          <w:color w:val="auto"/>
          <w:highlight w:val="none"/>
          <w:lang w:val="en-US" w:eastAsia="zh-CN"/>
        </w:rPr>
        <w:t>大于等于95%</w:t>
      </w:r>
      <w:r>
        <w:rPr>
          <w:rFonts w:hint="eastAsia"/>
          <w:color w:val="auto"/>
          <w:highlight w:val="none"/>
        </w:rPr>
        <w:t>；</w:t>
      </w:r>
    </w:p>
    <w:p>
      <w:pPr>
        <w:pStyle w:val="3"/>
        <w:ind w:firstLine="640"/>
        <w:rPr>
          <w:color w:val="auto"/>
          <w:highlight w:val="none"/>
        </w:rPr>
      </w:pPr>
      <w:r>
        <w:rPr>
          <w:rFonts w:hint="eastAsia"/>
          <w:color w:val="auto"/>
          <w:highlight w:val="none"/>
        </w:rPr>
        <w:t>二、绩效评价工作开展情况</w:t>
      </w:r>
    </w:p>
    <w:p>
      <w:pPr>
        <w:pStyle w:val="4"/>
        <w:numPr>
          <w:ilvl w:val="0"/>
          <w:numId w:val="1"/>
        </w:numPr>
        <w:ind w:firstLine="643"/>
        <w:rPr>
          <w:rFonts w:ascii="楷体" w:hAnsi="楷体" w:cs="楷体"/>
          <w:color w:val="auto"/>
          <w:szCs w:val="32"/>
          <w:highlight w:val="none"/>
        </w:rPr>
      </w:pPr>
      <w:bookmarkStart w:id="0" w:name="_Toc480473081"/>
      <w:bookmarkStart w:id="1" w:name="_Toc26632"/>
      <w:bookmarkStart w:id="2" w:name="_Toc5258"/>
      <w:bookmarkStart w:id="3" w:name="_Toc22169_WPSOffice_Level2"/>
      <w:bookmarkStart w:id="4" w:name="_Toc12868"/>
      <w:bookmarkStart w:id="5" w:name="_Toc21664"/>
      <w:bookmarkStart w:id="6" w:name="_Toc5462343"/>
      <w:bookmarkStart w:id="7" w:name="_Toc22922"/>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pPr>
        <w:pStyle w:val="5"/>
        <w:ind w:firstLine="562"/>
        <w:rPr>
          <w:rFonts w:hint="eastAsia"/>
          <w:color w:val="auto"/>
          <w:highlight w:val="none"/>
        </w:rPr>
      </w:pPr>
      <w:r>
        <w:rPr>
          <w:rFonts w:hint="eastAsia"/>
          <w:color w:val="auto"/>
          <w:highlight w:val="none"/>
        </w:rPr>
        <w:t>1.绩效评价的目的</w:t>
      </w:r>
    </w:p>
    <w:p>
      <w:pPr>
        <w:ind w:firstLine="560"/>
        <w:rPr>
          <w:color w:val="auto"/>
          <w:highlight w:val="none"/>
        </w:rPr>
      </w:pPr>
      <w:r>
        <w:rPr>
          <w:rFonts w:hint="eastAsia"/>
          <w:color w:val="auto"/>
          <w:highlight w:val="none"/>
        </w:rPr>
        <w:t>为全面实施预算绩效管理，建立科学、合理的项目支出绩效评价管理体系，提高财政资源配置效率和使用效益，根据</w:t>
      </w:r>
      <w:r>
        <w:rPr>
          <w:rFonts w:hint="eastAsia"/>
          <w:color w:val="auto"/>
          <w:highlight w:val="none"/>
          <w:lang w:val="en-US" w:eastAsia="zh-CN"/>
        </w:rPr>
        <w:t>财政部《项目支出绩效评价管理办法》（财预〔2020〕10号）和自治区财政厅《自治区财政支出绩效评价管理暂行办法》（新财预〔2018〕189号）等相关文件精神，</w:t>
      </w:r>
      <w:r>
        <w:rPr>
          <w:rFonts w:hint="eastAsia"/>
          <w:color w:val="auto"/>
          <w:highlight w:val="none"/>
          <w:lang w:eastAsia="zh-CN"/>
        </w:rPr>
        <w:t>我</w:t>
      </w:r>
      <w:r>
        <w:rPr>
          <w:rFonts w:hint="eastAsia"/>
          <w:color w:val="auto"/>
          <w:highlight w:val="none"/>
        </w:rPr>
        <w:t>单位针对</w:t>
      </w:r>
      <w:r>
        <w:rPr>
          <w:rFonts w:hint="eastAsia"/>
          <w:color w:val="auto"/>
          <w:highlight w:val="none"/>
          <w:lang w:val="en-US" w:eastAsia="zh-CN"/>
        </w:rPr>
        <w:t>该</w:t>
      </w:r>
      <w:r>
        <w:rPr>
          <w:rFonts w:hint="eastAsia"/>
          <w:color w:val="auto"/>
          <w:highlight w:val="none"/>
        </w:rPr>
        <w:t>项目开展本次部门项目支出绩效评价工作。通过绩效评价，促进本单位发现问题、总结经验、改进工作</w:t>
      </w:r>
      <w:r>
        <w:rPr>
          <w:rFonts w:hint="eastAsia"/>
          <w:color w:val="auto"/>
          <w:highlight w:val="none"/>
          <w:lang w:eastAsia="zh-CN"/>
        </w:rPr>
        <w:t>。</w:t>
      </w:r>
      <w:r>
        <w:rPr>
          <w:rFonts w:hint="eastAsia"/>
          <w:color w:val="auto"/>
          <w:highlight w:val="none"/>
          <w:lang w:val="en-US" w:eastAsia="zh-CN"/>
        </w:rPr>
        <w:t>绩效评价</w:t>
      </w:r>
      <w:r>
        <w:rPr>
          <w:rFonts w:hint="eastAsia"/>
          <w:color w:val="auto"/>
          <w:highlight w:val="none"/>
        </w:rPr>
        <w:t>旨在评价</w:t>
      </w:r>
      <w:r>
        <w:rPr>
          <w:rFonts w:hint="eastAsia"/>
          <w:color w:val="auto"/>
          <w:highlight w:val="none"/>
          <w:lang w:eastAsia="zh-CN"/>
        </w:rPr>
        <w:t>本</w:t>
      </w:r>
      <w:r>
        <w:rPr>
          <w:rFonts w:hint="eastAsia"/>
          <w:color w:val="auto"/>
          <w:highlight w:val="none"/>
        </w:rPr>
        <w:t>项目前期审批、实施过程及实施效果，促进预算管理不断完善，加快绩效目标的实现，保证财政资金有效、合理使用，具体绩效评价的目的细分如下：</w:t>
      </w:r>
    </w:p>
    <w:p>
      <w:pPr>
        <w:ind w:firstLine="560"/>
        <w:rPr>
          <w:color w:val="auto"/>
          <w:highlight w:val="none"/>
        </w:rPr>
      </w:pPr>
      <w:r>
        <w:rPr>
          <w:rFonts w:hint="eastAsia"/>
          <w:color w:val="auto"/>
          <w:highlight w:val="none"/>
        </w:rPr>
        <w:t>责”的绩效预算管理机制</w:t>
      </w:r>
      <w:r>
        <w:rPr>
          <w:rFonts w:hint="eastAsia"/>
          <w:color w:val="auto"/>
          <w:highlight w:val="none"/>
          <w:lang w:eastAsia="zh-CN"/>
        </w:rPr>
        <w:t>，</w:t>
      </w:r>
      <w:r>
        <w:rPr>
          <w:rFonts w:hint="eastAsia"/>
          <w:color w:val="auto"/>
          <w:highlight w:val="none"/>
        </w:rPr>
        <w:t>提升财政资金的使用效能。</w:t>
      </w:r>
    </w:p>
    <w:p>
      <w:pPr>
        <w:ind w:firstLine="560"/>
        <w:rPr>
          <w:color w:val="auto"/>
          <w:highlight w:val="none"/>
        </w:rPr>
      </w:pPr>
      <w:r>
        <w:rPr>
          <w:rFonts w:hint="eastAsia"/>
          <w:color w:val="auto"/>
          <w:highlight w:val="none"/>
        </w:rPr>
        <w:t>二是：通过部门项目支出绩效评价，进一步做实绩效目标，根据项目绩效目标设立情况一是：通过部门项目支出绩效评价，进一步严格落实《中华人民共和国预算法》以及党中央、国务院关于加强预算绩效管理的指示精神，建立健全“花钱必问效、无效必问，细化形成多维度绩效指标，将绩效指标细化为数量指标、质量指标、时效指标、成本指标、经济效益指标、社会效益指标、可持续影响指标、服务对象满意度指标等内容，保证项目绩效指标设置科学、规范、合理、可衡量。</w:t>
      </w:r>
    </w:p>
    <w:p>
      <w:pPr>
        <w:ind w:firstLine="560"/>
        <w:rPr>
          <w:color w:val="auto"/>
          <w:highlight w:val="none"/>
        </w:rPr>
      </w:pPr>
      <w:r>
        <w:rPr>
          <w:rFonts w:hint="eastAsia"/>
          <w:color w:val="auto"/>
          <w:highlight w:val="none"/>
        </w:rPr>
        <w:t>三是：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通过部门项目支出绩效评价，进一步纠正对绩效管理理解上的偏差，建立更加全面，以绩效评价为手段，以评价结果应用为保障，全方位、全覆盖、全过程”的绩效预算管理新体制。</w:t>
      </w:r>
    </w:p>
    <w:p>
      <w:pPr>
        <w:spacing w:line="600" w:lineRule="exact"/>
        <w:ind w:firstLine="560"/>
        <w:rPr>
          <w:rFonts w:hint="eastAsia"/>
          <w:color w:val="auto"/>
          <w:highlight w:val="none"/>
        </w:rPr>
      </w:pPr>
      <w:r>
        <w:rPr>
          <w:rFonts w:hint="eastAsia"/>
          <w:color w:val="auto"/>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Style w:val="5"/>
        <w:tabs>
          <w:tab w:val="left" w:pos="8968"/>
        </w:tabs>
        <w:ind w:firstLine="562"/>
        <w:rPr>
          <w:rFonts w:hint="eastAsia" w:eastAsia="仿宋_GB2312"/>
          <w:color w:val="auto"/>
          <w:highlight w:val="none"/>
          <w:lang w:eastAsia="zh-CN"/>
        </w:rPr>
      </w:pPr>
      <w:r>
        <w:rPr>
          <w:rFonts w:hint="eastAsia"/>
          <w:color w:val="auto"/>
          <w:highlight w:val="none"/>
        </w:rPr>
        <w:t>2.绩效评价对象</w:t>
      </w:r>
      <w:r>
        <w:rPr>
          <w:rFonts w:hint="eastAsia"/>
          <w:color w:val="auto"/>
          <w:highlight w:val="none"/>
          <w:lang w:eastAsia="zh-CN"/>
        </w:rPr>
        <w:tab/>
      </w:r>
    </w:p>
    <w:p>
      <w:pPr>
        <w:ind w:firstLine="560"/>
        <w:rPr>
          <w:color w:val="auto"/>
          <w:highlight w:val="none"/>
        </w:rPr>
      </w:pPr>
      <w:r>
        <w:rPr>
          <w:rFonts w:hint="eastAsia"/>
          <w:color w:val="auto"/>
          <w:highlight w:val="none"/>
        </w:rPr>
        <w:t>此次我单位根据《财政支出绩效评价管理暂行办法》（财预〔2020〕10号）文件要求实施评价工作，本次评价对象为</w:t>
      </w:r>
      <w:r>
        <w:rPr>
          <w:rFonts w:hint="eastAsia" w:ascii="仿宋_GB2312" w:hAnsi="仿宋_GB2312" w:eastAsia="仿宋_GB2312" w:cs="仿宋_GB2312"/>
          <w:color w:val="auto"/>
          <w:highlight w:val="none"/>
          <w:lang w:val="en-US" w:eastAsia="zh-CN"/>
        </w:rPr>
        <w:t>综合业务项目经费</w:t>
      </w:r>
      <w:r>
        <w:rPr>
          <w:rFonts w:hint="eastAsia"/>
          <w:color w:val="auto"/>
          <w:highlight w:val="none"/>
        </w:rPr>
        <w:t>，评价核心为项目</w:t>
      </w:r>
      <w:r>
        <w:rPr>
          <w:rFonts w:hint="eastAsia"/>
          <w:color w:val="auto"/>
          <w:highlight w:val="none"/>
          <w:lang w:val="en-US" w:eastAsia="zh-CN"/>
        </w:rPr>
        <w:t>的资金投入、产出及效益</w:t>
      </w:r>
      <w:r>
        <w:rPr>
          <w:rFonts w:hint="eastAsia"/>
          <w:color w:val="auto"/>
          <w:highlight w:val="none"/>
        </w:rPr>
        <w:t>。</w:t>
      </w:r>
    </w:p>
    <w:p>
      <w:pPr>
        <w:pStyle w:val="5"/>
        <w:ind w:firstLine="562"/>
        <w:rPr>
          <w:rFonts w:hint="eastAsia"/>
          <w:color w:val="auto"/>
          <w:highlight w:val="none"/>
        </w:rPr>
      </w:pPr>
      <w:r>
        <w:rPr>
          <w:rFonts w:hint="eastAsia"/>
          <w:color w:val="auto"/>
          <w:highlight w:val="none"/>
        </w:rPr>
        <w:t>3.绩效评价范围</w:t>
      </w:r>
    </w:p>
    <w:p>
      <w:pPr>
        <w:ind w:firstLine="560"/>
        <w:rPr>
          <w:color w:val="auto"/>
          <w:highlight w:val="none"/>
        </w:rPr>
      </w:pP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highlight w:val="none"/>
        </w:rPr>
        <w:t>方面进行综合绩效评价。</w:t>
      </w:r>
    </w:p>
    <w:p>
      <w:pPr>
        <w:pStyle w:val="4"/>
        <w:numPr>
          <w:ilvl w:val="0"/>
          <w:numId w:val="1"/>
        </w:numPr>
        <w:ind w:firstLine="643"/>
        <w:rPr>
          <w:color w:val="auto"/>
          <w:highlight w:val="none"/>
        </w:rPr>
      </w:pPr>
      <w:r>
        <w:rPr>
          <w:rFonts w:hint="eastAsia"/>
          <w:color w:val="auto"/>
          <w:highlight w:val="none"/>
        </w:rPr>
        <w:t>绩效评价原则、评价指标体系、评价方法评价标准</w:t>
      </w:r>
    </w:p>
    <w:p>
      <w:pPr>
        <w:pStyle w:val="5"/>
        <w:ind w:firstLine="562"/>
        <w:rPr>
          <w:color w:val="auto"/>
          <w:highlight w:val="none"/>
        </w:rPr>
      </w:pPr>
      <w:r>
        <w:rPr>
          <w:rFonts w:hint="eastAsia"/>
          <w:color w:val="auto"/>
          <w:highlight w:val="none"/>
        </w:rPr>
        <w:t>1.绩效评价原则</w:t>
      </w:r>
    </w:p>
    <w:p>
      <w:pPr>
        <w:ind w:firstLine="560"/>
        <w:rPr>
          <w:color w:val="auto"/>
          <w:highlight w:val="none"/>
        </w:rPr>
      </w:pPr>
      <w:r>
        <w:rPr>
          <w:rFonts w:hint="eastAsia"/>
          <w:color w:val="auto"/>
          <w:highlight w:val="none"/>
        </w:rPr>
        <w:t>依据《中华人民共和国预算法》《中共 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《自治区党委自治区人民政府关于全面实施预算绩效管理的实施意见》（新党发〔2018〕30号）《自治区财政支出绩效评价管理暂行办法》（新财预〔2018〕189号）等要求，绩效评价应遵循如下原则：</w:t>
      </w:r>
    </w:p>
    <w:p>
      <w:pPr>
        <w:ind w:firstLine="560"/>
        <w:rPr>
          <w:color w:val="auto"/>
          <w:highlight w:val="none"/>
        </w:rPr>
      </w:pPr>
      <w:r>
        <w:rPr>
          <w:rFonts w:hint="eastAsia"/>
          <w:color w:val="auto"/>
          <w:highlight w:val="none"/>
        </w:rPr>
        <w:t>（1）科学公正。绩效评价应当运用科学合理的方法，按照规范的程序，对项目绩效进行客观、公正的反映。</w:t>
      </w:r>
    </w:p>
    <w:p>
      <w:pPr>
        <w:snapToGrid w:val="0"/>
        <w:ind w:firstLine="560"/>
        <w:rPr>
          <w:color w:val="auto"/>
          <w:highlight w:val="none"/>
        </w:rPr>
      </w:pPr>
      <w:r>
        <w:rPr>
          <w:rFonts w:hint="eastAsia"/>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napToGrid w:val="0"/>
        <w:ind w:firstLine="560"/>
        <w:rPr>
          <w:color w:val="auto"/>
          <w:highlight w:val="none"/>
        </w:rPr>
      </w:pPr>
      <w:r>
        <w:rPr>
          <w:rFonts w:hint="eastAsia"/>
          <w:color w:val="auto"/>
          <w:highlight w:val="none"/>
        </w:rPr>
        <w:t>（3）激励约束。绩效评价结果应与预算安排、政策调整、改进管理实质性挂钩，体现奖优罚劣和激励相容导向，有效要安排、低效要压减、无效要问责。</w:t>
      </w:r>
    </w:p>
    <w:p>
      <w:pPr>
        <w:snapToGrid w:val="0"/>
        <w:ind w:firstLine="560"/>
        <w:rPr>
          <w:color w:val="auto"/>
          <w:highlight w:val="none"/>
        </w:rPr>
      </w:pPr>
      <w:r>
        <w:rPr>
          <w:rFonts w:hint="eastAsia"/>
          <w:color w:val="auto"/>
          <w:highlight w:val="none"/>
        </w:rPr>
        <w:t>（4）公开透明。绩效评价结果应依法依规公开，并自觉接受社会监督。</w:t>
      </w:r>
    </w:p>
    <w:p>
      <w:pPr>
        <w:snapToGrid w:val="0"/>
        <w:ind w:firstLine="560"/>
        <w:rPr>
          <w:color w:val="auto"/>
          <w:highlight w:val="none"/>
        </w:rPr>
      </w:pPr>
      <w:r>
        <w:rPr>
          <w:rFonts w:hint="eastAsia"/>
          <w:color w:val="auto"/>
          <w:highlight w:val="none"/>
        </w:rPr>
        <w:t>根据以上原则</w:t>
      </w:r>
      <w:r>
        <w:rPr>
          <w:rFonts w:hint="eastAsia"/>
          <w:color w:val="auto"/>
          <w:highlight w:val="none"/>
          <w:lang w:eastAsia="zh-CN"/>
        </w:rPr>
        <w:t>，</w:t>
      </w:r>
      <w:r>
        <w:rPr>
          <w:rFonts w:hint="eastAsia"/>
          <w:color w:val="auto"/>
          <w:highlight w:val="none"/>
        </w:rPr>
        <w:t>绩效评价应遵循如下要求:</w:t>
      </w:r>
    </w:p>
    <w:p>
      <w:pPr>
        <w:snapToGrid w:val="0"/>
        <w:ind w:firstLine="560"/>
        <w:rPr>
          <w:color w:val="auto"/>
          <w:highlight w:val="none"/>
        </w:rPr>
      </w:pPr>
      <w:r>
        <w:rPr>
          <w:rFonts w:hint="eastAsia"/>
          <w:color w:val="auto"/>
          <w:highlight w:val="none"/>
        </w:rPr>
        <w:t>（1）在数据采集时</w:t>
      </w:r>
      <w:r>
        <w:rPr>
          <w:rFonts w:hint="eastAsia"/>
          <w:color w:val="auto"/>
          <w:highlight w:val="none"/>
          <w:lang w:eastAsia="zh-CN"/>
        </w:rPr>
        <w:t>，</w:t>
      </w:r>
      <w:r>
        <w:rPr>
          <w:rFonts w:hint="eastAsia"/>
          <w:color w:val="auto"/>
          <w:highlight w:val="none"/>
        </w:rPr>
        <w:t>采取客观数据</w:t>
      </w:r>
      <w:r>
        <w:rPr>
          <w:rFonts w:hint="eastAsia"/>
          <w:color w:val="auto"/>
          <w:highlight w:val="none"/>
          <w:lang w:eastAsia="zh-CN"/>
        </w:rPr>
        <w:t>，</w:t>
      </w:r>
      <w:r>
        <w:rPr>
          <w:rFonts w:hint="eastAsia"/>
          <w:color w:val="auto"/>
          <w:highlight w:val="none"/>
        </w:rPr>
        <w:t>主管部门审查、社会中介组织复查</w:t>
      </w:r>
      <w:r>
        <w:rPr>
          <w:rFonts w:hint="eastAsia"/>
          <w:color w:val="auto"/>
          <w:highlight w:val="none"/>
          <w:lang w:eastAsia="zh-CN"/>
        </w:rPr>
        <w:t>，</w:t>
      </w:r>
      <w:r>
        <w:rPr>
          <w:rFonts w:hint="eastAsia"/>
          <w:color w:val="auto"/>
          <w:highlight w:val="none"/>
        </w:rPr>
        <w:t>与问卷调查相结合的形式</w:t>
      </w:r>
      <w:r>
        <w:rPr>
          <w:rFonts w:hint="eastAsia"/>
          <w:color w:val="auto"/>
          <w:highlight w:val="none"/>
          <w:lang w:eastAsia="zh-CN"/>
        </w:rPr>
        <w:t>，</w:t>
      </w:r>
      <w:r>
        <w:rPr>
          <w:rFonts w:hint="eastAsia"/>
          <w:color w:val="auto"/>
          <w:highlight w:val="none"/>
        </w:rPr>
        <w:t>以保证各项指标的真实性。</w:t>
      </w:r>
    </w:p>
    <w:p>
      <w:pPr>
        <w:snapToGrid w:val="0"/>
        <w:ind w:firstLine="560"/>
        <w:rPr>
          <w:color w:val="auto"/>
          <w:highlight w:val="none"/>
        </w:rPr>
      </w:pPr>
      <w:r>
        <w:rPr>
          <w:rFonts w:hint="eastAsia"/>
          <w:color w:val="auto"/>
          <w:highlight w:val="none"/>
        </w:rPr>
        <w:t>（2）保证评价结果的真实性、公正性</w:t>
      </w:r>
      <w:r>
        <w:rPr>
          <w:rFonts w:hint="eastAsia"/>
          <w:color w:val="auto"/>
          <w:highlight w:val="none"/>
          <w:lang w:eastAsia="zh-CN"/>
        </w:rPr>
        <w:t>，</w:t>
      </w:r>
      <w:r>
        <w:rPr>
          <w:rFonts w:hint="eastAsia"/>
          <w:color w:val="auto"/>
          <w:highlight w:val="none"/>
        </w:rPr>
        <w:t>提高评价报告的公信力。</w:t>
      </w:r>
    </w:p>
    <w:p>
      <w:pPr>
        <w:spacing w:line="600" w:lineRule="exact"/>
        <w:ind w:firstLine="560"/>
        <w:rPr>
          <w:color w:val="auto"/>
          <w:highlight w:val="none"/>
        </w:rPr>
      </w:pPr>
      <w:r>
        <w:rPr>
          <w:rFonts w:hint="eastAsia"/>
          <w:color w:val="auto"/>
          <w:highlight w:val="none"/>
        </w:rPr>
        <w:t>（3）</w:t>
      </w:r>
      <w:r>
        <w:rPr>
          <w:rFonts w:hint="eastAsia"/>
          <w:color w:val="auto"/>
          <w:highlight w:val="none"/>
          <w:lang w:val="en-US" w:eastAsia="zh-CN"/>
        </w:rPr>
        <w:t>绩效</w:t>
      </w:r>
      <w:r>
        <w:rPr>
          <w:rFonts w:hint="eastAsia"/>
          <w:color w:val="auto"/>
          <w:highlight w:val="none"/>
        </w:rPr>
        <w:t>评价报告应当简明扼要</w:t>
      </w:r>
      <w:r>
        <w:rPr>
          <w:rFonts w:hint="eastAsia"/>
          <w:color w:val="auto"/>
          <w:highlight w:val="none"/>
          <w:lang w:eastAsia="zh-CN"/>
        </w:rPr>
        <w:t>，</w:t>
      </w:r>
      <w:r>
        <w:rPr>
          <w:rFonts w:hint="eastAsia"/>
          <w:color w:val="auto"/>
          <w:highlight w:val="none"/>
        </w:rPr>
        <w:t>除了对绩效评价的过程、结果描述外</w:t>
      </w:r>
      <w:r>
        <w:rPr>
          <w:rFonts w:hint="eastAsia"/>
          <w:color w:val="auto"/>
          <w:highlight w:val="none"/>
          <w:lang w:eastAsia="zh-CN"/>
        </w:rPr>
        <w:t>，</w:t>
      </w:r>
      <w:r>
        <w:rPr>
          <w:rFonts w:hint="eastAsia"/>
          <w:color w:val="auto"/>
          <w:highlight w:val="none"/>
        </w:rPr>
        <w:t>还应总结经验</w:t>
      </w:r>
      <w:r>
        <w:rPr>
          <w:rFonts w:hint="eastAsia"/>
          <w:color w:val="auto"/>
          <w:highlight w:val="none"/>
          <w:lang w:eastAsia="zh-CN"/>
        </w:rPr>
        <w:t>，</w:t>
      </w:r>
      <w:r>
        <w:rPr>
          <w:rFonts w:hint="eastAsia"/>
          <w:color w:val="auto"/>
          <w:highlight w:val="none"/>
        </w:rPr>
        <w:t>指出问题</w:t>
      </w:r>
      <w:r>
        <w:rPr>
          <w:rFonts w:hint="eastAsia"/>
          <w:color w:val="auto"/>
          <w:highlight w:val="none"/>
          <w:lang w:eastAsia="zh-CN"/>
        </w:rPr>
        <w:t>，</w:t>
      </w:r>
      <w:r>
        <w:rPr>
          <w:rFonts w:hint="eastAsia"/>
          <w:color w:val="auto"/>
          <w:highlight w:val="none"/>
        </w:rPr>
        <w:t>并就共性问题提出可操作性改进建议。评价工作组本着科学规范、公平公正、绩效相关的原则，采用全面、重点、现场和非现场相结合的方式进行评价。</w:t>
      </w:r>
    </w:p>
    <w:p>
      <w:pPr>
        <w:pStyle w:val="5"/>
        <w:ind w:firstLine="562"/>
        <w:rPr>
          <w:color w:val="auto"/>
          <w:highlight w:val="none"/>
        </w:rPr>
      </w:pPr>
      <w:bookmarkStart w:id="8" w:name="_Toc1913"/>
      <w:bookmarkStart w:id="9" w:name="_Toc419984722"/>
      <w:bookmarkStart w:id="10" w:name="_Toc428278230"/>
      <w:bookmarkStart w:id="11" w:name="_Toc26131"/>
      <w:r>
        <w:rPr>
          <w:rFonts w:hint="eastAsia"/>
          <w:color w:val="auto"/>
          <w:highlight w:val="none"/>
        </w:rPr>
        <w:t>2.绩效评价指标体系</w:t>
      </w:r>
      <w:bookmarkEnd w:id="8"/>
      <w:bookmarkEnd w:id="9"/>
      <w:bookmarkEnd w:id="10"/>
      <w:bookmarkEnd w:id="11"/>
    </w:p>
    <w:p>
      <w:pPr>
        <w:ind w:firstLine="560"/>
        <w:rPr>
          <w:rFonts w:hint="eastAsia"/>
          <w:color w:val="auto"/>
          <w:highlight w:val="none"/>
          <w:lang w:eastAsia="zh-CN"/>
        </w:rPr>
      </w:pPr>
      <w:r>
        <w:rPr>
          <w:rFonts w:hint="eastAsia"/>
          <w:color w:val="auto"/>
          <w:highlight w:val="none"/>
        </w:rPr>
        <w:t>我单位</w:t>
      </w:r>
      <w:r>
        <w:rPr>
          <w:rFonts w:hint="eastAsia"/>
          <w:color w:val="auto"/>
          <w:highlight w:val="none"/>
          <w:lang w:val="zh-TW" w:eastAsia="zh-TW"/>
        </w:rPr>
        <w:t>根据项目的</w:t>
      </w:r>
      <w:r>
        <w:rPr>
          <w:rFonts w:hint="eastAsia"/>
          <w:color w:val="auto"/>
          <w:highlight w:val="none"/>
        </w:rPr>
        <w:t>实施</w:t>
      </w:r>
      <w:r>
        <w:rPr>
          <w:rFonts w:hint="eastAsia"/>
          <w:color w:val="auto"/>
          <w:highlight w:val="none"/>
          <w:lang w:val="zh-TW" w:eastAsia="zh-TW"/>
        </w:rPr>
        <w:t>资料研读及前期调研，结合项目的实际开展情况，按照《项目支出绩效评价管理办法》（财预〔2020〕10号）文件要求</w:t>
      </w:r>
      <w:r>
        <w:rPr>
          <w:rFonts w:hint="eastAsia"/>
          <w:color w:val="auto"/>
          <w:highlight w:val="none"/>
          <w:lang w:val="zh-TW" w:eastAsia="zh-CN"/>
        </w:rPr>
        <w:t>，</w:t>
      </w:r>
      <w:r>
        <w:rPr>
          <w:rFonts w:hint="eastAsia"/>
          <w:color w:val="auto"/>
          <w:highlight w:val="none"/>
        </w:rPr>
        <w:t>结合项目特点，经与专家组充分协商，设置指标体系结构如下</w:t>
      </w:r>
      <w:r>
        <w:rPr>
          <w:rFonts w:hint="eastAsia"/>
          <w:color w:val="auto"/>
          <w:highlight w:val="none"/>
          <w:lang w:val="zh-TW" w:eastAsia="zh-TW"/>
        </w:rPr>
        <w:t>：设置一级指标共</w:t>
      </w:r>
      <w:r>
        <w:rPr>
          <w:rFonts w:hint="eastAsia"/>
          <w:color w:val="auto"/>
          <w:highlight w:val="none"/>
          <w:lang w:val="en-US" w:eastAsia="zh-CN"/>
        </w:rPr>
        <w:t>5</w:t>
      </w:r>
      <w:r>
        <w:rPr>
          <w:rFonts w:hint="eastAsia"/>
          <w:color w:val="auto"/>
          <w:highlight w:val="none"/>
          <w:lang w:val="zh-TW" w:eastAsia="zh-TW"/>
        </w:rPr>
        <w:t>个，包括：决策指标（2</w:t>
      </w:r>
      <w:r>
        <w:rPr>
          <w:rFonts w:hint="eastAsia"/>
          <w:color w:val="auto"/>
          <w:highlight w:val="none"/>
          <w:lang w:val="en-US" w:eastAsia="zh-CN"/>
        </w:rPr>
        <w:t>0分</w:t>
      </w:r>
      <w:r>
        <w:rPr>
          <w:rFonts w:hint="eastAsia"/>
          <w:color w:val="auto"/>
          <w:highlight w:val="none"/>
          <w:lang w:val="zh-TW" w:eastAsia="zh-TW"/>
        </w:rPr>
        <w:t>）、过程指标（</w:t>
      </w:r>
      <w:r>
        <w:rPr>
          <w:rFonts w:hint="eastAsia"/>
          <w:color w:val="auto"/>
          <w:highlight w:val="none"/>
          <w:lang w:val="en-US" w:eastAsia="zh-CN"/>
        </w:rPr>
        <w:t>20分</w:t>
      </w:r>
      <w:r>
        <w:rPr>
          <w:rFonts w:hint="eastAsia"/>
          <w:color w:val="auto"/>
          <w:highlight w:val="none"/>
          <w:lang w:val="zh-TW" w:eastAsia="zh-TW"/>
        </w:rPr>
        <w:t>）、产出指标（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en-US" w:eastAsia="zh-CN"/>
        </w:rPr>
        <w:t>成本指标（12分）、</w:t>
      </w:r>
      <w:r>
        <w:rPr>
          <w:rFonts w:hint="eastAsia"/>
          <w:color w:val="auto"/>
          <w:highlight w:val="none"/>
          <w:lang w:val="zh-TW" w:eastAsia="zh-TW"/>
        </w:rPr>
        <w:t>效益指标（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rPr>
        <w:t>主要围绕资金使用、项目管理、资源配置等方面，客观分析项目的产出</w:t>
      </w:r>
      <w:r>
        <w:rPr>
          <w:rFonts w:hint="eastAsia"/>
          <w:color w:val="auto"/>
          <w:highlight w:val="none"/>
          <w:lang w:eastAsia="zh-CN"/>
        </w:rPr>
        <w:t>、</w:t>
      </w:r>
      <w:r>
        <w:rPr>
          <w:rFonts w:hint="eastAsia"/>
          <w:color w:val="auto"/>
          <w:highlight w:val="none"/>
        </w:rPr>
        <w:t>效果，从而考察项目预算定额标准的合理性，进而提出完善意见。整个评价框架构成体现从投入、过程到产出、效果和影响的绩效逻辑路径。详细指标体系见“附件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p>
    <w:p>
      <w:pPr>
        <w:pStyle w:val="5"/>
        <w:ind w:firstLine="562"/>
        <w:rPr>
          <w:color w:val="auto"/>
          <w:highlight w:val="none"/>
        </w:rPr>
      </w:pPr>
      <w:r>
        <w:rPr>
          <w:rFonts w:hint="eastAsia"/>
          <w:color w:val="auto"/>
          <w:highlight w:val="none"/>
        </w:rPr>
        <w:t>3.评价方法</w:t>
      </w:r>
    </w:p>
    <w:p>
      <w:pPr>
        <w:ind w:firstLine="560"/>
        <w:rPr>
          <w:color w:val="auto"/>
          <w:highlight w:val="none"/>
        </w:rPr>
      </w:pPr>
      <w:r>
        <w:rPr>
          <w:rFonts w:hint="eastAsia"/>
          <w:color w:val="auto"/>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ind w:firstLine="560"/>
        <w:rPr>
          <w:color w:val="auto"/>
          <w:highlight w:val="none"/>
        </w:rPr>
      </w:pPr>
      <w:r>
        <w:rPr>
          <w:rFonts w:hint="eastAsia"/>
          <w:color w:val="auto"/>
          <w:highlight w:val="none"/>
        </w:rPr>
        <w:t>三级指标分析环节：总体采用比较法，同时辅以文献法、成本效益法、因素分析法以及公众评判法，根据不同三级指标类型进行逐项分析。</w:t>
      </w:r>
    </w:p>
    <w:p>
      <w:pPr>
        <w:ind w:firstLine="560"/>
        <w:rPr>
          <w:color w:val="auto"/>
          <w:highlight w:val="none"/>
        </w:rPr>
      </w:pPr>
      <w:r>
        <w:rPr>
          <w:color w:val="auto"/>
          <w:highlight w:val="none"/>
        </w:rPr>
        <w:t>①</w:t>
      </w:r>
      <w:r>
        <w:rPr>
          <w:rFonts w:hint="eastAsia"/>
          <w:color w:val="auto"/>
          <w:highlight w:val="none"/>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ind w:firstLine="560"/>
        <w:rPr>
          <w:rFonts w:hint="eastAsia"/>
          <w:color w:val="auto"/>
          <w:highlight w:val="none"/>
          <w:lang w:val="en-US" w:eastAsia="zh-CN"/>
        </w:rPr>
      </w:pPr>
      <w:r>
        <w:rPr>
          <w:color w:val="auto"/>
          <w:highlight w:val="none"/>
        </w:rPr>
        <w:t>②</w:t>
      </w:r>
      <w:r>
        <w:rPr>
          <w:rFonts w:hint="eastAsia"/>
          <w:color w:val="auto"/>
          <w:highlight w:val="none"/>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rPr>
        <w:t>立项依据充分性</w:t>
      </w:r>
      <w:r>
        <w:rPr>
          <w:rFonts w:hint="eastAsia"/>
          <w:color w:val="auto"/>
          <w:highlight w:val="none"/>
          <w:lang w:eastAsia="zh-CN"/>
        </w:rPr>
        <w:t>：</w:t>
      </w:r>
      <w:r>
        <w:rPr>
          <w:rFonts w:hint="eastAsia"/>
          <w:color w:val="auto"/>
          <w:highlight w:val="none"/>
        </w:rPr>
        <w:t>比较法、文献法</w:t>
      </w:r>
      <w:r>
        <w:rPr>
          <w:rFonts w:hint="eastAsia"/>
          <w:color w:val="auto"/>
          <w:highlight w:val="none"/>
          <w:lang w:eastAsia="zh-CN"/>
        </w:rPr>
        <w:t>，</w:t>
      </w:r>
      <w:r>
        <w:rPr>
          <w:rFonts w:hint="eastAsia"/>
          <w:color w:val="auto"/>
          <w:highlight w:val="none"/>
        </w:rPr>
        <w:t>查找法律法规政策以及规划，对比实际执行内容和政策支持内容是否匹配。</w:t>
      </w:r>
    </w:p>
    <w:p>
      <w:pPr>
        <w:pStyle w:val="7"/>
        <w:rPr>
          <w:rFonts w:hint="eastAsia"/>
          <w:color w:val="auto"/>
          <w:highlight w:val="none"/>
          <w:lang w:val="en-US" w:eastAsia="zh-CN"/>
        </w:rPr>
      </w:pPr>
      <w:r>
        <w:rPr>
          <w:rFonts w:hint="eastAsia"/>
          <w:color w:val="auto"/>
          <w:highlight w:val="none"/>
          <w:lang w:val="en-US" w:eastAsia="zh-CN"/>
        </w:rPr>
        <w:t>立项程序规范性：比较法、文献法，查找相关项目设立的政策和文件要求，对比分析实际执行程序是否按照政策及文件要求执行，分析立项程序的规范性。</w:t>
      </w:r>
    </w:p>
    <w:p>
      <w:pPr>
        <w:pStyle w:val="7"/>
        <w:rPr>
          <w:rFonts w:hint="eastAsia"/>
          <w:color w:val="auto"/>
          <w:highlight w:val="none"/>
          <w:lang w:val="en-US" w:eastAsia="zh-CN"/>
        </w:rPr>
      </w:pPr>
      <w:r>
        <w:rPr>
          <w:rFonts w:hint="eastAsia"/>
          <w:color w:val="auto"/>
          <w:highlight w:val="none"/>
          <w:lang w:val="en-US" w:eastAsia="zh-CN"/>
        </w:rPr>
        <w:t>绩效目标合理性：比较法，对比分析年初编制项目支出绩效目标表与项目内容的相关性、资金的匹配性等。</w:t>
      </w:r>
    </w:p>
    <w:p>
      <w:pPr>
        <w:pStyle w:val="7"/>
        <w:rPr>
          <w:rFonts w:hint="eastAsia"/>
          <w:color w:val="auto"/>
          <w:highlight w:val="none"/>
          <w:lang w:val="en-US" w:eastAsia="zh-CN"/>
        </w:rPr>
      </w:pPr>
      <w:r>
        <w:rPr>
          <w:rFonts w:hint="eastAsia"/>
          <w:color w:val="auto"/>
          <w:highlight w:val="none"/>
          <w:lang w:val="en-US" w:eastAsia="zh-CN"/>
        </w:rPr>
        <w:t>绩效指标明确性：比较法，比较分析年初编制项目支出绩效目标表是否符合双七原则，是否可衡量。</w:t>
      </w:r>
    </w:p>
    <w:p>
      <w:pPr>
        <w:pStyle w:val="7"/>
        <w:rPr>
          <w:rFonts w:hint="eastAsia"/>
          <w:color w:val="auto"/>
          <w:highlight w:val="none"/>
          <w:lang w:val="en-US" w:eastAsia="zh-CN"/>
        </w:rPr>
      </w:pPr>
      <w:r>
        <w:rPr>
          <w:rFonts w:hint="eastAsia"/>
          <w:color w:val="auto"/>
          <w:highlight w:val="none"/>
          <w:lang w:val="en-US" w:eastAsia="zh-CN"/>
        </w:rPr>
        <w:t>预算编制科学性：成本效益分析法，分析在产出一定的情况下，成本取值是否有依据，是否经过询价，是否按照市场最低成本编制。</w:t>
      </w:r>
    </w:p>
    <w:p>
      <w:pPr>
        <w:pStyle w:val="7"/>
        <w:rPr>
          <w:rFonts w:hint="eastAsia"/>
          <w:color w:val="auto"/>
          <w:highlight w:val="none"/>
          <w:lang w:val="en-US" w:eastAsia="zh-CN"/>
        </w:rPr>
      </w:pPr>
      <w:r>
        <w:rPr>
          <w:rFonts w:hint="eastAsia"/>
          <w:color w:val="auto"/>
          <w:highlight w:val="none"/>
          <w:lang w:val="en-US" w:eastAsia="zh-CN"/>
        </w:rPr>
        <w:t>资金分配合理性：因素分析法，综合分析资金的分配依据是否充分，分配金额是否与项目实施单位需求金额一致，</w:t>
      </w:r>
    </w:p>
    <w:p>
      <w:pPr>
        <w:pStyle w:val="7"/>
        <w:rPr>
          <w:rFonts w:hint="eastAsia"/>
          <w:color w:val="auto"/>
          <w:highlight w:val="none"/>
          <w:lang w:val="en-US" w:eastAsia="zh-CN"/>
        </w:rPr>
      </w:pPr>
      <w:r>
        <w:rPr>
          <w:rFonts w:hint="eastAsia"/>
          <w:color w:val="auto"/>
          <w:highlight w:val="none"/>
          <w:lang w:val="en-US" w:eastAsia="zh-CN"/>
        </w:rPr>
        <w:t>资金到位率：比较法，资金到位率预期指标值应为100%，通过实际计算，分析实际完成值和预期指标值之间的差距和原因。</w:t>
      </w:r>
    </w:p>
    <w:p>
      <w:pPr>
        <w:pStyle w:val="7"/>
        <w:rPr>
          <w:rFonts w:hint="eastAsia"/>
          <w:color w:val="auto"/>
          <w:highlight w:val="none"/>
          <w:lang w:val="en-US" w:eastAsia="zh-CN"/>
        </w:rPr>
      </w:pPr>
      <w:r>
        <w:rPr>
          <w:rFonts w:hint="eastAsia"/>
          <w:color w:val="auto"/>
          <w:highlight w:val="none"/>
          <w:lang w:val="en-US" w:eastAsia="zh-CN"/>
        </w:rPr>
        <w:t>预算执行率：比较法，预算执行率预期指标值应为100%，通过实际计算，分析实际完成值和预期指标值之间的差距和原因。</w:t>
      </w:r>
    </w:p>
    <w:p>
      <w:pPr>
        <w:pStyle w:val="7"/>
        <w:rPr>
          <w:rFonts w:hint="eastAsia"/>
          <w:color w:val="auto"/>
          <w:highlight w:val="none"/>
          <w:lang w:val="en-US" w:eastAsia="zh-CN"/>
        </w:rPr>
      </w:pPr>
      <w:r>
        <w:rPr>
          <w:rFonts w:hint="eastAsia"/>
          <w:color w:val="auto"/>
          <w:highlight w:val="none"/>
          <w:lang w:val="en-US" w:eastAsia="zh-CN"/>
        </w:rPr>
        <w:t>资金使用合规性：文献法、实地勘察法，一是查找资金管理办法，包括专项资金管理办法和单位自有资金管理办法；二是通过查账了解具体开支情况，是否专用，是否按照标准支出。</w:t>
      </w:r>
    </w:p>
    <w:p>
      <w:pPr>
        <w:pStyle w:val="7"/>
        <w:rPr>
          <w:rFonts w:hint="eastAsia"/>
          <w:color w:val="auto"/>
          <w:highlight w:val="none"/>
          <w:lang w:val="en-US" w:eastAsia="zh-CN"/>
        </w:rPr>
      </w:pPr>
      <w:r>
        <w:rPr>
          <w:rFonts w:hint="eastAsia"/>
          <w:color w:val="auto"/>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Style w:val="7"/>
        <w:rPr>
          <w:rFonts w:hint="eastAsia"/>
          <w:color w:val="auto"/>
          <w:highlight w:val="none"/>
          <w:lang w:val="en-US" w:eastAsia="zh-CN"/>
        </w:rPr>
      </w:pPr>
      <w:r>
        <w:rPr>
          <w:rFonts w:hint="eastAsia"/>
          <w:color w:val="auto"/>
          <w:highlight w:val="none"/>
          <w:lang w:val="en-US" w:eastAsia="zh-CN"/>
        </w:rPr>
        <w:t>制度执行有效性：比较法，结合项目实际实施过程性文件，根据已建设的财务管理制度和项目管理制度综合分析制度执行的有效性。</w:t>
      </w:r>
    </w:p>
    <w:p>
      <w:pPr>
        <w:pStyle w:val="7"/>
        <w:rPr>
          <w:rFonts w:hint="eastAsia"/>
          <w:color w:val="auto"/>
          <w:highlight w:val="none"/>
          <w:lang w:val="en-US" w:eastAsia="zh-CN"/>
        </w:rPr>
      </w:pPr>
      <w:r>
        <w:rPr>
          <w:rFonts w:hint="eastAsia"/>
          <w:color w:val="auto"/>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bidi w:val="0"/>
        <w:rPr>
          <w:rFonts w:hint="eastAsia"/>
          <w:color w:val="auto"/>
          <w:highlight w:val="none"/>
        </w:rPr>
      </w:pPr>
      <w:r>
        <w:rPr>
          <w:rFonts w:hint="eastAsia"/>
          <w:color w:val="auto"/>
          <w:highlight w:val="none"/>
          <w:lang w:val="en-US" w:eastAsia="zh-CN"/>
        </w:rPr>
        <w:t>定性指标：公众评判法，通过问卷及抽样调查等方式评价本项目实施后社会公众对于其实施效果的满意程度。</w:t>
      </w:r>
    </w:p>
    <w:p>
      <w:pPr>
        <w:pStyle w:val="5"/>
        <w:ind w:firstLine="562"/>
        <w:rPr>
          <w:color w:val="auto"/>
          <w:highlight w:val="none"/>
        </w:rPr>
      </w:pPr>
      <w:r>
        <w:rPr>
          <w:rFonts w:hint="eastAsia"/>
          <w:color w:val="auto"/>
          <w:highlight w:val="none"/>
        </w:rPr>
        <w:t>4.评价标准</w:t>
      </w:r>
    </w:p>
    <w:p>
      <w:pPr>
        <w:ind w:firstLine="560"/>
        <w:rPr>
          <w:color w:val="auto"/>
          <w:highlight w:val="none"/>
        </w:rPr>
      </w:pPr>
      <w:r>
        <w:rPr>
          <w:rFonts w:hint="eastAsia"/>
          <w:color w:val="auto"/>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4"/>
        <w:numPr>
          <w:ilvl w:val="0"/>
          <w:numId w:val="1"/>
        </w:numPr>
        <w:ind w:firstLine="643"/>
        <w:rPr>
          <w:color w:val="auto"/>
          <w:highlight w:val="none"/>
        </w:rPr>
      </w:pPr>
      <w:r>
        <w:rPr>
          <w:rFonts w:hint="eastAsia"/>
          <w:color w:val="auto"/>
          <w:highlight w:val="none"/>
        </w:rPr>
        <w:t>绩效评价工作过程</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1.前期准备</w:t>
      </w:r>
    </w:p>
    <w:p>
      <w:pPr>
        <w:rPr>
          <w:rFonts w:hint="eastAsia" w:ascii="Times New Roman" w:hAnsi="Times New Roman" w:cs="Times New Roman"/>
          <w:color w:val="auto"/>
          <w:highlight w:val="none"/>
          <w:lang w:val="zh-TW" w:eastAsia="zh-TW"/>
        </w:rPr>
      </w:pPr>
      <w:r>
        <w:rPr>
          <w:rFonts w:hint="eastAsia" w:ascii="Times New Roman" w:hAnsi="Times New Roman" w:cs="Times New Roman"/>
          <w:color w:val="auto"/>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highlight w:val="none"/>
          <w:lang w:val="en-US" w:eastAsia="zh-CN"/>
        </w:rPr>
        <w:t>。</w:t>
      </w:r>
      <w:r>
        <w:rPr>
          <w:rFonts w:hint="eastAsia"/>
          <w:color w:val="auto"/>
          <w:highlight w:val="none"/>
          <w:lang w:val="en-US" w:eastAsia="zh-CN"/>
        </w:rPr>
        <w:t>2024年2月26日，</w:t>
      </w:r>
      <w:r>
        <w:rPr>
          <w:rFonts w:hint="eastAsia" w:ascii="Times New Roman" w:hAnsi="Times New Roman" w:cs="Times New Roman"/>
          <w:color w:val="auto"/>
          <w:highlight w:val="none"/>
          <w:lang w:val="en-US" w:eastAsia="zh-CN"/>
        </w:rPr>
        <w:t>绩效评价项目小组</w:t>
      </w:r>
      <w:r>
        <w:rPr>
          <w:rFonts w:hint="eastAsia" w:cs="Times New Roman"/>
          <w:color w:val="auto"/>
          <w:highlight w:val="none"/>
          <w:lang w:val="en-US" w:eastAsia="zh-CN"/>
        </w:rPr>
        <w:t>成员</w:t>
      </w:r>
      <w:r>
        <w:rPr>
          <w:rFonts w:hint="eastAsia" w:ascii="Times New Roman" w:hAnsi="Times New Roman" w:cs="Times New Roman"/>
          <w:color w:val="auto"/>
          <w:highlight w:val="none"/>
          <w:lang w:val="en-US" w:eastAsia="zh-CN"/>
        </w:rPr>
        <w:t>对</w:t>
      </w:r>
      <w:r>
        <w:rPr>
          <w:rFonts w:hint="eastAsia" w:cs="Times New Roman"/>
          <w:color w:val="auto"/>
          <w:highlight w:val="none"/>
          <w:lang w:val="en-US" w:eastAsia="zh-CN"/>
        </w:rPr>
        <w:t>本</w:t>
      </w:r>
      <w:r>
        <w:rPr>
          <w:rFonts w:hint="eastAsia" w:ascii="Times New Roman" w:hAnsi="Times New Roman" w:cs="Times New Roman"/>
          <w:color w:val="auto"/>
          <w:highlight w:val="none"/>
          <w:lang w:val="en-US" w:eastAsia="zh-CN"/>
        </w:rPr>
        <w:t>项目</w:t>
      </w:r>
      <w:r>
        <w:rPr>
          <w:rFonts w:hint="eastAsia" w:cs="Times New Roman"/>
          <w:color w:val="auto"/>
          <w:highlight w:val="none"/>
          <w:lang w:val="en-US" w:eastAsia="zh-CN"/>
        </w:rPr>
        <w:t>开展</w:t>
      </w:r>
      <w:r>
        <w:rPr>
          <w:rFonts w:hint="eastAsia" w:ascii="Times New Roman" w:hAnsi="Times New Roman" w:cs="Times New Roman"/>
          <w:color w:val="auto"/>
          <w:highlight w:val="none"/>
          <w:lang w:val="en-US" w:eastAsia="zh-CN"/>
        </w:rPr>
        <w:t>前期调研。</w:t>
      </w:r>
      <w:r>
        <w:rPr>
          <w:rFonts w:hint="eastAsia"/>
          <w:color w:val="auto"/>
          <w:highlight w:val="none"/>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color w:val="auto"/>
          <w:highlight w:val="none"/>
          <w:lang w:val="en-US" w:eastAsia="zh-CN"/>
        </w:rPr>
        <w:t>成员和职责如下：</w:t>
      </w:r>
    </w:p>
    <w:p>
      <w:pPr>
        <w:ind w:firstLine="560"/>
        <w:rPr>
          <w:rFonts w:hint="default"/>
          <w:color w:val="auto"/>
          <w:highlight w:val="none"/>
          <w:lang w:val="en-US" w:eastAsia="zh-CN"/>
        </w:rPr>
      </w:pPr>
      <w:r>
        <w:rPr>
          <w:rFonts w:hint="eastAsia"/>
          <w:color w:val="auto"/>
          <w:highlight w:val="none"/>
          <w:lang w:val="en-US" w:eastAsia="zh-CN"/>
        </w:rPr>
        <w:t>（1）评价组组长：朱立行，</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pPr>
        <w:ind w:firstLine="560"/>
        <w:rPr>
          <w:rFonts w:hint="eastAsia"/>
          <w:color w:val="auto"/>
          <w:highlight w:val="none"/>
          <w:lang w:val="en-US" w:eastAsia="zh-CN"/>
        </w:rPr>
      </w:pPr>
      <w:r>
        <w:rPr>
          <w:rFonts w:hint="eastAsia"/>
          <w:color w:val="auto"/>
          <w:highlight w:val="none"/>
          <w:lang w:val="en-US" w:eastAsia="zh-CN"/>
        </w:rPr>
        <w:t>（2）评价组成员：张亮仁，</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pPr>
        <w:ind w:firstLine="560"/>
        <w:rPr>
          <w:rFonts w:hint="eastAsia" w:ascii="Times New Roman" w:hAnsi="Times New Roman" w:cs="Times New Roman"/>
          <w:color w:val="auto"/>
          <w:highlight w:val="none"/>
          <w:lang w:val="en-US" w:eastAsia="zh-CN"/>
        </w:rPr>
      </w:pPr>
      <w:r>
        <w:rPr>
          <w:rFonts w:hint="eastAsia"/>
          <w:color w:val="auto"/>
          <w:highlight w:val="none"/>
          <w:lang w:val="en-US" w:eastAsia="zh-CN"/>
        </w:rPr>
        <w:t>（3）评价组成员：蔻宏鑫，</w:t>
      </w:r>
      <w:r>
        <w:rPr>
          <w:rFonts w:hint="eastAsia"/>
          <w:color w:val="auto"/>
          <w:highlight w:val="none"/>
        </w:rPr>
        <w:t>主要负责现场调研工作，完成收集整理资料、审核数据、填报绩效评价内容等工作</w:t>
      </w:r>
      <w:r>
        <w:rPr>
          <w:rFonts w:hint="eastAsia"/>
          <w:color w:val="auto"/>
          <w:highlight w:val="none"/>
          <w:lang w:val="en-US" w:eastAsia="zh-CN"/>
        </w:rPr>
        <w:t>。</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2</w:t>
      </w:r>
      <w:r>
        <w:rPr>
          <w:rFonts w:hint="eastAsia"/>
          <w:color w:val="auto"/>
          <w:highlight w:val="none"/>
          <w:lang w:eastAsia="zh-CN"/>
        </w:rPr>
        <w:t>月</w:t>
      </w:r>
      <w:r>
        <w:rPr>
          <w:rFonts w:hint="eastAsia"/>
          <w:color w:val="auto"/>
          <w:highlight w:val="none"/>
          <w:lang w:val="en-US" w:eastAsia="zh-CN"/>
        </w:rPr>
        <w:t>28</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5</w:t>
      </w:r>
      <w:r>
        <w:rPr>
          <w:rFonts w:hint="eastAsia"/>
          <w:color w:val="auto"/>
          <w:highlight w:val="none"/>
          <w:lang w:eastAsia="zh-CN"/>
        </w:rPr>
        <w:t>日，评价工作进入实施阶段。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pPr>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pPr>
        <w:bidi w:val="0"/>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6</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11</w:t>
      </w:r>
      <w:r>
        <w:rPr>
          <w:rFonts w:hint="eastAsia"/>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12</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15</w:t>
      </w:r>
      <w:r>
        <w:rPr>
          <w:rFonts w:hint="eastAsia"/>
          <w:color w:val="auto"/>
          <w:highlight w:val="none"/>
        </w:rPr>
        <w:t>日</w:t>
      </w:r>
      <w:r>
        <w:rPr>
          <w:rFonts w:hint="eastAsia"/>
          <w:color w:val="auto"/>
          <w:highlight w:val="none"/>
          <w:lang w:eastAsia="zh-CN"/>
        </w:rPr>
        <w:t>，</w:t>
      </w:r>
      <w:r>
        <w:rPr>
          <w:rFonts w:hint="eastAsia" w:ascii="Times New Roman" w:hAnsi="Times New Roman" w:cs="Times New Roman"/>
          <w:color w:val="auto"/>
          <w:highlight w:val="none"/>
          <w:lang w:val="en-US" w:eastAsia="zh-CN"/>
        </w:rPr>
        <w:t>绩效评价项目小组依照整理、分析后的项目材料、数据资料，依据评价形成的初步结论，按照</w:t>
      </w:r>
      <w:r>
        <w:rPr>
          <w:rFonts w:hint="eastAsia" w:cs="Times New Roman"/>
          <w:color w:val="auto"/>
          <w:highlight w:val="none"/>
          <w:lang w:val="en-US" w:eastAsia="zh-CN"/>
        </w:rPr>
        <w:t>绩效系统中统一</w:t>
      </w:r>
      <w:r>
        <w:rPr>
          <w:rFonts w:hint="eastAsia" w:ascii="Times New Roman" w:hAnsi="Times New Roman" w:cs="Times New Roman"/>
          <w:color w:val="auto"/>
          <w:highlight w:val="none"/>
          <w:lang w:val="en-US" w:eastAsia="zh-CN"/>
        </w:rPr>
        <w:t>的格式和内容要求撰写绩效评价初步报告，最终形成评价结果。</w:t>
      </w:r>
    </w:p>
    <w:p>
      <w:pPr>
        <w:pStyle w:val="5"/>
        <w:ind w:firstLine="562"/>
        <w:rPr>
          <w:rFonts w:hint="eastAsia"/>
          <w:color w:val="auto"/>
          <w:highlight w:val="none"/>
        </w:rPr>
      </w:pPr>
      <w:bookmarkStart w:id="12" w:name="_Toc5055"/>
      <w:r>
        <w:rPr>
          <w:rFonts w:hint="eastAsia"/>
          <w:color w:val="auto"/>
          <w:highlight w:val="none"/>
          <w:lang w:val="en-US" w:eastAsia="zh-CN"/>
        </w:rPr>
        <w:t>4.</w:t>
      </w:r>
      <w:r>
        <w:rPr>
          <w:rFonts w:hint="eastAsia"/>
          <w:color w:val="auto"/>
          <w:highlight w:val="none"/>
        </w:rPr>
        <w:t>问题整改</w:t>
      </w:r>
    </w:p>
    <w:p>
      <w:pPr>
        <w:ind w:firstLine="560"/>
        <w:rPr>
          <w:color w:val="auto"/>
          <w:highlight w:val="none"/>
        </w:rPr>
      </w:pPr>
      <w:r>
        <w:rPr>
          <w:rFonts w:hint="eastAsia"/>
          <w:color w:val="auto"/>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pPr>
        <w:pStyle w:val="5"/>
        <w:bidi w:val="0"/>
        <w:rPr>
          <w:rFonts w:hint="eastAsia"/>
          <w:color w:val="auto"/>
          <w:highlight w:val="none"/>
          <w:lang w:val="en-US" w:eastAsia="zh-CN"/>
        </w:rPr>
      </w:pPr>
      <w:r>
        <w:rPr>
          <w:rFonts w:hint="eastAsia"/>
          <w:color w:val="auto"/>
          <w:highlight w:val="none"/>
          <w:lang w:val="en-US" w:eastAsia="zh-CN"/>
        </w:rPr>
        <w:t>5.归集档案</w:t>
      </w:r>
      <w:bookmarkEnd w:id="12"/>
    </w:p>
    <w:p>
      <w:pPr>
        <w:bidi w:val="0"/>
        <w:rPr>
          <w:color w:val="auto"/>
          <w:highlight w:val="none"/>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w:t>
      </w:r>
    </w:p>
    <w:p>
      <w:pPr>
        <w:pStyle w:val="3"/>
        <w:numPr>
          <w:ilvl w:val="0"/>
          <w:numId w:val="2"/>
        </w:numPr>
        <w:ind w:firstLine="640"/>
        <w:rPr>
          <w:color w:val="auto"/>
          <w:highlight w:val="none"/>
        </w:rPr>
      </w:pPr>
      <w:r>
        <w:rPr>
          <w:rFonts w:hint="eastAsia"/>
          <w:color w:val="auto"/>
          <w:highlight w:val="none"/>
        </w:rPr>
        <w:t>综合评价情况及评价结论</w:t>
      </w:r>
    </w:p>
    <w:p>
      <w:pPr>
        <w:pStyle w:val="4"/>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pPr>
        <w:bidi w:val="0"/>
        <w:rPr>
          <w:rFonts w:hint="eastAsia" w:ascii="Times New Roman" w:hAnsi="Times New Roman" w:cs="Times New Roman"/>
          <w:color w:val="auto"/>
          <w:highlight w:val="none"/>
          <w:lang w:val="en-US" w:eastAsia="zh-CN"/>
        </w:rPr>
      </w:pPr>
      <w:bookmarkStart w:id="14" w:name="_Toc68364666"/>
      <w:r>
        <w:rPr>
          <w:rFonts w:hint="eastAsia"/>
          <w:color w:val="auto"/>
          <w:highlight w:val="none"/>
          <w:lang w:eastAsia="zh-CN"/>
        </w:rPr>
        <w:tab/>
      </w:r>
      <w:r>
        <w:rPr>
          <w:rFonts w:hint="eastAsia" w:ascii="Times New Roman" w:hAnsi="Times New Roman" w:cs="Times New Roman"/>
          <w:color w:val="auto"/>
          <w:highlight w:val="none"/>
          <w:lang w:val="en-US" w:eastAsia="zh-CN"/>
        </w:rPr>
        <w:t>经评价，本项目达成年初设立的绩效目标，项目总体组织规范，在实施过程中取得了良好的成效，具体表现在以下</w:t>
      </w:r>
      <w:r>
        <w:rPr>
          <w:rFonts w:hint="eastAsia" w:ascii="Times New Roman" w:hAnsi="Times New Roman" w:cs="Times New Roman"/>
          <w:color w:val="auto"/>
          <w:highlight w:val="none"/>
          <w:lang w:val="en-US" w:eastAsia="zh-Hans"/>
        </w:rPr>
        <w:t>四</w:t>
      </w:r>
      <w:r>
        <w:rPr>
          <w:rFonts w:hint="eastAsia" w:ascii="Times New Roman" w:hAnsi="Times New Roman" w:cs="Times New Roman"/>
          <w:color w:val="auto"/>
          <w:highlight w:val="none"/>
          <w:lang w:val="en-US" w:eastAsia="zh-CN"/>
        </w:rPr>
        <w:t>方面：</w:t>
      </w:r>
    </w:p>
    <w:p>
      <w:pPr>
        <w:bidi w:val="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 xml:space="preserve">项目决策方面：严格按照《传染病防治法》、《突发公共卫生事件应急处理条例》规定的报告时限和报告方法报告疫情，杜绝迟报、漏报。严格落实传染病网络直报及零报告制度，安排人员实行24小时值班，确保发生疫情后及时进行网络监控，并及时上报；实现传染病报告的动态性、实时性和网络化管理，二级及以上医疗机构按照《新冠病毒感染防控方案（第十版）》的要求，开展主动监测工作，对门（急）诊、住院病例中出现十大症状的人员、发热门诊就诊人员开展核酸或抗原检测，适当提高核酸检测的比例，提高医疗机构传染病疫情监测的覆盖面和灵敏性。 </w:t>
      </w:r>
    </w:p>
    <w:p>
      <w:pPr>
        <w:bidi w:val="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项目管理方面：朱立行：负责全面防控工作。</w:t>
      </w:r>
    </w:p>
    <w:p>
      <w:pPr>
        <w:bidi w:val="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物资保障组：负责全县医疗物资以及各项后勤保障工作。</w:t>
      </w:r>
    </w:p>
    <w:p>
      <w:pPr>
        <w:bidi w:val="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核酸专项组：负责全县所有人员应检尽检。</w:t>
      </w:r>
    </w:p>
    <w:p>
      <w:pPr>
        <w:bidi w:val="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发热门诊组：负责发热人员的隔离用药事项。</w:t>
      </w:r>
    </w:p>
    <w:p>
      <w:pPr>
        <w:bidi w:val="0"/>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项目产出方面：保障了社会面平稳运行，生活作息不受疫情影响，提高了医疗处置能力，保障了人民群众身体健康。</w:t>
      </w:r>
    </w:p>
    <w:p>
      <w:pPr>
        <w:bidi w:val="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项目效益方面：疫情形势总体平稳，人民群众身体健康。</w:t>
      </w:r>
    </w:p>
    <w:p>
      <w:pPr>
        <w:pStyle w:val="4"/>
        <w:bidi w:val="0"/>
        <w:rPr>
          <w:rFonts w:hint="eastAsia"/>
          <w:color w:val="auto"/>
          <w:highlight w:val="none"/>
        </w:rPr>
      </w:pPr>
      <w:r>
        <w:rPr>
          <w:rFonts w:hint="eastAsia"/>
          <w:color w:val="auto"/>
          <w:highlight w:val="none"/>
        </w:rPr>
        <w:t>（二）综合评价结论</w:t>
      </w:r>
    </w:p>
    <w:bookmarkEnd w:id="14"/>
    <w:p>
      <w:pPr>
        <w:bidi w:val="0"/>
        <w:rPr>
          <w:rFonts w:hint="eastAsia" w:eastAsia="仿宋_GB2312"/>
          <w:color w:val="auto"/>
          <w:highlight w:val="none"/>
          <w:lang w:val="en-US" w:eastAsia="zh-CN"/>
        </w:rPr>
      </w:pPr>
      <w:r>
        <w:rPr>
          <w:rFonts w:hint="eastAsia"/>
          <w:color w:val="auto"/>
          <w:highlight w:val="none"/>
          <w:lang w:val="en-US" w:eastAsia="zh-CN"/>
        </w:rPr>
        <w:t>此次绩效评价通过绩效评价小组论证的评价指标体系及评分标准，采用比较法、公众评判法、因素分析法等对本项目绩效进行客观评价，最终评分结果：总分为79.60分，绩效评级为“合格”。综合评价结论如下：本项目决策指标共设置6个，满分20分，得分率87%；项目过程指标共设置5个，满分20分，得分率95%；项目产出指标共设置3个，满分24分，得分率30%；项目成本指标共设置4个，满分12分，得分率100%；项目效益指标共设置4个，满分24分，得分率100%。</w:t>
      </w:r>
      <w:r>
        <w:rPr>
          <w:rFonts w:hint="eastAsia"/>
          <w:color w:val="auto"/>
          <w:highlight w:val="none"/>
          <w:lang w:val="zh-TW" w:eastAsia="zh-CN"/>
        </w:rPr>
        <w:t>详细情况见</w:t>
      </w:r>
      <w:r>
        <w:rPr>
          <w:rFonts w:hint="eastAsia"/>
          <w:color w:val="auto"/>
          <w:highlight w:val="none"/>
        </w:rPr>
        <w:t>“附件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r>
        <w:rPr>
          <w:rFonts w:hint="eastAsia"/>
          <w:color w:val="auto"/>
          <w:highlight w:val="none"/>
          <w:lang w:eastAsia="zh-CN"/>
        </w:rPr>
        <w:t>。</w:t>
      </w:r>
    </w:p>
    <w:p>
      <w:pPr>
        <w:pStyle w:val="3"/>
        <w:numPr>
          <w:ilvl w:val="0"/>
          <w:numId w:val="2"/>
        </w:numPr>
        <w:ind w:firstLine="640"/>
        <w:rPr>
          <w:rFonts w:hint="eastAsia"/>
          <w:color w:val="auto"/>
          <w:highlight w:val="none"/>
        </w:rPr>
      </w:pPr>
      <w:r>
        <w:rPr>
          <w:rFonts w:hint="eastAsia"/>
          <w:color w:val="auto"/>
          <w:highlight w:val="none"/>
        </w:rPr>
        <w:t>绩效评价指标分析</w:t>
      </w:r>
    </w:p>
    <w:p>
      <w:pPr>
        <w:pStyle w:val="4"/>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eastAsia="zh-CN"/>
        </w:rPr>
        <w:t>3个二级指标和6个三级指标构成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17.4</w:t>
      </w:r>
      <w:r>
        <w:rPr>
          <w:rFonts w:hint="eastAsia" w:ascii="仿宋_GB2312" w:hAnsi="仿宋_GB2312" w:cs="仿宋_GB2312"/>
          <w:color w:val="auto"/>
          <w:sz w:val="28"/>
          <w:szCs w:val="28"/>
          <w:highlight w:val="none"/>
        </w:rPr>
        <w:t>分。</w:t>
      </w:r>
    </w:p>
    <w:p>
      <w:pPr>
        <w:pStyle w:val="5"/>
        <w:bidi w:val="0"/>
        <w:rPr>
          <w:rFonts w:hint="eastAsia"/>
          <w:color w:val="auto"/>
          <w:highlight w:val="none"/>
          <w:lang w:val="en-US" w:eastAsia="zh-CN"/>
        </w:rPr>
      </w:pPr>
      <w:r>
        <w:rPr>
          <w:rFonts w:hint="eastAsia"/>
          <w:color w:val="auto"/>
          <w:highlight w:val="none"/>
          <w:lang w:val="en-US" w:eastAsia="zh-CN"/>
        </w:rPr>
        <w:t>1.项目立项情况分析</w:t>
      </w:r>
    </w:p>
    <w:p>
      <w:pPr>
        <w:bidi w:val="0"/>
        <w:rPr>
          <w:rFonts w:hint="eastAsia"/>
          <w:b/>
          <w:bCs/>
          <w:color w:val="auto"/>
          <w:highlight w:val="none"/>
        </w:rPr>
      </w:pPr>
      <w:r>
        <w:rPr>
          <w:rFonts w:hint="eastAsia"/>
          <w:b/>
          <w:bCs/>
          <w:color w:val="auto"/>
          <w:highlight w:val="none"/>
        </w:rPr>
        <w:t>（1）立项依据充分性：</w:t>
      </w:r>
    </w:p>
    <w:p>
      <w:pPr>
        <w:bidi w:val="0"/>
        <w:rPr>
          <w:rFonts w:hint="eastAsia"/>
          <w:color w:val="auto"/>
          <w:highlight w:val="none"/>
        </w:rPr>
      </w:pPr>
      <w:r>
        <w:rPr>
          <w:rFonts w:hint="eastAsia"/>
          <w:color w:val="auto"/>
          <w:highlight w:val="none"/>
        </w:rPr>
        <w:t>本</w:t>
      </w:r>
      <w:r>
        <w:rPr>
          <w:rFonts w:hint="eastAsia"/>
          <w:color w:val="auto"/>
          <w:highlight w:val="none"/>
          <w:lang w:eastAsia="zh-Hans"/>
        </w:rPr>
        <w:t>项目立项符合《</w:t>
      </w:r>
      <w:r>
        <w:rPr>
          <w:rFonts w:hint="eastAsia"/>
          <w:color w:val="auto"/>
          <w:highlight w:val="none"/>
          <w:lang w:val="en-US" w:eastAsia="zh-CN"/>
        </w:rPr>
        <w:t>关于提前下达2024年自治区医疗服务与保障能力提升（卫生健康人才队伍建设）补助资金预算的通知</w:t>
      </w:r>
      <w:r>
        <w:rPr>
          <w:rFonts w:hint="eastAsia"/>
          <w:color w:val="auto"/>
          <w:highlight w:val="none"/>
          <w:lang w:eastAsia="zh-Hans"/>
        </w:rPr>
        <w:t>》</w:t>
      </w:r>
      <w:r>
        <w:rPr>
          <w:rFonts w:hint="eastAsia"/>
          <w:color w:val="auto"/>
          <w:highlight w:val="none"/>
          <w:lang w:eastAsia="zh-Hans" w:bidi="ar"/>
        </w:rPr>
        <w:t>（</w:t>
      </w:r>
      <w:r>
        <w:rPr>
          <w:rFonts w:hint="eastAsia"/>
          <w:color w:val="auto"/>
          <w:highlight w:val="none"/>
          <w:lang w:val="en-US" w:eastAsia="zh-CN" w:bidi="ar"/>
        </w:rPr>
        <w:t>吐市财预</w:t>
      </w:r>
      <w:r>
        <w:rPr>
          <w:rFonts w:hint="eastAsia"/>
          <w:color w:val="auto"/>
          <w:highlight w:val="none"/>
          <w:lang w:eastAsia="zh-Hans" w:bidi="ar"/>
        </w:rPr>
        <w:t>〔</w:t>
      </w:r>
      <w:r>
        <w:rPr>
          <w:rFonts w:hint="eastAsia"/>
          <w:color w:val="auto"/>
          <w:highlight w:val="none"/>
          <w:lang w:val="en-US" w:eastAsia="zh-CN" w:bidi="ar"/>
        </w:rPr>
        <w:t>2023</w:t>
      </w:r>
      <w:r>
        <w:rPr>
          <w:rFonts w:hint="eastAsia"/>
          <w:color w:val="auto"/>
          <w:highlight w:val="none"/>
          <w:lang w:eastAsia="zh-Hans" w:bidi="ar"/>
        </w:rPr>
        <w:t>〕</w:t>
      </w:r>
      <w:r>
        <w:rPr>
          <w:rFonts w:hint="eastAsia"/>
          <w:color w:val="auto"/>
          <w:highlight w:val="none"/>
          <w:lang w:val="en-US" w:eastAsia="zh-CN" w:bidi="ar"/>
        </w:rPr>
        <w:t>13</w:t>
      </w:r>
      <w:r>
        <w:rPr>
          <w:rFonts w:hint="eastAsia"/>
          <w:color w:val="auto"/>
          <w:highlight w:val="none"/>
          <w:lang w:eastAsia="zh-Hans" w:bidi="ar"/>
        </w:rPr>
        <w:t>号）</w:t>
      </w:r>
      <w:r>
        <w:rPr>
          <w:rFonts w:hint="eastAsia"/>
          <w:color w:val="auto"/>
          <w:highlight w:val="none"/>
        </w:rPr>
        <w:t>本项目</w:t>
      </w:r>
      <w:r>
        <w:rPr>
          <w:rFonts w:hint="eastAsia"/>
          <w:color w:val="auto"/>
          <w:highlight w:val="none"/>
          <w:lang w:eastAsia="zh-Hans"/>
        </w:rPr>
        <w:t>立项符合行业发展规划和政策要求</w:t>
      </w:r>
      <w:r>
        <w:rPr>
          <w:rFonts w:hint="eastAsia"/>
          <w:color w:val="auto"/>
          <w:highlight w:val="none"/>
        </w:rPr>
        <w:t>；本</w:t>
      </w:r>
      <w:r>
        <w:rPr>
          <w:rFonts w:hint="eastAsia"/>
          <w:color w:val="auto"/>
          <w:highlight w:val="none"/>
          <w:lang w:eastAsia="zh-Hans"/>
        </w:rPr>
        <w:t>项目立项符合《</w:t>
      </w:r>
      <w:r>
        <w:rPr>
          <w:rFonts w:hint="eastAsia"/>
          <w:color w:val="auto"/>
          <w:highlight w:val="none"/>
          <w:lang w:val="en-US" w:eastAsia="zh-CN"/>
        </w:rPr>
        <w:t>托克逊县卫生健康委员会</w:t>
      </w:r>
      <w:r>
        <w:rPr>
          <w:rFonts w:hint="eastAsia"/>
          <w:color w:val="auto"/>
          <w:highlight w:val="none"/>
        </w:rPr>
        <w:t>单位</w:t>
      </w:r>
      <w:r>
        <w:rPr>
          <w:rFonts w:hint="eastAsia"/>
          <w:color w:val="auto"/>
          <w:highlight w:val="none"/>
          <w:lang w:eastAsia="zh-Hans"/>
        </w:rPr>
        <w:t>配置内设机构和人员编制规定》中职责范，属于</w:t>
      </w:r>
      <w:r>
        <w:rPr>
          <w:rFonts w:hint="eastAsia"/>
          <w:color w:val="auto"/>
          <w:highlight w:val="none"/>
        </w:rPr>
        <w:t>我单位</w:t>
      </w:r>
      <w:r>
        <w:rPr>
          <w:rFonts w:hint="eastAsia"/>
          <w:color w:val="auto"/>
          <w:highlight w:val="none"/>
          <w:lang w:eastAsia="zh-Hans"/>
        </w:rPr>
        <w:t>履职所需</w:t>
      </w:r>
      <w:r>
        <w:rPr>
          <w:rFonts w:hint="eastAsia"/>
          <w:color w:val="auto"/>
          <w:highlight w:val="none"/>
        </w:rPr>
        <w:t>；根据《财政资金直接支付申请书》，本项目资金性质为</w:t>
      </w:r>
      <w:r>
        <w:rPr>
          <w:rFonts w:hint="eastAsia"/>
          <w:color w:val="auto"/>
          <w:highlight w:val="none"/>
          <w:lang w:val="en-US" w:eastAsia="zh-CN"/>
        </w:rPr>
        <w:t>上级一般转移支付</w:t>
      </w:r>
      <w:r>
        <w:rPr>
          <w:rFonts w:hint="eastAsia"/>
          <w:color w:val="auto"/>
          <w:highlight w:val="none"/>
        </w:rPr>
        <w:t>资金</w:t>
      </w:r>
      <w:r>
        <w:rPr>
          <w:rFonts w:hint="eastAsia"/>
          <w:color w:val="auto"/>
          <w:highlight w:val="none"/>
          <w:lang w:eastAsia="zh-CN"/>
        </w:rPr>
        <w:t>，</w:t>
      </w:r>
      <w:r>
        <w:rPr>
          <w:rFonts w:hint="eastAsia"/>
          <w:color w:val="auto"/>
          <w:highlight w:val="none"/>
        </w:rPr>
        <w:t>功能分类为</w:t>
      </w:r>
      <w:r>
        <w:rPr>
          <w:rFonts w:hint="eastAsia"/>
          <w:color w:val="auto"/>
          <w:highlight w:val="none"/>
          <w:lang w:val="en-US" w:eastAsia="zh-CN"/>
        </w:rPr>
        <w:t>2100410</w:t>
      </w:r>
      <w:r>
        <w:rPr>
          <w:rFonts w:hint="eastAsia"/>
          <w:color w:val="auto"/>
          <w:highlight w:val="none"/>
          <w:lang w:eastAsia="zh-CN"/>
        </w:rPr>
        <w:t>，</w:t>
      </w:r>
      <w:r>
        <w:rPr>
          <w:rFonts w:hint="eastAsia"/>
          <w:color w:val="auto"/>
          <w:highlight w:val="none"/>
        </w:rPr>
        <w:t>经济分类为</w:t>
      </w:r>
      <w:r>
        <w:rPr>
          <w:rFonts w:hint="eastAsia"/>
          <w:color w:val="auto"/>
          <w:highlight w:val="none"/>
          <w:lang w:val="en-US" w:eastAsia="zh-CN"/>
        </w:rPr>
        <w:t>专用材料</w:t>
      </w:r>
      <w:r>
        <w:rPr>
          <w:rFonts w:hint="eastAsia"/>
          <w:color w:val="auto"/>
          <w:highlight w:val="none"/>
        </w:rPr>
        <w:t>支出</w:t>
      </w:r>
      <w:r>
        <w:rPr>
          <w:rFonts w:hint="eastAsia"/>
          <w:color w:val="auto"/>
          <w:highlight w:val="none"/>
          <w:lang w:eastAsia="zh-CN"/>
        </w:rPr>
        <w:t>，</w:t>
      </w:r>
      <w:r>
        <w:rPr>
          <w:rFonts w:hint="eastAsia"/>
          <w:color w:val="auto"/>
          <w:highlight w:val="none"/>
        </w:rPr>
        <w:t>根据《</w:t>
      </w:r>
      <w:r>
        <w:rPr>
          <w:rFonts w:hint="eastAsia"/>
          <w:color w:val="auto"/>
          <w:highlight w:val="none"/>
          <w:lang w:val="en-US" w:eastAsia="zh-CN"/>
        </w:rPr>
        <w:t>中华人民共和国</w:t>
      </w:r>
      <w:r>
        <w:rPr>
          <w:rFonts w:hint="eastAsia"/>
          <w:color w:val="auto"/>
          <w:highlight w:val="none"/>
        </w:rPr>
        <w:t>预算法》属于公共财政支持范围，符合中央、地方事权支出责任划分原则；经检查</w:t>
      </w:r>
      <w:r>
        <w:rPr>
          <w:rFonts w:hint="eastAsia"/>
          <w:color w:val="auto"/>
          <w:highlight w:val="none"/>
          <w:lang w:eastAsia="zh-Hans"/>
        </w:rPr>
        <w:t>我单位财政</w:t>
      </w:r>
      <w:r>
        <w:rPr>
          <w:color w:val="auto"/>
          <w:highlight w:val="none"/>
          <w:lang w:eastAsia="zh-Hans"/>
        </w:rPr>
        <w:t>应用平台</w:t>
      </w:r>
      <w:r>
        <w:rPr>
          <w:rFonts w:hint="eastAsia"/>
          <w:color w:val="auto"/>
          <w:highlight w:val="none"/>
          <w:lang w:eastAsia="zh-Hans"/>
        </w:rPr>
        <w:t>指标，</w:t>
      </w:r>
      <w:r>
        <w:rPr>
          <w:rFonts w:hint="eastAsia"/>
          <w:color w:val="auto"/>
          <w:highlight w:val="none"/>
        </w:rPr>
        <w:t>本</w:t>
      </w:r>
      <w:r>
        <w:rPr>
          <w:rFonts w:hint="eastAsia"/>
          <w:color w:val="auto"/>
          <w:highlight w:val="none"/>
          <w:lang w:eastAsia="zh-Hans"/>
        </w:rPr>
        <w:t>项目不存在重复</w:t>
      </w:r>
      <w:r>
        <w:rPr>
          <w:rFonts w:hint="eastAsia"/>
          <w:color w:val="auto"/>
          <w:highlight w:val="none"/>
        </w:rPr>
        <w:t>。</w:t>
      </w:r>
    </w:p>
    <w:p>
      <w:pPr>
        <w:bidi w:val="0"/>
        <w:rPr>
          <w:rFonts w:hint="eastAsia"/>
          <w:color w:val="auto"/>
          <w:highlight w:val="none"/>
        </w:rPr>
      </w:pPr>
      <w:r>
        <w:rPr>
          <w:rFonts w:hint="eastAsia"/>
          <w:color w:val="auto"/>
          <w:highlight w:val="none"/>
        </w:rPr>
        <w:t>综上</w:t>
      </w:r>
      <w:r>
        <w:rPr>
          <w:rFonts w:hint="eastAsia"/>
          <w:color w:val="auto"/>
          <w:highlight w:val="none"/>
          <w:lang w:val="en-US" w:eastAsia="zh-CN"/>
        </w:rPr>
        <w:t>所述</w:t>
      </w:r>
      <w:r>
        <w:rPr>
          <w:rFonts w:hint="eastAsia"/>
          <w:color w:val="auto"/>
          <w:highlight w:val="none"/>
        </w:rPr>
        <w:t>，该指标满分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pPr>
        <w:bidi w:val="0"/>
        <w:rPr>
          <w:color w:val="auto"/>
          <w:highlight w:val="none"/>
        </w:rPr>
      </w:pPr>
      <w:r>
        <w:rPr>
          <w:rFonts w:hint="eastAsia"/>
          <w:color w:val="auto"/>
          <w:highlight w:val="none"/>
          <w:lang w:val="en-US" w:eastAsia="zh-CN"/>
        </w:rPr>
        <w:t>该</w:t>
      </w:r>
      <w:r>
        <w:rPr>
          <w:rFonts w:hint="eastAsia"/>
          <w:color w:val="auto"/>
          <w:highlight w:val="none"/>
        </w:rPr>
        <w:t>项目按照规定的</w:t>
      </w:r>
      <w:r>
        <w:rPr>
          <w:rFonts w:hint="eastAsia"/>
          <w:color w:val="auto"/>
          <w:highlight w:val="none"/>
          <w:lang w:val="en-US" w:eastAsia="zh-CN"/>
        </w:rPr>
        <w:t>政策</w:t>
      </w:r>
      <w:r>
        <w:rPr>
          <w:rFonts w:hint="eastAsia"/>
          <w:color w:val="auto"/>
          <w:highlight w:val="none"/>
        </w:rPr>
        <w:t>程序申请设立</w:t>
      </w:r>
      <w:r>
        <w:rPr>
          <w:rFonts w:hint="eastAsia"/>
          <w:color w:val="auto"/>
          <w:highlight w:val="none"/>
          <w:lang w:eastAsia="zh-CN"/>
        </w:rPr>
        <w:t>；</w:t>
      </w:r>
      <w:r>
        <w:rPr>
          <w:rFonts w:hint="eastAsia"/>
          <w:color w:val="auto"/>
          <w:highlight w:val="none"/>
        </w:rPr>
        <w:t>事前已经过必要的可行性研究、专家论证、风险评估、绩效评估、集体决策</w:t>
      </w:r>
      <w:r>
        <w:rPr>
          <w:rFonts w:hint="eastAsia"/>
          <w:color w:val="auto"/>
          <w:highlight w:val="none"/>
          <w:lang w:eastAsia="zh-CN"/>
        </w:rPr>
        <w:t>；</w:t>
      </w:r>
      <w:r>
        <w:rPr>
          <w:rFonts w:hint="eastAsia"/>
          <w:color w:val="auto"/>
          <w:highlight w:val="none"/>
          <w:lang w:val="en-US" w:eastAsia="zh-CN"/>
        </w:rPr>
        <w:t>单位按照程序向托克逊县人民政府提交了中央财政疫情防控补助资金的申请报告等相关</w:t>
      </w:r>
      <w:r>
        <w:rPr>
          <w:rFonts w:hint="eastAsia"/>
          <w:color w:val="auto"/>
          <w:highlight w:val="none"/>
        </w:rPr>
        <w:t>符合要求</w:t>
      </w:r>
      <w:r>
        <w:rPr>
          <w:rFonts w:hint="eastAsia"/>
          <w:color w:val="auto"/>
          <w:highlight w:val="none"/>
          <w:lang w:val="en-US" w:eastAsia="zh-CN"/>
        </w:rPr>
        <w:t>的申请</w:t>
      </w:r>
      <w:r>
        <w:rPr>
          <w:rFonts w:hint="eastAsia"/>
          <w:color w:val="auto"/>
          <w:highlight w:val="none"/>
        </w:rPr>
        <w:t>材料</w:t>
      </w:r>
      <w:r>
        <w:rPr>
          <w:rFonts w:hint="eastAsia"/>
          <w:color w:val="auto"/>
          <w:highlight w:val="none"/>
          <w:lang w:val="en-US" w:eastAsia="zh-CN"/>
        </w:rPr>
        <w:t>并通过审批</w:t>
      </w:r>
      <w:r>
        <w:rPr>
          <w:rFonts w:hint="eastAsia"/>
          <w:color w:val="auto"/>
          <w:highlight w:val="none"/>
          <w:lang w:eastAsia="zh-CN"/>
        </w:rPr>
        <w:t>。</w:t>
      </w:r>
      <w:r>
        <w:rPr>
          <w:rFonts w:hint="eastAsia"/>
          <w:color w:val="auto"/>
          <w:highlight w:val="none"/>
        </w:rPr>
        <w:t>综上，该指标满分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pPr>
        <w:pStyle w:val="5"/>
        <w:bidi w:val="0"/>
        <w:rPr>
          <w:rFonts w:hint="eastAsia"/>
          <w:color w:val="auto"/>
          <w:highlight w:val="none"/>
          <w:lang w:val="en-US" w:eastAsia="zh-CN"/>
        </w:rPr>
      </w:pPr>
      <w:r>
        <w:rPr>
          <w:rFonts w:hint="eastAsia"/>
          <w:color w:val="auto"/>
          <w:highlight w:val="none"/>
          <w:lang w:val="en-US" w:eastAsia="zh-CN"/>
        </w:rPr>
        <w:t>2.绩效目标情况分析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pPr>
        <w:bidi w:val="0"/>
        <w:rPr>
          <w:rFonts w:hint="eastAsia"/>
          <w:color w:val="auto"/>
          <w:highlight w:val="none"/>
          <w:lang w:val="en-US" w:eastAsia="zh-CN"/>
        </w:rPr>
      </w:pPr>
      <w:r>
        <w:rPr>
          <w:rFonts w:hint="eastAsia"/>
          <w:color w:val="auto"/>
          <w:highlight w:val="none"/>
        </w:rPr>
        <w:t>①本项目已设置年度绩效目标，具体内容为</w:t>
      </w:r>
      <w:r>
        <w:rPr>
          <w:rFonts w:hint="eastAsia"/>
          <w:color w:val="auto"/>
          <w:highlight w:val="none"/>
          <w:lang w:eastAsia="zh-CN"/>
        </w:rPr>
        <w:t>：</w:t>
      </w:r>
      <w:r>
        <w:rPr>
          <w:rFonts w:hint="eastAsia"/>
          <w:color w:val="auto"/>
          <w:highlight w:val="none"/>
          <w:lang w:val="en-US" w:eastAsia="zh-CN"/>
        </w:rPr>
        <w:t>加强疫情防控工作经费保障，提高疫情防控能力，切实做好新型冠状病毒感染肺炎疫情防控，疫情监测和常态化预警能力建设</w:t>
      </w:r>
      <w:r>
        <w:rPr>
          <w:rFonts w:hint="eastAsia"/>
          <w:color w:val="auto"/>
          <w:highlight w:val="none"/>
          <w:lang w:eastAsia="zh-CN"/>
        </w:rPr>
        <w:t>。</w:t>
      </w:r>
    </w:p>
    <w:p>
      <w:pP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了各项产出指标和效益指标</w:t>
      </w:r>
      <w:r>
        <w:rPr>
          <w:rFonts w:hint="eastAsia"/>
          <w:color w:val="auto"/>
          <w:highlight w:val="none"/>
        </w:rPr>
        <w:t>，预期产出效益和效果符合正常的业绩水平。</w:t>
      </w:r>
    </w:p>
    <w:p>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2947</w:t>
      </w:r>
      <w:r>
        <w:rPr>
          <w:color w:val="auto"/>
          <w:highlight w:val="none"/>
        </w:rPr>
        <w:t>万元，《财政项目支出绩效目标表</w:t>
      </w:r>
      <w:r>
        <w:rPr>
          <w:rFonts w:hint="eastAsia"/>
          <w:color w:val="auto"/>
          <w:highlight w:val="none"/>
        </w:rPr>
        <w:t>》</w:t>
      </w:r>
      <w:r>
        <w:rPr>
          <w:color w:val="auto"/>
          <w:highlight w:val="none"/>
        </w:rPr>
        <w:t>中</w:t>
      </w:r>
      <w:r>
        <w:rPr>
          <w:rFonts w:hint="eastAsia"/>
          <w:color w:val="auto"/>
          <w:highlight w:val="none"/>
          <w:lang w:val="en-US" w:eastAsia="zh-CN"/>
        </w:rPr>
        <w:t>全年</w:t>
      </w:r>
      <w:r>
        <w:rPr>
          <w:color w:val="auto"/>
          <w:highlight w:val="none"/>
        </w:rPr>
        <w:t>预算金额为</w:t>
      </w:r>
      <w:r>
        <w:rPr>
          <w:rFonts w:hint="eastAsia"/>
          <w:color w:val="auto"/>
          <w:highlight w:val="none"/>
          <w:lang w:val="en-US" w:eastAsia="zh-CN"/>
        </w:rPr>
        <w:t>2947</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pPr>
        <w:bidi w:val="0"/>
        <w:rPr>
          <w:rFonts w:hint="eastAsia"/>
          <w:color w:val="auto"/>
          <w:highlight w:val="none"/>
          <w:lang w:val="en-US" w:eastAsia="zh-CN"/>
        </w:rPr>
      </w:pPr>
      <w:r>
        <w:rPr>
          <w:rFonts w:hint="eastAsia"/>
          <w:color w:val="auto"/>
          <w:highlight w:val="none"/>
          <w:lang w:val="en-US" w:eastAsia="zh-CN"/>
        </w:rPr>
        <w:t>综上所述，该指标满分4分，根据评分标准得2分，绩效目标设置合理。</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pPr>
        <w:bidi w:val="0"/>
        <w:rPr>
          <w:rFonts w:hint="eastAsia"/>
          <w:color w:val="auto"/>
          <w:highlight w:val="none"/>
          <w:lang w:eastAsia="zh-CN"/>
        </w:rPr>
      </w:pPr>
      <w:r>
        <w:rPr>
          <w:rFonts w:hint="eastAsia"/>
          <w:color w:val="auto"/>
          <w:highlight w:val="none"/>
          <w:lang w:eastAsia="zh-CN"/>
        </w:rPr>
        <w:t>经检查，我单位年初设置的《项目支出绩效目标表》：</w:t>
      </w:r>
    </w:p>
    <w:p>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将项目绩效目标细化分解为具体的绩效指标，</w:t>
      </w:r>
      <w:r>
        <w:rPr>
          <w:rFonts w:hint="eastAsia"/>
          <w:color w:val="auto"/>
          <w:highlight w:val="none"/>
          <w:lang w:val="en-US" w:eastAsia="zh-CN"/>
        </w:rPr>
        <w:t>指标</w:t>
      </w:r>
      <w:r>
        <w:rPr>
          <w:rFonts w:hint="eastAsia"/>
          <w:color w:val="auto"/>
          <w:highlight w:val="none"/>
          <w:lang w:eastAsia="zh-CN"/>
        </w:rPr>
        <w:t>量化率达70%以上；</w:t>
      </w:r>
    </w:p>
    <w:p>
      <w:pPr>
        <w:bidi w:val="0"/>
        <w:rPr>
          <w:rFonts w:hint="eastAsia"/>
          <w:color w:val="auto"/>
          <w:highlight w:val="none"/>
          <w:lang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w:t>
      </w:r>
      <w:r>
        <w:rPr>
          <w:rFonts w:hint="eastAsia"/>
          <w:color w:val="auto"/>
          <w:highlight w:val="none"/>
          <w:lang w:val="en-US" w:eastAsia="zh-CN"/>
        </w:rPr>
        <w:t>我单位各项三级指标</w:t>
      </w:r>
      <w:r>
        <w:rPr>
          <w:rFonts w:hint="eastAsia"/>
          <w:color w:val="auto"/>
          <w:highlight w:val="none"/>
          <w:lang w:eastAsia="zh-CN"/>
        </w:rPr>
        <w:t>通过清晰、可衡量的指标值予以体现；</w:t>
      </w:r>
    </w:p>
    <w:p>
      <w:pP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2.40</w:t>
      </w:r>
      <w:r>
        <w:rPr>
          <w:rFonts w:hint="eastAsia" w:ascii="仿宋_GB2312" w:cs="仿宋_GB2312"/>
          <w:color w:val="auto"/>
          <w:szCs w:val="28"/>
          <w:highlight w:val="none"/>
          <w:lang w:eastAsia="zh-CN"/>
        </w:rPr>
        <w:t>分，本项目所设置绩效指标明确。</w:t>
      </w:r>
    </w:p>
    <w:p>
      <w:pPr>
        <w:pStyle w:val="5"/>
        <w:bidi w:val="0"/>
        <w:rPr>
          <w:color w:val="auto"/>
          <w:highlight w:val="none"/>
        </w:rPr>
      </w:pPr>
      <w:r>
        <w:rPr>
          <w:rFonts w:hint="eastAsia"/>
          <w:color w:val="auto"/>
          <w:highlight w:val="none"/>
          <w:lang w:val="en-US" w:eastAsia="zh-CN"/>
        </w:rPr>
        <w:t>3.资金投入情况分析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，预算编制较科学且经过论证</w:t>
      </w:r>
      <w:r>
        <w:rPr>
          <w:rFonts w:hint="eastAsia" w:ascii="仿宋_GB2312"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2947</w:t>
      </w:r>
      <w:r>
        <w:rPr>
          <w:rFonts w:hint="eastAsia" w:ascii="仿宋_GB2312" w:cs="仿宋_GB2312"/>
          <w:color w:val="auto"/>
          <w:sz w:val="28"/>
          <w:szCs w:val="28"/>
          <w:highlight w:val="none"/>
        </w:rPr>
        <w:t>万元，主要用于支付</w:t>
      </w:r>
      <w:r>
        <w:rPr>
          <w:rFonts w:hint="eastAsia" w:ascii="仿宋_GB2312" w:cs="仿宋_GB2312"/>
          <w:color w:val="auto"/>
          <w:sz w:val="28"/>
          <w:szCs w:val="28"/>
          <w:highlight w:val="none"/>
          <w:lang w:val="en-US" w:eastAsia="zh-CN"/>
        </w:rPr>
        <w:t>2022年疫情</w:t>
      </w:r>
      <w:r>
        <w:rPr>
          <w:rFonts w:hint="eastAsia" w:ascii="仿宋_GB2312" w:cs="仿宋_GB2312"/>
          <w:color w:val="auto"/>
          <w:sz w:val="28"/>
          <w:szCs w:val="28"/>
          <w:highlight w:val="none"/>
        </w:rPr>
        <w:t>，</w:t>
      </w:r>
      <w:r>
        <w:rPr>
          <w:rFonts w:hint="eastAsia"/>
          <w:color w:val="auto"/>
          <w:highlight w:val="none"/>
          <w:lang w:eastAsia="zh-CN"/>
        </w:rPr>
        <w:t>预算内容与项目内容匹配；</w:t>
      </w:r>
    </w:p>
    <w:p>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highlight w:val="none"/>
        </w:rPr>
        <w:t>③我单位在预算申请中严格按照单位标准和数量进行核算，</w:t>
      </w:r>
      <w:r>
        <w:rPr>
          <w:rFonts w:hint="eastAsia"/>
          <w:color w:val="auto"/>
          <w:highlight w:val="none"/>
          <w:lang w:eastAsia="zh-CN"/>
        </w:rPr>
        <w:t>预算额度测算依据充分，按照标准编制；</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lang w:eastAsia="zh-CN"/>
        </w:rPr>
      </w:pPr>
      <w:r>
        <w:rPr>
          <w:rFonts w:hint="eastAsia"/>
          <w:color w:val="auto"/>
          <w:highlight w:val="none"/>
        </w:rPr>
        <w:t>④</w:t>
      </w:r>
      <w:r>
        <w:rPr>
          <w:rFonts w:hint="eastAsia" w:ascii="仿宋_GB2312" w:cs="仿宋_GB2312"/>
          <w:color w:val="auto"/>
          <w:sz w:val="28"/>
          <w:szCs w:val="28"/>
          <w:highlight w:val="none"/>
          <w:lang w:val="en-US" w:eastAsia="zh-CN"/>
        </w:rPr>
        <w:t>本项目资金主要用于偿还2022年疫情期间债务</w:t>
      </w:r>
      <w:r>
        <w:rPr>
          <w:rFonts w:hint="eastAsia" w:ascii="仿宋_GB2312" w:cs="仿宋_GB2312"/>
          <w:color w:val="auto"/>
          <w:sz w:val="28"/>
          <w:szCs w:val="28"/>
          <w:highlight w:val="none"/>
        </w:rPr>
        <w:t>费用</w:t>
      </w:r>
      <w:r>
        <w:rPr>
          <w:rFonts w:hint="eastAsia" w:ascii="仿宋_GB2312" w:cs="仿宋_GB2312"/>
          <w:color w:val="auto"/>
          <w:sz w:val="28"/>
          <w:szCs w:val="28"/>
          <w:highlight w:val="none"/>
          <w:lang w:val="en-US" w:eastAsia="zh-CN"/>
        </w:rPr>
        <w:t>2947</w:t>
      </w:r>
      <w:r>
        <w:rPr>
          <w:rFonts w:hint="eastAsia" w:ascii="仿宋_GB2312" w:cs="仿宋_GB2312"/>
          <w:color w:val="auto"/>
          <w:sz w:val="28"/>
          <w:szCs w:val="28"/>
          <w:highlight w:val="none"/>
        </w:rPr>
        <w:t>万元</w:t>
      </w:r>
      <w:r>
        <w:rPr>
          <w:rFonts w:hint="eastAsia" w:ascii="仿宋_GB2312" w:cs="仿宋_GB2312"/>
          <w:color w:val="auto"/>
          <w:sz w:val="28"/>
          <w:szCs w:val="28"/>
          <w:highlight w:val="none"/>
          <w:lang w:eastAsia="zh-CN"/>
        </w:rPr>
        <w:t>，</w:t>
      </w:r>
      <w:r>
        <w:rPr>
          <w:rFonts w:hint="eastAsia" w:ascii="仿宋_GB2312" w:cs="仿宋_GB2312"/>
          <w:color w:val="auto"/>
          <w:sz w:val="28"/>
          <w:szCs w:val="28"/>
          <w:highlight w:val="none"/>
        </w:rPr>
        <w:t>预算确定资金量与实际工作任务</w:t>
      </w:r>
      <w:r>
        <w:rPr>
          <w:rFonts w:hint="eastAsia" w:ascii="仿宋_GB2312" w:cs="仿宋_GB2312"/>
          <w:color w:val="auto"/>
          <w:sz w:val="28"/>
          <w:szCs w:val="28"/>
          <w:highlight w:val="none"/>
          <w:lang w:val="en-US" w:eastAsia="zh-CN"/>
        </w:rPr>
        <w:t>不完全</w:t>
      </w:r>
      <w:r>
        <w:rPr>
          <w:rFonts w:hint="eastAsia" w:ascii="仿宋_GB2312" w:cs="仿宋_GB2312"/>
          <w:color w:val="auto"/>
          <w:sz w:val="28"/>
          <w:szCs w:val="28"/>
          <w:highlight w:val="none"/>
        </w:rPr>
        <w:t>匹配。</w:t>
      </w:r>
    </w:p>
    <w:p>
      <w:pPr>
        <w:pageBreakBefore w:val="0"/>
        <w:kinsoku/>
        <w:wordWrap/>
        <w:topLinePunct w:val="0"/>
        <w:autoSpaceDE/>
        <w:autoSpaceDN/>
        <w:bidi w:val="0"/>
        <w:spacing w:line="560" w:lineRule="exact"/>
        <w:ind w:right="0" w:rightChars="0" w:firstLine="643"/>
        <w:rPr>
          <w:rFonts w:ascii="仿宋_GB2312" w:cs="仿宋_GB2312"/>
          <w:color w:val="auto"/>
          <w:sz w:val="28"/>
          <w:szCs w:val="28"/>
          <w:highlight w:val="none"/>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分，本项目预算编制科学。</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cs="仿宋_GB2312"/>
          <w:color w:val="auto"/>
          <w:highlight w:val="none"/>
          <w:lang w:bidi="ar"/>
        </w:rPr>
        <w:t>本</w:t>
      </w:r>
      <w:r>
        <w:rPr>
          <w:rFonts w:hint="eastAsia"/>
          <w:color w:val="auto"/>
          <w:highlight w:val="none"/>
          <w:lang w:bidi="ar"/>
        </w:rPr>
        <w:t>项目实际分配资金以</w:t>
      </w:r>
      <w:r>
        <w:rPr>
          <w:rFonts w:hint="eastAsia"/>
          <w:color w:val="auto"/>
          <w:highlight w:val="none"/>
          <w:lang w:eastAsia="zh-Hans" w:bidi="ar"/>
        </w:rPr>
        <w:t>《关于</w:t>
      </w:r>
      <w:r>
        <w:rPr>
          <w:rFonts w:hint="eastAsia"/>
          <w:color w:val="auto"/>
          <w:highlight w:val="none"/>
          <w:lang w:bidi="ar"/>
        </w:rPr>
        <w:t>申请</w:t>
      </w:r>
      <w:r>
        <w:rPr>
          <w:rFonts w:hint="eastAsia"/>
          <w:color w:val="auto"/>
          <w:highlight w:val="none"/>
          <w:lang w:val="en-US" w:eastAsia="zh-CN" w:bidi="ar"/>
        </w:rPr>
        <w:t>中央财政疫情防控补助</w:t>
      </w:r>
      <w:r>
        <w:rPr>
          <w:rFonts w:hint="eastAsia"/>
          <w:color w:val="auto"/>
          <w:highlight w:val="none"/>
          <w:lang w:bidi="ar"/>
        </w:rPr>
        <w:t>项目资金的请示</w:t>
      </w:r>
      <w:r>
        <w:rPr>
          <w:rFonts w:hint="eastAsia"/>
          <w:color w:val="auto"/>
          <w:highlight w:val="none"/>
          <w:lang w:eastAsia="zh-Hans" w:bidi="ar"/>
        </w:rPr>
        <w:t>》为依据进行资金分配，预算资金分配依据充分</w:t>
      </w:r>
      <w:r>
        <w:rPr>
          <w:rFonts w:hint="eastAsia"/>
          <w:color w:val="auto"/>
          <w:highlight w:val="none"/>
          <w:lang w:bidi="ar"/>
        </w:rPr>
        <w:t>。根据</w:t>
      </w:r>
      <w:r>
        <w:rPr>
          <w:rFonts w:hint="eastAsia"/>
          <w:color w:val="auto"/>
          <w:highlight w:val="none"/>
          <w:lang w:val="en-US" w:eastAsia="zh-CN" w:bidi="ar"/>
        </w:rPr>
        <w:t>吐市财预【2023】13号</w:t>
      </w:r>
      <w:r>
        <w:rPr>
          <w:rFonts w:hint="eastAsia"/>
          <w:color w:val="auto"/>
          <w:highlight w:val="none"/>
          <w:lang w:bidi="ar"/>
        </w:rPr>
        <w:t>文件显示，本项目实际到位资金</w:t>
      </w:r>
      <w:r>
        <w:rPr>
          <w:rFonts w:hint="eastAsia"/>
          <w:color w:val="auto"/>
          <w:highlight w:val="none"/>
          <w:lang w:val="en-US" w:eastAsia="zh-CN" w:bidi="ar"/>
        </w:rPr>
        <w:t>2947</w:t>
      </w:r>
      <w:r>
        <w:rPr>
          <w:rFonts w:hint="eastAsia"/>
          <w:color w:val="auto"/>
          <w:highlight w:val="none"/>
          <w:lang w:bidi="ar"/>
        </w:rPr>
        <w:t>万元，实际分配资金与我单位提交申请的资金额度一致，</w:t>
      </w:r>
      <w:r>
        <w:rPr>
          <w:rFonts w:hint="eastAsia"/>
          <w:color w:val="auto"/>
          <w:highlight w:val="none"/>
          <w:lang w:eastAsia="zh-Hans" w:bidi="ar"/>
        </w:rPr>
        <w:t>资金分配额度合理，与</w:t>
      </w:r>
      <w:r>
        <w:rPr>
          <w:rFonts w:hint="eastAsia"/>
          <w:color w:val="auto"/>
          <w:highlight w:val="none"/>
          <w:lang w:bidi="ar"/>
        </w:rPr>
        <w:t>我</w:t>
      </w:r>
      <w:r>
        <w:rPr>
          <w:rFonts w:hint="eastAsia"/>
          <w:color w:val="auto"/>
          <w:highlight w:val="none"/>
          <w:lang w:eastAsia="zh-Hans" w:bidi="ar"/>
        </w:rPr>
        <w:t>单位实际</w:t>
      </w:r>
      <w:r>
        <w:rPr>
          <w:rFonts w:hint="eastAsia"/>
          <w:color w:val="auto"/>
          <w:highlight w:val="none"/>
          <w:lang w:bidi="ar"/>
        </w:rPr>
        <w:t>需求</w:t>
      </w:r>
      <w:r>
        <w:rPr>
          <w:rFonts w:hint="eastAsia"/>
          <w:color w:val="auto"/>
          <w:highlight w:val="none"/>
          <w:lang w:eastAsia="zh-Hans" w:bidi="ar"/>
        </w:rPr>
        <w:t>相适应</w:t>
      </w:r>
      <w:r>
        <w:rPr>
          <w:rFonts w:hint="eastAsia"/>
          <w:color w:val="auto"/>
          <w:highlight w:val="none"/>
          <w:lang w:bidi="ar"/>
        </w:rPr>
        <w:t>。</w:t>
      </w:r>
    </w:p>
    <w:p>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分，本项</w:t>
      </w:r>
      <w:r>
        <w:rPr>
          <w:rFonts w:hint="eastAsia" w:ascii="仿宋_GB2312" w:hAnsi="Times New Roman" w:cs="仿宋_GB2312"/>
          <w:color w:val="auto"/>
          <w:sz w:val="28"/>
          <w:szCs w:val="28"/>
          <w:highlight w:val="none"/>
        </w:rPr>
        <w:t>目资金分配合理。</w:t>
      </w:r>
    </w:p>
    <w:p>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19</w:t>
      </w:r>
      <w:r>
        <w:rPr>
          <w:rFonts w:hint="eastAsia" w:ascii="仿宋_GB2312" w:cs="仿宋_GB2312"/>
          <w:color w:val="auto"/>
          <w:sz w:val="28"/>
          <w:szCs w:val="28"/>
          <w:highlight w:val="none"/>
        </w:rPr>
        <w:t>分。</w:t>
      </w:r>
    </w:p>
    <w:p>
      <w:pPr>
        <w:pStyle w:val="5"/>
        <w:bidi w:val="0"/>
        <w:rPr>
          <w:rFonts w:hint="eastAsia"/>
          <w:color w:val="auto"/>
          <w:highlight w:val="none"/>
          <w:lang w:val="en-US" w:eastAsia="zh-CN"/>
        </w:rPr>
      </w:pPr>
      <w:r>
        <w:rPr>
          <w:rFonts w:hint="eastAsia"/>
          <w:color w:val="auto"/>
          <w:highlight w:val="none"/>
          <w:lang w:val="en-US" w:eastAsia="zh-CN"/>
        </w:rPr>
        <w:t>1.资金管理情况分析</w:t>
      </w:r>
    </w:p>
    <w:p>
      <w:pPr>
        <w:bidi w:val="0"/>
        <w:rPr>
          <w:rFonts w:hint="eastAsia"/>
          <w:b/>
          <w:bCs/>
          <w:color w:val="auto"/>
          <w:highlight w:val="none"/>
        </w:rPr>
      </w:pPr>
      <w:r>
        <w:rPr>
          <w:rFonts w:hint="eastAsia"/>
          <w:b/>
          <w:bCs/>
          <w:color w:val="auto"/>
          <w:highlight w:val="none"/>
        </w:rPr>
        <w:t>（1）资金到位率：</w:t>
      </w:r>
    </w:p>
    <w:p>
      <w:pPr>
        <w:bidi w:val="0"/>
        <w:rPr>
          <w:rFonts w:hint="eastAsia"/>
          <w:color w:val="auto"/>
          <w:highlight w:val="none"/>
        </w:rPr>
      </w:pPr>
      <w:r>
        <w:rPr>
          <w:rFonts w:hint="eastAsia"/>
          <w:color w:val="auto"/>
          <w:highlight w:val="none"/>
        </w:rPr>
        <w:t>本项目预算资金为</w:t>
      </w:r>
      <w:r>
        <w:rPr>
          <w:rFonts w:hint="eastAsia"/>
          <w:color w:val="auto"/>
          <w:highlight w:val="none"/>
          <w:lang w:val="en-US" w:eastAsia="zh-CN"/>
        </w:rPr>
        <w:t>2947</w:t>
      </w:r>
      <w:r>
        <w:rPr>
          <w:rFonts w:hint="eastAsia"/>
          <w:color w:val="auto"/>
          <w:highlight w:val="none"/>
        </w:rPr>
        <w:t>万元，其中：本级财政安排资金</w:t>
      </w:r>
      <w:r>
        <w:rPr>
          <w:rFonts w:hint="eastAsia"/>
          <w:color w:val="auto"/>
          <w:highlight w:val="none"/>
          <w:lang w:val="en-US" w:eastAsia="zh-CN"/>
        </w:rPr>
        <w:t>0</w:t>
      </w:r>
      <w:r>
        <w:rPr>
          <w:rFonts w:hint="eastAsia"/>
          <w:color w:val="auto"/>
          <w:highlight w:val="none"/>
        </w:rPr>
        <w:t>万元，其他资金</w:t>
      </w:r>
      <w:r>
        <w:rPr>
          <w:rFonts w:hint="eastAsia"/>
          <w:color w:val="auto"/>
          <w:highlight w:val="none"/>
          <w:lang w:val="en-US" w:eastAsia="zh-CN"/>
        </w:rPr>
        <w:t>0</w:t>
      </w:r>
      <w:r>
        <w:rPr>
          <w:rFonts w:hint="eastAsia"/>
          <w:color w:val="auto"/>
          <w:highlight w:val="none"/>
        </w:rPr>
        <w:t>万元，实际到位资金</w:t>
      </w:r>
      <w:r>
        <w:rPr>
          <w:rFonts w:hint="eastAsia"/>
          <w:color w:val="auto"/>
          <w:highlight w:val="none"/>
          <w:lang w:val="en-US" w:eastAsia="zh-CN"/>
        </w:rPr>
        <w:t>2947</w:t>
      </w:r>
      <w:r>
        <w:rPr>
          <w:rFonts w:hint="eastAsia"/>
          <w:color w:val="auto"/>
          <w:highlight w:val="none"/>
        </w:rPr>
        <w:t>万元，资金到位率=（实际到位资金/预算资金）×100%=</w:t>
      </w:r>
      <w:r>
        <w:rPr>
          <w:rFonts w:hint="eastAsia" w:ascii="Times New Roman" w:hAnsi="Times New Roman" w:cs="Times New Roman"/>
          <w:color w:val="auto"/>
          <w:highlight w:val="none"/>
        </w:rPr>
        <w:t>（</w:t>
      </w:r>
      <w:r>
        <w:rPr>
          <w:rFonts w:hint="eastAsia" w:ascii="Times New Roman" w:hAnsi="Times New Roman" w:cs="Times New Roman"/>
          <w:color w:val="auto"/>
          <w:highlight w:val="none"/>
          <w:lang w:val="en-US" w:eastAsia="zh-CN"/>
        </w:rPr>
        <w:t>2947</w:t>
      </w:r>
      <w:r>
        <w:rPr>
          <w:rFonts w:hint="eastAsia" w:ascii="Times New Roman" w:hAnsi="Times New Roman" w:cs="Times New Roman"/>
          <w:color w:val="auto"/>
          <w:highlight w:val="none"/>
        </w:rPr>
        <w:t>/</w:t>
      </w:r>
      <w:r>
        <w:rPr>
          <w:rFonts w:hint="eastAsia" w:ascii="Times New Roman" w:hAnsi="Times New Roman" w:cs="Times New Roman"/>
          <w:color w:val="auto"/>
          <w:highlight w:val="none"/>
          <w:lang w:val="en-US" w:eastAsia="zh-CN"/>
        </w:rPr>
        <w:t>2947</w:t>
      </w:r>
      <w:r>
        <w:rPr>
          <w:rFonts w:hint="eastAsia" w:ascii="Times New Roman" w:hAnsi="Times New Roman" w:cs="Times New Roman"/>
          <w:color w:val="auto"/>
          <w:highlight w:val="none"/>
        </w:rPr>
        <w:t>）</w:t>
      </w:r>
      <w:r>
        <w:rPr>
          <w:rFonts w:hint="eastAsia"/>
          <w:color w:val="auto"/>
          <w:highlight w:val="none"/>
        </w:rPr>
        <w:t>*100%=</w:t>
      </w:r>
      <w:r>
        <w:rPr>
          <w:rFonts w:hint="eastAsia"/>
          <w:color w:val="auto"/>
          <w:highlight w:val="none"/>
          <w:lang w:val="en-US" w:eastAsia="zh-CN"/>
        </w:rPr>
        <w:t>100</w:t>
      </w:r>
      <w:r>
        <w:rPr>
          <w:rFonts w:hint="eastAsia"/>
          <w:color w:val="auto"/>
          <w:highlight w:val="none"/>
        </w:rPr>
        <w:t>%。得分=资金到位率*分值=</w:t>
      </w:r>
      <w:r>
        <w:rPr>
          <w:rFonts w:hint="eastAsia"/>
          <w:color w:val="auto"/>
          <w:highlight w:val="none"/>
          <w:lang w:val="en-US" w:eastAsia="zh-CN"/>
        </w:rPr>
        <w:t>100</w:t>
      </w:r>
      <w:r>
        <w:rPr>
          <w:rFonts w:hint="eastAsia"/>
          <w:color w:val="auto"/>
          <w:highlight w:val="none"/>
        </w:rPr>
        <w:t>%*</w:t>
      </w:r>
      <w:r>
        <w:rPr>
          <w:rFonts w:hint="eastAsia"/>
          <w:color w:val="auto"/>
          <w:highlight w:val="none"/>
          <w:lang w:val="en-US" w:eastAsia="zh-CN"/>
        </w:rPr>
        <w:t>4</w:t>
      </w:r>
      <w:r>
        <w:rPr>
          <w:rFonts w:hint="eastAsia"/>
          <w:color w:val="auto"/>
          <w:highlight w:val="none"/>
        </w:rPr>
        <w:t>=</w:t>
      </w:r>
      <w:r>
        <w:rPr>
          <w:rFonts w:hint="eastAsia"/>
          <w:color w:val="auto"/>
          <w:highlight w:val="none"/>
          <w:lang w:val="en-US" w:eastAsia="zh-CN"/>
        </w:rPr>
        <w:t>4</w:t>
      </w:r>
      <w:r>
        <w:rPr>
          <w:rFonts w:hint="eastAsia"/>
          <w:color w:val="auto"/>
          <w:highlight w:val="none"/>
        </w:rPr>
        <w:t>分。</w:t>
      </w:r>
    </w:p>
    <w:p>
      <w:pP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2947</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2947</w:t>
      </w:r>
      <w:r>
        <w:rPr>
          <w:rFonts w:hint="eastAsia" w:ascii="仿宋_GB2312" w:cs="仿宋_GB2312"/>
          <w:color w:val="auto"/>
          <w:sz w:val="28"/>
          <w:szCs w:val="28"/>
          <w:highlight w:val="none"/>
        </w:rPr>
        <w:t>万元，预算执行率=（实际支出资金/实际到位资金）×100%=（</w:t>
      </w:r>
      <w:r>
        <w:rPr>
          <w:rFonts w:hint="eastAsia" w:ascii="仿宋_GB2312" w:cs="仿宋_GB2312"/>
          <w:color w:val="auto"/>
          <w:sz w:val="28"/>
          <w:szCs w:val="28"/>
          <w:highlight w:val="none"/>
          <w:lang w:val="en-US" w:eastAsia="zh-CN"/>
        </w:rPr>
        <w:t>2947</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val="en-US" w:eastAsia="zh-CN"/>
        </w:rPr>
        <w:t>2947</w:t>
      </w:r>
      <w:r>
        <w:rPr>
          <w:rFonts w:hint="eastAsia" w:ascii="仿宋_GB2312" w:cs="仿宋_GB2312"/>
          <w:color w:val="auto"/>
          <w:sz w:val="28"/>
          <w:szCs w:val="28"/>
          <w:highlight w:val="none"/>
        </w:rPr>
        <w:t>）×100%=</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ageBreakBefore w:val="0"/>
        <w:kinsoku/>
        <w:wordWrap/>
        <w:topLinePunct w:val="0"/>
        <w:autoSpaceDE/>
        <w:autoSpaceDN/>
        <w:bidi w:val="0"/>
        <w:spacing w:line="560" w:lineRule="exact"/>
        <w:ind w:right="0" w:rightChars="0" w:firstLine="643"/>
        <w:rPr>
          <w:rFonts w:hint="eastAsia" w:ascii="Times New Roman" w:hAnsi="Times New Roman"/>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pPr>
        <w:bidi w:val="0"/>
        <w:rPr>
          <w:rFonts w:hint="eastAsia"/>
          <w:color w:val="auto"/>
          <w:highlight w:val="none"/>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val="en-US" w:eastAsia="zh-CN"/>
        </w:rPr>
        <w:t>托克逊县卫生健康委员会</w:t>
      </w:r>
      <w:r>
        <w:rPr>
          <w:rFonts w:hint="eastAsia"/>
          <w:color w:val="auto"/>
          <w:highlight w:val="none"/>
        </w:rPr>
        <w:t>单位资金管理办法》，资金的拨付有完整的审批程序和手续，资金实际使用方向与预算批复用途一致，不存在截留、挤占、挪用、虚列支出的情况。</w:t>
      </w:r>
    </w:p>
    <w:p>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分,本项目</w:t>
      </w:r>
      <w:r>
        <w:rPr>
          <w:rFonts w:hint="eastAsia"/>
          <w:color w:val="auto"/>
          <w:highlight w:val="none"/>
          <w:lang w:val="en-US" w:eastAsia="zh-CN"/>
        </w:rPr>
        <w:t>资金使用合规。</w:t>
      </w:r>
    </w:p>
    <w:p>
      <w:pPr>
        <w:pStyle w:val="5"/>
        <w:bidi w:val="0"/>
        <w:rPr>
          <w:rFonts w:hint="eastAsia"/>
          <w:color w:val="auto"/>
          <w:highlight w:val="none"/>
          <w:lang w:val="en-US" w:eastAsia="zh-CN"/>
        </w:rPr>
      </w:pPr>
      <w:r>
        <w:rPr>
          <w:rFonts w:hint="eastAsia"/>
          <w:color w:val="auto"/>
          <w:highlight w:val="none"/>
          <w:lang w:val="en-US" w:eastAsia="zh-CN"/>
        </w:rPr>
        <w:t>2.组织实施情况分析</w:t>
      </w:r>
    </w:p>
    <w:p>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pPr>
        <w:bidi w:val="0"/>
        <w:rPr>
          <w:rFonts w:hint="eastAsia"/>
          <w:color w:val="auto"/>
          <w:highlight w:val="none"/>
        </w:rPr>
      </w:pPr>
      <w:r>
        <w:rPr>
          <w:rFonts w:hint="eastAsia"/>
          <w:color w:val="auto"/>
          <w:highlight w:val="none"/>
        </w:rPr>
        <w:t>我单位已制定《</w:t>
      </w:r>
      <w:r>
        <w:rPr>
          <w:rFonts w:hint="eastAsia"/>
          <w:color w:val="auto"/>
          <w:highlight w:val="none"/>
          <w:lang w:val="en-US" w:eastAsia="zh-CN"/>
        </w:rPr>
        <w:t>卫生健康委员会</w:t>
      </w:r>
      <w:r>
        <w:rPr>
          <w:rFonts w:hint="eastAsia"/>
          <w:color w:val="auto"/>
          <w:highlight w:val="none"/>
        </w:rPr>
        <w:t>采购业务管理制度》《</w:t>
      </w:r>
      <w:r>
        <w:rPr>
          <w:rFonts w:hint="eastAsia"/>
          <w:color w:val="auto"/>
          <w:highlight w:val="none"/>
          <w:lang w:val="en-US" w:eastAsia="zh-CN"/>
        </w:rPr>
        <w:t>卫生健康委员会内部控制</w:t>
      </w:r>
      <w:r>
        <w:rPr>
          <w:rFonts w:hint="eastAsia"/>
          <w:color w:val="auto"/>
          <w:highlight w:val="none"/>
        </w:rPr>
        <w:t>制度》等，上述已建立的制度均符合行政事业单位内控管理要求，财务和业务管理制度合法、合规、完整，本项目执行符合上述制度规定。</w:t>
      </w:r>
    </w:p>
    <w:p>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pP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pPr>
        <w:bidi w:val="0"/>
        <w:rPr>
          <w:rFonts w:hint="eastAsia"/>
          <w:color w:val="auto"/>
          <w:highlight w:val="none"/>
        </w:rPr>
      </w:pPr>
      <w:r>
        <w:rPr>
          <w:rFonts w:hint="eastAsia"/>
          <w:color w:val="auto"/>
          <w:highlight w:val="none"/>
        </w:rPr>
        <w:t>经对比分析本项目实际执行过程资料和已建立的项目管理制度和财务管理制度，得出本项目严格按照本单位已建立制度执行。项目资金支出严格按照自治区、地区、市以及本单位资金管理办法</w:t>
      </w:r>
      <w:r>
        <w:rPr>
          <w:rFonts w:hint="eastAsia"/>
          <w:color w:val="auto"/>
          <w:highlight w:val="none"/>
          <w:lang w:eastAsia="zh-CN"/>
        </w:rPr>
        <w:t>执行</w:t>
      </w:r>
      <w:r>
        <w:rPr>
          <w:rFonts w:hint="eastAsia"/>
          <w:color w:val="auto"/>
          <w:highlight w:val="none"/>
        </w:rPr>
        <w:t>，项目启动实施后，为了加快本项目的实施，成立了</w:t>
      </w:r>
      <w:r>
        <w:rPr>
          <w:rFonts w:hint="eastAsia" w:ascii="Times New Roman" w:hAnsi="Times New Roman" w:cs="Times New Roman"/>
          <w:color w:val="auto"/>
          <w:highlight w:val="none"/>
        </w:rPr>
        <w:t>中央财政疫情防控补助资金</w:t>
      </w:r>
      <w:r>
        <w:rPr>
          <w:rFonts w:hint="eastAsia"/>
          <w:color w:val="auto"/>
          <w:highlight w:val="none"/>
        </w:rPr>
        <w:t>项目工作领导小组，由党组书记</w:t>
      </w:r>
      <w:r>
        <w:rPr>
          <w:rFonts w:hint="eastAsia"/>
          <w:color w:val="auto"/>
          <w:highlight w:val="none"/>
          <w:lang w:val="en-US" w:eastAsia="zh-CN"/>
        </w:rPr>
        <w:t>朱立行</w:t>
      </w:r>
      <w:r>
        <w:rPr>
          <w:rFonts w:hint="eastAsia"/>
          <w:color w:val="auto"/>
          <w:highlight w:val="none"/>
        </w:rPr>
        <w:t>任组长，负责项目的组织工作；</w:t>
      </w:r>
      <w:r>
        <w:rPr>
          <w:rFonts w:hint="eastAsia"/>
          <w:color w:val="auto"/>
          <w:highlight w:val="none"/>
          <w:lang w:val="en-US" w:eastAsia="zh-CN"/>
        </w:rPr>
        <w:t>张亮仁</w:t>
      </w:r>
      <w:r>
        <w:rPr>
          <w:rFonts w:hint="eastAsia"/>
          <w:color w:val="auto"/>
          <w:highlight w:val="none"/>
        </w:rPr>
        <w:t>任副组长，负责项目的实施工作；组员包括：</w:t>
      </w:r>
      <w:r>
        <w:rPr>
          <w:rFonts w:hint="eastAsia"/>
          <w:color w:val="auto"/>
          <w:highlight w:val="none"/>
          <w:lang w:val="en-US" w:eastAsia="zh-CN"/>
        </w:rPr>
        <w:t>寇洪鑫</w:t>
      </w:r>
      <w:r>
        <w:rPr>
          <w:rFonts w:hint="eastAsia"/>
          <w:color w:val="auto"/>
          <w:highlight w:val="none"/>
        </w:rPr>
        <w:t>和</w:t>
      </w:r>
      <w:r>
        <w:rPr>
          <w:rFonts w:hint="eastAsia"/>
          <w:color w:val="auto"/>
          <w:highlight w:val="none"/>
          <w:lang w:val="en-US" w:eastAsia="zh-CN"/>
        </w:rPr>
        <w:t>怕合热亚·依不拉音</w:t>
      </w:r>
      <w:r>
        <w:rPr>
          <w:rFonts w:hint="eastAsia"/>
          <w:color w:val="auto"/>
          <w:highlight w:val="none"/>
        </w:rPr>
        <w:t>，主要负责项目监督管理、验收以及资金核拨等工作。</w:t>
      </w:r>
    </w:p>
    <w:p>
      <w:pPr>
        <w:bidi w:val="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分,本项目制度执行有效</w:t>
      </w:r>
      <w:r>
        <w:rPr>
          <w:rFonts w:hint="eastAsia" w:ascii="仿宋_GB2312" w:hAnsi="Times New Roman" w:cs="仿宋_GB2312"/>
          <w:color w:val="auto"/>
          <w:szCs w:val="28"/>
          <w:highlight w:val="none"/>
          <w:lang w:val="en-US" w:eastAsia="zh-CN"/>
        </w:rPr>
        <w:t>。</w:t>
      </w:r>
    </w:p>
    <w:p>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w:t>
      </w:r>
      <w:r>
        <w:rPr>
          <w:rFonts w:hint="eastAsia" w:ascii="仿宋_GB2312" w:cs="仿宋_GB2312"/>
          <w:color w:val="auto"/>
          <w:sz w:val="28"/>
          <w:szCs w:val="28"/>
          <w:highlight w:val="none"/>
          <w:lang w:val="en-US" w:eastAsia="zh-CN"/>
        </w:rPr>
        <w:t>三</w:t>
      </w:r>
      <w:r>
        <w:rPr>
          <w:rFonts w:hint="eastAsia" w:ascii="仿宋_GB2312" w:cs="仿宋_GB2312"/>
          <w:color w:val="auto"/>
          <w:sz w:val="28"/>
          <w:szCs w:val="28"/>
          <w:highlight w:val="none"/>
        </w:rPr>
        <w:t>方面的内容，权重分为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18</w:t>
      </w:r>
      <w:r>
        <w:rPr>
          <w:rFonts w:hint="eastAsia" w:ascii="仿宋_GB2312" w:cs="仿宋_GB2312"/>
          <w:color w:val="auto"/>
          <w:sz w:val="28"/>
          <w:szCs w:val="28"/>
          <w:highlight w:val="none"/>
        </w:rPr>
        <w:t>分。</w:t>
      </w:r>
    </w:p>
    <w:p>
      <w:pPr>
        <w:pStyle w:val="5"/>
        <w:bidi w:val="0"/>
        <w:rPr>
          <w:rFonts w:hint="eastAsia"/>
          <w:color w:val="auto"/>
          <w:highlight w:val="none"/>
          <w:lang w:val="en-US" w:eastAsia="zh-CN"/>
        </w:rPr>
      </w:pPr>
      <w:r>
        <w:rPr>
          <w:rFonts w:hint="eastAsia"/>
          <w:color w:val="auto"/>
          <w:highlight w:val="none"/>
          <w:lang w:val="en-US" w:eastAsia="zh-CN"/>
        </w:rPr>
        <w:t>1.数量指标完成情况分析</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“采购疫情防控医疗物资批次”</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5批/年</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0批</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2023年未发生疫情；改进措施为：设置其他合理指标。</w:t>
      </w:r>
    </w:p>
    <w:p>
      <w:pPr>
        <w:bidi w:val="0"/>
        <w:rPr>
          <w:rFonts w:ascii="仿宋_GB2312" w:hAnsi="仿宋_GB2312" w:cs="仿宋_GB2312"/>
          <w:color w:val="auto"/>
          <w:sz w:val="28"/>
          <w:szCs w:val="28"/>
          <w:highlight w:val="none"/>
        </w:rPr>
      </w:pPr>
      <w:r>
        <w:rPr>
          <w:rFonts w:hint="eastAsia" w:ascii="仿宋_GB2312" w:hAnsi="仿宋_GB2312" w:cs="仿宋_GB2312"/>
          <w:color w:val="auto"/>
          <w:sz w:val="28"/>
          <w:szCs w:val="28"/>
          <w:highlight w:val="none"/>
          <w:lang w:val="en-US" w:eastAsia="zh-CN"/>
        </w:rPr>
        <w:t>“采购核酸检测物资批次”</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6批/年</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0批</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2023年未发生疫情；改进措施为：设置其他合理指标。</w:t>
      </w:r>
    </w:p>
    <w:p>
      <w:pPr>
        <w:bidi w:val="0"/>
        <w:rPr>
          <w:color w:val="auto"/>
          <w:highlight w:val="none"/>
        </w:rPr>
      </w:pPr>
      <w:r>
        <w:rPr>
          <w:rFonts w:hint="eastAsia" w:ascii="仿宋_GB2312" w:hAnsi="仿宋_GB2312" w:cs="仿宋_GB2312"/>
          <w:color w:val="auto"/>
          <w:sz w:val="28"/>
          <w:szCs w:val="28"/>
          <w:highlight w:val="none"/>
          <w:lang w:val="en-US" w:eastAsia="zh-CN"/>
        </w:rPr>
        <w:t>“疫情检测和常态化预警能力建设批次”</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1批/年</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0批</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2023年未发生疫情；改进措施为：设置其他合理指标。</w:t>
      </w:r>
    </w:p>
    <w:p>
      <w:pPr>
        <w:pStyle w:val="5"/>
        <w:bidi w:val="0"/>
        <w:rPr>
          <w:rFonts w:hint="eastAsia"/>
          <w:color w:val="auto"/>
          <w:highlight w:val="none"/>
          <w:lang w:val="en-US" w:eastAsia="zh-CN"/>
        </w:rPr>
      </w:pPr>
      <w:r>
        <w:rPr>
          <w:rFonts w:hint="eastAsia"/>
          <w:color w:val="auto"/>
          <w:highlight w:val="none"/>
          <w:lang w:val="en-US" w:eastAsia="zh-CN"/>
        </w:rPr>
        <w:t>2.质量指标完成情况分析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lang w:val="en-US" w:eastAsia="zh-CN"/>
        </w:rPr>
        <w:t>“物资采购合格率”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p>
    <w:p>
      <w:pPr>
        <w:pStyle w:val="5"/>
        <w:bidi w:val="0"/>
        <w:rPr>
          <w:rFonts w:hint="eastAsia"/>
          <w:color w:val="auto"/>
          <w:highlight w:val="none"/>
        </w:rPr>
      </w:pPr>
      <w:r>
        <w:rPr>
          <w:rFonts w:hint="eastAsia"/>
          <w:color w:val="auto"/>
          <w:highlight w:val="none"/>
          <w:lang w:val="en-US" w:eastAsia="zh-CN"/>
        </w:rPr>
        <w:t>3.时效指标完成情况分析</w:t>
      </w:r>
    </w:p>
    <w:p>
      <w:pPr>
        <w:bidi w:val="0"/>
        <w:rPr>
          <w:rFonts w:hint="eastAsia"/>
          <w:color w:val="auto"/>
          <w:highlight w:val="none"/>
          <w:lang w:eastAsia="zh-CN"/>
        </w:rPr>
      </w:pPr>
      <w:r>
        <w:rPr>
          <w:rFonts w:hint="eastAsia" w:ascii="仿宋_GB2312" w:hAnsi="仿宋_GB2312" w:cs="仿宋_GB2312"/>
          <w:color w:val="auto"/>
          <w:sz w:val="28"/>
          <w:szCs w:val="28"/>
          <w:highlight w:val="none"/>
          <w:lang w:val="en-US" w:eastAsia="zh-CN"/>
        </w:rPr>
        <w:t>“资金支付及时率”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95%</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95</w:t>
      </w:r>
      <w:r>
        <w:rPr>
          <w:rFonts w:hint="eastAsia" w:ascii="仿宋_GB2312" w:hAnsi="仿宋_GB2312" w:cs="仿宋_GB2312"/>
          <w:color w:val="auto"/>
          <w:sz w:val="28"/>
          <w:szCs w:val="28"/>
          <w:highlight w:val="none"/>
        </w:rPr>
        <w:t>%。</w:t>
      </w:r>
    </w:p>
    <w:p>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cs="仿宋_GB2312"/>
          <w:color w:val="auto"/>
          <w:sz w:val="32"/>
          <w:highlight w:val="none"/>
          <w:lang w:val="en-US" w:eastAsia="zh-CN"/>
        </w:rPr>
        <w:t>四</w:t>
      </w:r>
      <w:r>
        <w:rPr>
          <w:rFonts w:hint="eastAsia" w:ascii="仿宋_GB2312" w:hAnsi="仿宋_GB2312" w:cs="仿宋_GB2312"/>
          <w:color w:val="auto"/>
          <w:sz w:val="32"/>
          <w:highlight w:val="none"/>
        </w:rPr>
        <w:t>）项目</w:t>
      </w:r>
      <w:r>
        <w:rPr>
          <w:rFonts w:hint="eastAsia" w:cs="仿宋_GB2312"/>
          <w:color w:val="auto"/>
          <w:sz w:val="32"/>
          <w:highlight w:val="none"/>
          <w:lang w:val="en-US" w:eastAsia="zh-CN"/>
        </w:rPr>
        <w:t>成本</w:t>
      </w:r>
      <w:r>
        <w:rPr>
          <w:rFonts w:hint="eastAsia" w:ascii="仿宋_GB2312" w:hAnsi="仿宋_GB2312" w:cs="仿宋_GB2312"/>
          <w:color w:val="auto"/>
          <w:sz w:val="32"/>
          <w:highlight w:val="none"/>
        </w:rPr>
        <w:t>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w:t>
      </w:r>
      <w:r>
        <w:rPr>
          <w:rFonts w:hint="eastAsia" w:ascii="仿宋_GB2312" w:cs="仿宋_GB2312"/>
          <w:color w:val="auto"/>
          <w:sz w:val="28"/>
          <w:szCs w:val="28"/>
          <w:highlight w:val="none"/>
          <w:lang w:val="en-US" w:eastAsia="zh-CN"/>
        </w:rPr>
        <w:t>经济成本、社会成本、生态环境成本三</w:t>
      </w:r>
      <w:r>
        <w:rPr>
          <w:rFonts w:hint="eastAsia" w:ascii="仿宋_GB2312" w:cs="仿宋_GB2312"/>
          <w:color w:val="auto"/>
          <w:sz w:val="28"/>
          <w:szCs w:val="28"/>
          <w:highlight w:val="none"/>
        </w:rPr>
        <w:t>方面的内容，</w:t>
      </w:r>
      <w:r>
        <w:rPr>
          <w:rFonts w:hint="eastAsia" w:ascii="仿宋_GB2312" w:cs="仿宋_GB2312"/>
          <w:color w:val="auto"/>
          <w:sz w:val="28"/>
          <w:szCs w:val="28"/>
          <w:highlight w:val="none"/>
          <w:lang w:val="en-US" w:eastAsia="zh-CN"/>
        </w:rPr>
        <w:t>本项目仅涉及经济成本指标，</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w:t>
      </w:r>
    </w:p>
    <w:p>
      <w:pPr>
        <w:pStyle w:val="5"/>
        <w:bidi w:val="0"/>
        <w:rPr>
          <w:rFonts w:hint="eastAsia"/>
          <w:color w:val="auto"/>
          <w:highlight w:val="none"/>
        </w:rPr>
      </w:pPr>
      <w:r>
        <w:rPr>
          <w:rFonts w:hint="eastAsia"/>
          <w:color w:val="auto"/>
          <w:highlight w:val="none"/>
          <w:lang w:val="en-US" w:eastAsia="zh-CN"/>
        </w:rPr>
        <w:t>1.经济成本指标完成情况分析</w:t>
      </w:r>
    </w:p>
    <w:p>
      <w:pPr>
        <w:bidi w:val="0"/>
        <w:rPr>
          <w:rFonts w:hint="eastAsia"/>
          <w:color w:val="auto"/>
          <w:highlight w:val="none"/>
          <w:lang w:eastAsia="zh-CN"/>
        </w:rPr>
      </w:pPr>
      <w:r>
        <w:rPr>
          <w:rFonts w:hint="eastAsia" w:ascii="仿宋_GB2312" w:hAnsi="仿宋_GB2312" w:cs="仿宋_GB2312"/>
          <w:color w:val="auto"/>
          <w:sz w:val="28"/>
          <w:szCs w:val="28"/>
          <w:highlight w:val="none"/>
          <w:lang w:val="en-US" w:eastAsia="zh-CN"/>
        </w:rPr>
        <w:t>“采购疫情防控医疗物资成本”</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小于等于1800万元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1800万元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%。用于支付2020年到2022年之间疫情工作尾款。</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lang w:val="en-US" w:eastAsia="zh-CN"/>
        </w:rPr>
        <w:t>“采购核酸检测物资成本”</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小于等于700万元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700万元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%。用于支付2020年到2022年之间疫情工作尾款。</w:t>
      </w:r>
    </w:p>
    <w:p>
      <w:pPr>
        <w:bidi w:val="0"/>
        <w:rPr>
          <w:rFonts w:hint="eastAsia"/>
          <w:color w:val="auto"/>
          <w:highlight w:val="none"/>
          <w:lang w:eastAsia="zh-CN"/>
        </w:rPr>
      </w:pPr>
      <w:r>
        <w:rPr>
          <w:rFonts w:hint="eastAsia" w:ascii="仿宋_GB2312" w:hAnsi="仿宋_GB2312" w:cs="仿宋_GB2312"/>
          <w:color w:val="auto"/>
          <w:sz w:val="28"/>
          <w:szCs w:val="28"/>
          <w:highlight w:val="none"/>
          <w:lang w:val="en-US" w:eastAsia="zh-CN"/>
        </w:rPr>
        <w:t>“疫情检测和常态化预警能力建设成本”</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小于等于447万元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447万元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%。用于支付2020年到2022年之间疫情工作尾款。</w:t>
      </w:r>
    </w:p>
    <w:p>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ascii="仿宋_GB2312" w:hAnsi="仿宋_GB2312" w:cs="仿宋_GB2312"/>
          <w:color w:val="auto"/>
          <w:sz w:val="32"/>
          <w:highlight w:val="none"/>
          <w:lang w:val="en-US" w:eastAsia="zh-CN"/>
        </w:rPr>
        <w:t>五</w:t>
      </w:r>
      <w:r>
        <w:rPr>
          <w:rFonts w:hint="eastAsia" w:ascii="仿宋_GB2312" w:hAnsi="仿宋_GB2312" w:cs="仿宋_GB2312"/>
          <w:color w:val="auto"/>
          <w:sz w:val="32"/>
          <w:highlight w:val="none"/>
        </w:rPr>
        <w:t>）项目效益情况</w:t>
      </w:r>
    </w:p>
    <w:p>
      <w:pPr>
        <w:bidi w:val="0"/>
        <w:rPr>
          <w:rFonts w:hint="eastAsia" w:ascii="仿宋_GB2312" w:cs="仿宋_GB2312"/>
          <w:color w:val="auto"/>
          <w:sz w:val="28"/>
          <w:szCs w:val="28"/>
          <w:highlight w:val="none"/>
        </w:rPr>
      </w:pPr>
      <w:r>
        <w:rPr>
          <w:rFonts w:hint="eastAsia"/>
          <w:color w:val="auto"/>
          <w:highlight w:val="none"/>
          <w:lang w:eastAsia="zh-CN"/>
        </w:rPr>
        <w:t>项目效益类指标</w:t>
      </w:r>
      <w:r>
        <w:rPr>
          <w:rFonts w:hint="eastAsia" w:ascii="仿宋_GB2312" w:cs="仿宋_GB2312"/>
          <w:color w:val="auto"/>
          <w:sz w:val="28"/>
          <w:szCs w:val="28"/>
          <w:highlight w:val="none"/>
        </w:rPr>
        <w:t>包括</w:t>
      </w:r>
      <w:r>
        <w:rPr>
          <w:rFonts w:hint="eastAsia" w:ascii="仿宋_GB2312" w:cs="仿宋_GB2312"/>
          <w:color w:val="auto"/>
          <w:sz w:val="28"/>
          <w:szCs w:val="28"/>
          <w:highlight w:val="none"/>
          <w:lang w:val="en-US" w:eastAsia="zh-CN"/>
        </w:rPr>
        <w:t>经济效益、社会效益、生态效益、服务对象满意度四个</w:t>
      </w:r>
      <w:r>
        <w:rPr>
          <w:rFonts w:hint="eastAsia" w:ascii="仿宋_GB2312" w:cs="仿宋_GB2312"/>
          <w:color w:val="auto"/>
          <w:sz w:val="28"/>
          <w:szCs w:val="28"/>
          <w:highlight w:val="none"/>
        </w:rPr>
        <w:t>方面，权重分为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w:t>
      </w:r>
    </w:p>
    <w:p>
      <w:pPr>
        <w:pStyle w:val="5"/>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1.经济</w:t>
      </w:r>
      <w:r>
        <w:rPr>
          <w:rFonts w:hint="eastAsia" w:ascii="仿宋_GB2312"/>
          <w:b/>
          <w:bCs/>
          <w:color w:val="auto"/>
          <w:sz w:val="28"/>
          <w:szCs w:val="28"/>
          <w:highlight w:val="none"/>
        </w:rPr>
        <w:t>效益</w:t>
      </w:r>
      <w:r>
        <w:rPr>
          <w:rFonts w:hint="eastAsia" w:ascii="仿宋_GB2312" w:hAnsi="仿宋_GB2312" w:cs="仿宋_GB2312"/>
          <w:b/>
          <w:bCs/>
          <w:color w:val="auto"/>
          <w:sz w:val="28"/>
          <w:szCs w:val="28"/>
          <w:highlight w:val="none"/>
          <w:lang w:val="en-US" w:eastAsia="zh-CN"/>
        </w:rPr>
        <w:t>指标完成情况分析</w:t>
      </w:r>
    </w:p>
    <w:p>
      <w:pPr>
        <w:pStyle w:val="5"/>
        <w:bidi w:val="0"/>
        <w:ind w:firstLine="843" w:firstLineChars="300"/>
        <w:rPr>
          <w:rFonts w:hint="eastAsia" w:cs="仿宋_GB2312"/>
          <w:color w:val="auto"/>
          <w:sz w:val="28"/>
          <w:szCs w:val="28"/>
          <w:highlight w:val="none"/>
          <w:lang w:val="en-US" w:eastAsia="zh-CN"/>
        </w:rPr>
      </w:pPr>
      <w:r>
        <w:rPr>
          <w:rFonts w:hint="eastAsia" w:cs="仿宋_GB2312"/>
          <w:color w:val="auto"/>
          <w:sz w:val="28"/>
          <w:szCs w:val="28"/>
          <w:highlight w:val="none"/>
          <w:lang w:val="en-US" w:eastAsia="zh-CN"/>
        </w:rPr>
        <w:t>无</w:t>
      </w:r>
    </w:p>
    <w:p>
      <w:pPr>
        <w:pStyle w:val="5"/>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2.</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“提高医疗处置能力”</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效果明显</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5"/>
        <w:rPr>
          <w:rFonts w:hint="eastAsia"/>
          <w:b w:val="0"/>
          <w:bCs w:val="0"/>
          <w:color w:val="auto"/>
          <w:highlight w:val="none"/>
          <w:lang w:eastAsia="zh-CN"/>
        </w:rPr>
      </w:pPr>
      <w:r>
        <w:rPr>
          <w:rFonts w:hint="eastAsia" w:ascii="仿宋_GB2312" w:hAnsi="仿宋_GB2312" w:eastAsia="仿宋_GB2312" w:cs="仿宋_GB2312"/>
          <w:b w:val="0"/>
          <w:bCs w:val="0"/>
          <w:color w:val="auto"/>
          <w:kern w:val="2"/>
          <w:sz w:val="28"/>
          <w:szCs w:val="28"/>
          <w:highlight w:val="none"/>
          <w:lang w:val="en-US" w:eastAsia="zh-CN" w:bidi="ar-SA"/>
        </w:rPr>
        <w:t>“保障人民群众身体健康”</w:t>
      </w:r>
      <w:r>
        <w:rPr>
          <w:rFonts w:hint="eastAsia" w:ascii="仿宋_GB2312" w:hAnsi="仿宋_GB2312" w:cs="仿宋_GB2312"/>
          <w:b w:val="0"/>
          <w:bCs w:val="0"/>
          <w:color w:val="auto"/>
          <w:sz w:val="28"/>
          <w:szCs w:val="28"/>
          <w:highlight w:val="none"/>
        </w:rPr>
        <w:t>指标：预期指标值为</w:t>
      </w:r>
      <w:r>
        <w:rPr>
          <w:rFonts w:ascii="宋体" w:hAnsi="宋体" w:eastAsia="宋体" w:cs="宋体"/>
          <w:b w:val="0"/>
          <w:bCs w:val="0"/>
          <w:color w:val="auto"/>
          <w:sz w:val="24"/>
          <w:szCs w:val="24"/>
          <w:highlight w:val="none"/>
        </w:rPr>
        <w:t>有效保障</w:t>
      </w:r>
      <w:r>
        <w:rPr>
          <w:rFonts w:hint="eastAsia" w:ascii="仿宋_GB2312" w:hAnsi="仿宋_GB2312" w:cs="仿宋_GB2312"/>
          <w:b w:val="0"/>
          <w:bCs w:val="0"/>
          <w:color w:val="auto"/>
          <w:sz w:val="28"/>
          <w:szCs w:val="28"/>
          <w:highlight w:val="none"/>
        </w:rPr>
        <w:t>，实际完成指标值</w:t>
      </w:r>
      <w:r>
        <w:rPr>
          <w:rFonts w:hint="eastAsia" w:ascii="宋体" w:hAnsi="宋体" w:eastAsia="宋体" w:cs="宋体"/>
          <w:b w:val="0"/>
          <w:bCs w:val="0"/>
          <w:color w:val="auto"/>
          <w:sz w:val="24"/>
          <w:szCs w:val="24"/>
          <w:highlight w:val="none"/>
          <w:lang w:val="en-US" w:eastAsia="zh-CN"/>
        </w:rPr>
        <w:t>达成年度指标</w:t>
      </w:r>
      <w:r>
        <w:rPr>
          <w:rFonts w:hint="eastAsia" w:ascii="仿宋_GB2312" w:hAnsi="仿宋_GB2312" w:cs="仿宋_GB2312"/>
          <w:b w:val="0"/>
          <w:bCs w:val="0"/>
          <w:color w:val="auto"/>
          <w:sz w:val="28"/>
          <w:szCs w:val="28"/>
          <w:highlight w:val="none"/>
        </w:rPr>
        <w:t>，指标完成率为</w:t>
      </w:r>
      <w:r>
        <w:rPr>
          <w:rFonts w:hint="eastAsia" w:ascii="仿宋_GB2312" w:hAnsi="仿宋_GB2312" w:cs="仿宋_GB2312"/>
          <w:b w:val="0"/>
          <w:bCs w:val="0"/>
          <w:color w:val="auto"/>
          <w:sz w:val="28"/>
          <w:szCs w:val="28"/>
          <w:highlight w:val="none"/>
          <w:lang w:val="en-US" w:eastAsia="zh-CN"/>
        </w:rPr>
        <w:t>100</w:t>
      </w:r>
      <w:r>
        <w:rPr>
          <w:rFonts w:hint="eastAsia" w:ascii="仿宋_GB2312" w:hAnsi="仿宋_GB2312" w:cs="仿宋_GB2312"/>
          <w:b w:val="0"/>
          <w:bCs w:val="0"/>
          <w:color w:val="auto"/>
          <w:sz w:val="28"/>
          <w:szCs w:val="28"/>
          <w:highlight w:val="none"/>
        </w:rPr>
        <w:t>%</w:t>
      </w:r>
      <w:r>
        <w:rPr>
          <w:rFonts w:hint="eastAsia" w:ascii="仿宋_GB2312" w:hAnsi="仿宋_GB2312" w:cs="仿宋_GB2312"/>
          <w:b w:val="0"/>
          <w:bCs w:val="0"/>
          <w:color w:val="auto"/>
          <w:sz w:val="28"/>
          <w:szCs w:val="28"/>
          <w:highlight w:val="none"/>
          <w:lang w:val="en-US" w:eastAsia="zh-CN"/>
        </w:rPr>
        <w:t>。</w:t>
      </w:r>
    </w:p>
    <w:p>
      <w:pPr>
        <w:pStyle w:val="5"/>
        <w:bidi w:val="0"/>
        <w:rPr>
          <w:rFonts w:hint="eastAsia"/>
          <w:color w:val="auto"/>
          <w:highlight w:val="none"/>
          <w:lang w:val="en-US" w:eastAsia="zh-CN"/>
        </w:rPr>
      </w:pPr>
      <w:r>
        <w:rPr>
          <w:rFonts w:hint="eastAsia"/>
          <w:color w:val="auto"/>
          <w:highlight w:val="none"/>
          <w:lang w:val="en-US" w:eastAsia="zh-CN"/>
        </w:rPr>
        <w:t>3.生态效益指标完成情况分析</w:t>
      </w:r>
    </w:p>
    <w:p>
      <w:pPr>
        <w:pStyle w:val="5"/>
        <w:bidi w:val="0"/>
        <w:ind w:firstLine="843" w:firstLineChars="300"/>
        <w:rPr>
          <w:rFonts w:hint="eastAsia" w:cs="仿宋_GB2312"/>
          <w:color w:val="auto"/>
          <w:sz w:val="28"/>
          <w:szCs w:val="28"/>
          <w:highlight w:val="none"/>
          <w:lang w:val="en-US" w:eastAsia="zh-CN"/>
        </w:rPr>
      </w:pPr>
      <w:r>
        <w:rPr>
          <w:rFonts w:hint="eastAsia" w:cs="仿宋_GB2312"/>
          <w:color w:val="auto"/>
          <w:sz w:val="28"/>
          <w:szCs w:val="28"/>
          <w:highlight w:val="none"/>
          <w:lang w:val="en-US" w:eastAsia="zh-CN"/>
        </w:rPr>
        <w:t>无</w:t>
      </w:r>
    </w:p>
    <w:p>
      <w:pPr>
        <w:pStyle w:val="5"/>
        <w:bidi w:val="0"/>
        <w:rPr>
          <w:rFonts w:hint="eastAsia"/>
          <w:color w:val="auto"/>
          <w:highlight w:val="none"/>
          <w:lang w:val="en-US" w:eastAsia="zh-CN"/>
        </w:rPr>
      </w:pPr>
      <w:r>
        <w:rPr>
          <w:rFonts w:hint="eastAsia"/>
          <w:color w:val="auto"/>
          <w:highlight w:val="none"/>
          <w:lang w:val="en-US" w:eastAsia="zh-CN"/>
        </w:rPr>
        <w:t>4.满意度指标完成情况分析</w:t>
      </w:r>
    </w:p>
    <w:p>
      <w:pPr>
        <w:bidi w:val="0"/>
        <w:rPr>
          <w:rFonts w:hint="eastAsia" w:ascii="仿宋_GB2312" w:hAnsi="仿宋_GB2312" w:cs="仿宋_GB2312"/>
          <w:color w:val="auto"/>
          <w:sz w:val="28"/>
          <w:szCs w:val="28"/>
          <w:highlight w:val="none"/>
        </w:rPr>
      </w:pPr>
      <w:r>
        <w:rPr>
          <w:rFonts w:hint="eastAsia" w:ascii="仿宋_GB2312" w:hAnsi="仿宋_GB2312" w:eastAsia="仿宋_GB2312" w:cs="仿宋_GB2312"/>
          <w:b w:val="0"/>
          <w:bCs w:val="0"/>
          <w:color w:val="auto"/>
          <w:kern w:val="2"/>
          <w:sz w:val="28"/>
          <w:szCs w:val="28"/>
          <w:highlight w:val="none"/>
          <w:lang w:val="en-US" w:eastAsia="zh-CN" w:bidi="ar-SA"/>
        </w:rPr>
        <w:t>“受益群众满意度”</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99.2%</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bookmarkEnd w:id="15"/>
    </w:p>
    <w:p>
      <w:pPr>
        <w:pStyle w:val="3"/>
        <w:ind w:left="638" w:leftChars="228" w:firstLine="0" w:firstLineChars="0"/>
        <w:jc w:val="left"/>
        <w:rPr>
          <w:rFonts w:hint="eastAsia"/>
          <w:color w:val="auto"/>
          <w:highlight w:val="none"/>
        </w:rPr>
      </w:pPr>
      <w:r>
        <w:rPr>
          <w:rFonts w:hint="eastAsia" w:ascii="Times New Roman" w:hAnsi="Times New Roman" w:cs="Times New Roman"/>
          <w:b/>
          <w:bCs/>
          <w:color w:val="auto"/>
          <w:highlight w:val="none"/>
          <w:lang w:val="en-US" w:eastAsia="zh-CN"/>
        </w:rPr>
        <w:t>五、预算执行进度与绩效指标偏差</w:t>
      </w:r>
    </w:p>
    <w:p>
      <w:pPr>
        <w:bidi w:val="0"/>
        <w:rPr>
          <w:rFonts w:hint="eastAsia"/>
          <w:color w:val="auto"/>
          <w:highlight w:val="none"/>
          <w:lang w:val="en-US" w:eastAsia="zh-CN"/>
        </w:rPr>
      </w:pPr>
      <w:r>
        <w:rPr>
          <w:rFonts w:hint="eastAsia"/>
          <w:color w:val="auto"/>
          <w:highlight w:val="none"/>
          <w:lang w:eastAsia="zh-CN"/>
        </w:rPr>
        <w:t>本项目</w:t>
      </w:r>
      <w:r>
        <w:rPr>
          <w:rFonts w:hint="eastAsia"/>
          <w:color w:val="auto"/>
          <w:highlight w:val="none"/>
          <w:lang w:val="en-US" w:eastAsia="zh-CN"/>
        </w:rPr>
        <w:t>全年预算数为2947万元，全年到位数为2947万元，全年执行数为2947万元，预算执行率为100%。</w:t>
      </w:r>
    </w:p>
    <w:p>
      <w:pPr>
        <w:pStyle w:val="7"/>
        <w:rPr>
          <w:color w:val="auto"/>
          <w:highlight w:val="none"/>
        </w:rPr>
      </w:pPr>
      <w:r>
        <w:rPr>
          <w:rFonts w:hint="eastAsia"/>
          <w:color w:val="auto"/>
          <w:highlight w:val="none"/>
        </w:rPr>
        <w:t>本</w:t>
      </w:r>
      <w:r>
        <w:rPr>
          <w:rFonts w:hint="eastAsia"/>
          <w:color w:val="auto"/>
          <w:highlight w:val="none"/>
          <w:lang w:val="zh-TW" w:eastAsia="zh-TW"/>
        </w:rPr>
        <w:t>项目共设置</w:t>
      </w:r>
      <w:r>
        <w:rPr>
          <w:rFonts w:hint="eastAsia"/>
          <w:color w:val="auto"/>
          <w:highlight w:val="none"/>
        </w:rPr>
        <w:t>三级指标数量</w:t>
      </w:r>
      <w:r>
        <w:rPr>
          <w:rFonts w:hint="eastAsia"/>
          <w:color w:val="auto"/>
          <w:highlight w:val="none"/>
          <w:lang w:val="en-US" w:eastAsia="zh-CN"/>
        </w:rPr>
        <w:t>23</w:t>
      </w:r>
      <w:r>
        <w:rPr>
          <w:rFonts w:hint="eastAsia"/>
          <w:color w:val="auto"/>
          <w:highlight w:val="none"/>
          <w:lang w:val="zh-TW" w:eastAsia="zh-TW"/>
        </w:rPr>
        <w:t>个，</w:t>
      </w:r>
      <w:r>
        <w:rPr>
          <w:rFonts w:hint="eastAsia"/>
          <w:color w:val="auto"/>
          <w:highlight w:val="none"/>
          <w:lang w:val="zh-TW" w:eastAsia="zh-CN"/>
        </w:rPr>
        <w:t>满分指标数量</w:t>
      </w:r>
      <w:r>
        <w:rPr>
          <w:rFonts w:hint="eastAsia"/>
          <w:color w:val="auto"/>
          <w:highlight w:val="none"/>
          <w:lang w:val="en-US" w:eastAsia="zh-CN"/>
        </w:rPr>
        <w:t>16个，扣分指标数量7个，经分析计算所有三级指标完成率得出本项目</w:t>
      </w:r>
      <w:r>
        <w:rPr>
          <w:rFonts w:hint="eastAsia"/>
          <w:color w:val="auto"/>
          <w:highlight w:val="none"/>
        </w:rPr>
        <w:t>总体完成率为</w:t>
      </w:r>
      <w:r>
        <w:rPr>
          <w:rFonts w:hint="eastAsia"/>
          <w:color w:val="auto"/>
          <w:highlight w:val="none"/>
          <w:lang w:val="en-US" w:eastAsia="zh-CN"/>
        </w:rPr>
        <w:t>78</w:t>
      </w:r>
      <w:r>
        <w:rPr>
          <w:rFonts w:hint="eastAsia"/>
          <w:color w:val="auto"/>
          <w:highlight w:val="none"/>
          <w:lang w:val="zh-TW" w:eastAsia="zh-TW"/>
        </w:rPr>
        <w:t>%。</w:t>
      </w:r>
    </w:p>
    <w:p>
      <w:pPr>
        <w:pStyle w:val="7"/>
        <w:rPr>
          <w:rFonts w:hint="default"/>
          <w:color w:val="auto"/>
          <w:highlight w:val="none"/>
          <w:lang w:val="zh-TW" w:eastAsia="zh-CN"/>
        </w:rPr>
      </w:pPr>
      <w:r>
        <w:rPr>
          <w:rFonts w:hint="eastAsia"/>
          <w:color w:val="auto"/>
          <w:highlight w:val="none"/>
          <w:lang w:val="en-US" w:eastAsia="zh-CN"/>
        </w:rPr>
        <w:t>综上所述本项目预算执行率与总体完成率之间的偏差为-22%。</w:t>
      </w:r>
    </w:p>
    <w:p>
      <w:pPr>
        <w:pStyle w:val="3"/>
        <w:ind w:firstLine="640"/>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pPr>
        <w:pStyle w:val="4"/>
        <w:numPr>
          <w:ilvl w:val="0"/>
          <w:numId w:val="3"/>
        </w:numPr>
        <w:ind w:firstLine="643"/>
        <w:rPr>
          <w:color w:val="auto"/>
          <w:highlight w:val="none"/>
        </w:rPr>
      </w:pPr>
      <w:bookmarkStart w:id="16" w:name="_Toc28290"/>
      <w:bookmarkStart w:id="17" w:name="_Toc1921"/>
      <w:r>
        <w:rPr>
          <w:rFonts w:hint="eastAsia"/>
          <w:color w:val="auto"/>
          <w:highlight w:val="none"/>
        </w:rPr>
        <w:t>主要经验及做法</w:t>
      </w:r>
    </w:p>
    <w:bookmarkEnd w:id="16"/>
    <w:bookmarkEnd w:id="17"/>
    <w:p>
      <w:pPr>
        <w:pageBreakBefore w:val="0"/>
        <w:kinsoku/>
        <w:wordWrap/>
        <w:topLinePunct w:val="0"/>
        <w:autoSpaceDE/>
        <w:autoSpaceDN/>
        <w:bidi w:val="0"/>
        <w:spacing w:line="560" w:lineRule="exact"/>
        <w:ind w:right="0" w:rightChars="0" w:firstLine="643"/>
        <w:rPr>
          <w:rFonts w:hint="eastAsia" w:ascii="Times New Roman" w:hAnsi="Times New Roman" w:cs="Times New Roman"/>
          <w:color w:val="auto"/>
          <w:highlight w:val="none"/>
          <w:lang w:eastAsia="zh-Hans" w:bidi="ar"/>
        </w:rPr>
      </w:pPr>
      <w:r>
        <w:rPr>
          <w:rFonts w:hint="eastAsia" w:ascii="Times New Roman" w:hAnsi="Times New Roman" w:cs="Times New Roman"/>
          <w:color w:val="auto"/>
          <w:highlight w:val="none"/>
          <w:lang w:eastAsia="zh-Hans" w:bidi="ar"/>
        </w:rPr>
        <w:t>1. 迅速反应，系统部署，织密防控责任网。疫情发生以来，县卫健局迅速报告县委、县政府，全县卫健系统立即做好培训应急等防控相关工作。着力构筑了县、乡、村三级协同高效的指挥体系、一贯到底的行动体系和跟进督导的问责体系。</w:t>
      </w:r>
    </w:p>
    <w:p>
      <w:pPr>
        <w:pageBreakBefore w:val="0"/>
        <w:kinsoku/>
        <w:wordWrap/>
        <w:topLinePunct w:val="0"/>
        <w:autoSpaceDE/>
        <w:autoSpaceDN/>
        <w:bidi w:val="0"/>
        <w:spacing w:line="560" w:lineRule="exact"/>
        <w:ind w:right="0" w:rightChars="0" w:firstLine="643"/>
        <w:rPr>
          <w:rFonts w:ascii="仿宋_GB2312" w:hAnsi="Tahoma" w:eastAsia="仿宋_GB2312" w:cstheme="minorBidi"/>
          <w:color w:val="auto"/>
          <w:sz w:val="32"/>
          <w:szCs w:val="32"/>
          <w:highlight w:val="none"/>
        </w:rPr>
      </w:pPr>
      <w:r>
        <w:rPr>
          <w:rFonts w:hint="eastAsia" w:ascii="Times New Roman" w:hAnsi="Times New Roman" w:cs="Times New Roman"/>
          <w:color w:val="auto"/>
          <w:highlight w:val="none"/>
          <w:lang w:eastAsia="zh-Hans" w:bidi="ar"/>
        </w:rPr>
        <w:t>2.加大“四类人员”管控力度，做到疫情“早发现、早报告、早隔离”。集中人员、时间和精力，村不漏户、户不漏人、人不漏项。做好武汉返乡人员基本信息及其健康状况排查，全面完成武汉返乡人员的基础信息排查工作做到“应排尽排”，发现异常立即报告，做到“早发现”“早报告”；全力抓好发热病人和疑似病例、确诊病例密切接触者的管 理，对所有排查、监测和医院门诊接诊的发热病人，全部收入医院诊断观察，对所有追踪的疑似病例和确诊病例密切接触者，全部实行隔离医学观察，有效阻断病源传播。做到“早隔离”。</w:t>
      </w:r>
    </w:p>
    <w:p>
      <w:pPr>
        <w:pStyle w:val="4"/>
        <w:numPr>
          <w:ilvl w:val="0"/>
          <w:numId w:val="3"/>
        </w:numPr>
        <w:ind w:firstLine="643"/>
        <w:rPr>
          <w:color w:val="auto"/>
          <w:highlight w:val="none"/>
        </w:rPr>
      </w:pPr>
      <w:r>
        <w:rPr>
          <w:rFonts w:hint="eastAsia"/>
          <w:color w:val="auto"/>
          <w:highlight w:val="none"/>
        </w:rPr>
        <w:t>存在的问题及原因分析</w:t>
      </w:r>
    </w:p>
    <w:p>
      <w:pPr>
        <w:pageBreakBefore w:val="0"/>
        <w:kinsoku/>
        <w:wordWrap/>
        <w:topLinePunct w:val="0"/>
        <w:autoSpaceDE/>
        <w:autoSpaceDN/>
        <w:bidi w:val="0"/>
        <w:spacing w:line="560" w:lineRule="exact"/>
        <w:ind w:right="0" w:rightChars="0" w:firstLine="643"/>
        <w:rPr>
          <w:rFonts w:hint="eastAsia" w:ascii="Times New Roman" w:hAnsi="Times New Roman" w:cs="Times New Roman"/>
          <w:color w:val="auto"/>
          <w:highlight w:val="none"/>
          <w:lang w:eastAsia="zh-Hans" w:bidi="ar"/>
        </w:rPr>
      </w:pPr>
      <w:r>
        <w:rPr>
          <w:rFonts w:hint="eastAsia" w:ascii="Times New Roman" w:hAnsi="Times New Roman" w:cs="Times New Roman"/>
          <w:color w:val="auto"/>
          <w:highlight w:val="none"/>
          <w:lang w:eastAsia="zh-Hans" w:bidi="ar"/>
        </w:rPr>
        <w:t>1.对其他医疗卫生人员补助不及时</w:t>
      </w:r>
    </w:p>
    <w:p>
      <w:pPr>
        <w:pageBreakBefore w:val="0"/>
        <w:kinsoku/>
        <w:wordWrap/>
        <w:topLinePunct w:val="0"/>
        <w:autoSpaceDE/>
        <w:autoSpaceDN/>
        <w:bidi w:val="0"/>
        <w:spacing w:line="560" w:lineRule="exact"/>
        <w:ind w:right="0" w:rightChars="0" w:firstLine="643"/>
        <w:rPr>
          <w:rFonts w:hint="eastAsia" w:ascii="Times New Roman" w:hAnsi="Times New Roman" w:cs="Times New Roman"/>
          <w:color w:val="auto"/>
          <w:highlight w:val="none"/>
          <w:lang w:eastAsia="zh-Hans" w:bidi="ar"/>
        </w:rPr>
      </w:pPr>
      <w:r>
        <w:rPr>
          <w:rFonts w:hint="eastAsia" w:ascii="Times New Roman" w:hAnsi="Times New Roman" w:cs="Times New Roman"/>
          <w:color w:val="auto"/>
          <w:highlight w:val="none"/>
          <w:lang w:eastAsia="zh-Hans" w:bidi="ar"/>
        </w:rPr>
        <w:t>仅拨付发放一线医护人员工作补助，其他医疗卫生人员和医院后勤人员在疫情期间也积极参与了疫情防控，但没有获得相应的补贴，实际上，新冠肺炎疫情爆发以来，各医院上下均积极投入防控工作。2-3月份因受疫情影响，各医院尤其是乡镇医院无业务收入，导致医院运转资金困难，部分乡镇医院职工日常工资无着落。</w:t>
      </w:r>
    </w:p>
    <w:p>
      <w:pPr>
        <w:pageBreakBefore w:val="0"/>
        <w:kinsoku/>
        <w:wordWrap/>
        <w:topLinePunct w:val="0"/>
        <w:autoSpaceDE/>
        <w:autoSpaceDN/>
        <w:bidi w:val="0"/>
        <w:spacing w:line="560" w:lineRule="exact"/>
        <w:ind w:right="0" w:rightChars="0" w:firstLine="643"/>
        <w:rPr>
          <w:rFonts w:hint="eastAsia" w:ascii="Times New Roman" w:hAnsi="Times New Roman" w:cs="Times New Roman"/>
          <w:color w:val="auto"/>
          <w:highlight w:val="none"/>
          <w:lang w:val="en-US" w:eastAsia="zh-CN" w:bidi="ar"/>
        </w:rPr>
      </w:pPr>
      <w:r>
        <w:rPr>
          <w:rFonts w:hint="eastAsia" w:ascii="Times New Roman" w:hAnsi="Times New Roman" w:cs="Times New Roman"/>
          <w:color w:val="auto"/>
          <w:highlight w:val="none"/>
          <w:lang w:val="en-US" w:eastAsia="zh-CN" w:bidi="ar"/>
        </w:rPr>
        <w:t>2.对项目三级指标的设定存在不足</w:t>
      </w:r>
    </w:p>
    <w:p>
      <w:pPr>
        <w:pageBreakBefore w:val="0"/>
        <w:kinsoku/>
        <w:wordWrap/>
        <w:topLinePunct w:val="0"/>
        <w:autoSpaceDE/>
        <w:autoSpaceDN/>
        <w:bidi w:val="0"/>
        <w:spacing w:line="560" w:lineRule="exact"/>
        <w:ind w:left="0" w:leftChars="0" w:right="0" w:rightChars="0" w:firstLine="560" w:firstLineChars="200"/>
        <w:rPr>
          <w:rFonts w:hint="default" w:ascii="Times New Roman" w:hAnsi="Times New Roman" w:cs="Times New Roman"/>
          <w:color w:val="auto"/>
          <w:highlight w:val="none"/>
          <w:lang w:val="en-US" w:eastAsia="zh-CN" w:bidi="ar"/>
        </w:rPr>
      </w:pPr>
      <w:r>
        <w:rPr>
          <w:rFonts w:hint="eastAsia" w:ascii="Times New Roman" w:hAnsi="Times New Roman" w:cs="Times New Roman"/>
          <w:color w:val="auto"/>
          <w:highlight w:val="none"/>
          <w:lang w:val="en-US" w:eastAsia="zh-CN" w:bidi="ar"/>
        </w:rPr>
        <w:t>在2023年，因为疫情没有发生，所以各项指标的设定存在缺陷，应设置为偿还债务的指标类别。</w:t>
      </w:r>
    </w:p>
    <w:p>
      <w:pPr>
        <w:pStyle w:val="3"/>
        <w:ind w:firstLine="640"/>
        <w:rPr>
          <w:rFonts w:hint="eastAsia"/>
          <w:color w:val="auto"/>
          <w:highlight w:val="none"/>
          <w:lang w:eastAsia="zh-Hans"/>
        </w:rPr>
      </w:pPr>
      <w:r>
        <w:rPr>
          <w:rFonts w:hint="eastAsia"/>
          <w:color w:val="auto"/>
          <w:highlight w:val="none"/>
          <w:lang w:eastAsia="zh-CN"/>
        </w:rPr>
        <w:t>七</w:t>
      </w:r>
      <w:r>
        <w:rPr>
          <w:rFonts w:hint="eastAsia"/>
          <w:color w:val="auto"/>
          <w:highlight w:val="none"/>
          <w:lang w:eastAsia="zh-Hans"/>
        </w:rPr>
        <w:t>、有关建议</w:t>
      </w:r>
    </w:p>
    <w:p>
      <w:pPr>
        <w:pageBreakBefore w:val="0"/>
        <w:kinsoku/>
        <w:wordWrap/>
        <w:topLinePunct w:val="0"/>
        <w:autoSpaceDE/>
        <w:autoSpaceDN/>
        <w:bidi w:val="0"/>
        <w:spacing w:line="560" w:lineRule="exact"/>
        <w:ind w:right="0" w:rightChars="0" w:firstLine="643"/>
        <w:rPr>
          <w:rFonts w:hint="eastAsia" w:ascii="Times New Roman" w:hAnsi="Times New Roman" w:cs="Times New Roman"/>
          <w:color w:val="auto"/>
          <w:highlight w:val="none"/>
          <w:lang w:eastAsia="zh-Hans" w:bidi="ar"/>
        </w:rPr>
      </w:pPr>
      <w:r>
        <w:rPr>
          <w:rFonts w:hint="eastAsia" w:ascii="Times New Roman" w:hAnsi="Times New Roman" w:cs="Times New Roman"/>
          <w:color w:val="auto"/>
          <w:highlight w:val="none"/>
          <w:lang w:eastAsia="zh-Hans" w:bidi="ar"/>
        </w:rPr>
        <w:t>1.绩效目标改进建议</w:t>
      </w:r>
    </w:p>
    <w:p>
      <w:pPr>
        <w:pageBreakBefore w:val="0"/>
        <w:kinsoku/>
        <w:wordWrap/>
        <w:topLinePunct w:val="0"/>
        <w:autoSpaceDE/>
        <w:autoSpaceDN/>
        <w:bidi w:val="0"/>
        <w:spacing w:line="560" w:lineRule="exact"/>
        <w:ind w:right="0" w:rightChars="0" w:firstLine="643"/>
        <w:rPr>
          <w:rFonts w:hint="eastAsia" w:ascii="Times New Roman" w:hAnsi="Times New Roman" w:cs="Times New Roman"/>
          <w:color w:val="auto"/>
          <w:highlight w:val="none"/>
          <w:lang w:eastAsia="zh-Hans" w:bidi="ar"/>
        </w:rPr>
      </w:pPr>
      <w:r>
        <w:rPr>
          <w:rFonts w:hint="eastAsia" w:ascii="Times New Roman" w:hAnsi="Times New Roman" w:cs="Times New Roman"/>
          <w:color w:val="auto"/>
          <w:highlight w:val="none"/>
          <w:lang w:eastAsia="zh-Hans" w:bidi="ar"/>
        </w:rPr>
        <w:t>鉴于疫情防控的特殊性，为确保疫情防控财税政策和补助资金及时到位，可根据“特事特办、急事急办”原则，构建与疫情防控形势相适应的工作机制。前期未申报绩效目标，在疫情转入新时期常态化管控期，资金使用单位要根据绩效目标填报要求，送同级财政部门备案, 发挥绩效目标“引导立向”功能，为后续的绩效评价提供可参考的标准。在绩效管理过程上，实施事前、事中、事后区别化监管，确保疫情防控资金安全高效使用。简化事前绩效管理，提高资金拨付效率、强化事中跟踪监控，规范资金使用、实施事后绩效评价，完善应急资金管理。在强化责任落实上，牢固树立防控资金绩效责任主体意识，确保疫情防控资金绩效管理有效落实。</w:t>
      </w:r>
    </w:p>
    <w:p>
      <w:pPr>
        <w:pageBreakBefore w:val="0"/>
        <w:kinsoku/>
        <w:wordWrap/>
        <w:topLinePunct w:val="0"/>
        <w:autoSpaceDE/>
        <w:autoSpaceDN/>
        <w:bidi w:val="0"/>
        <w:spacing w:line="560" w:lineRule="exact"/>
        <w:ind w:right="0" w:rightChars="0" w:firstLine="643"/>
        <w:rPr>
          <w:rFonts w:hint="eastAsia" w:ascii="Times New Roman" w:hAnsi="Times New Roman" w:cs="Times New Roman"/>
          <w:color w:val="auto"/>
          <w:highlight w:val="none"/>
          <w:lang w:eastAsia="zh-CN" w:bidi="ar"/>
        </w:rPr>
      </w:pPr>
      <w:r>
        <w:rPr>
          <w:rFonts w:hint="eastAsia" w:ascii="Times New Roman" w:hAnsi="Times New Roman" w:cs="Times New Roman"/>
          <w:color w:val="auto"/>
          <w:highlight w:val="none"/>
          <w:lang w:eastAsia="zh-Hans" w:bidi="ar"/>
        </w:rPr>
        <w:t>2.依据相关政策将参与疫情防控的其他医疗卫生人员及后勤人员纳入疫情防控人员临时性工作补助范围，促进公平公正。</w:t>
      </w:r>
    </w:p>
    <w:p>
      <w:pPr>
        <w:pStyle w:val="3"/>
        <w:ind w:firstLine="640"/>
        <w:rPr>
          <w:color w:val="auto"/>
          <w:highlight w:val="none"/>
        </w:rPr>
      </w:pPr>
      <w:r>
        <w:rPr>
          <w:rFonts w:hint="eastAsia"/>
          <w:color w:val="auto"/>
          <w:highlight w:val="none"/>
          <w:lang w:eastAsia="zh-CN"/>
        </w:rPr>
        <w:t>八</w:t>
      </w:r>
      <w:r>
        <w:rPr>
          <w:rFonts w:hint="eastAsia"/>
          <w:color w:val="auto"/>
          <w:highlight w:val="none"/>
        </w:rPr>
        <w:t>、其他需要说明的问题</w:t>
      </w:r>
    </w:p>
    <w:p>
      <w:pPr>
        <w:ind w:firstLine="544"/>
        <w:rPr>
          <w:color w:val="auto"/>
          <w:spacing w:val="-4"/>
          <w:szCs w:val="32"/>
          <w:highlight w:val="none"/>
        </w:rPr>
      </w:pPr>
      <w:r>
        <w:rPr>
          <w:rFonts w:hint="eastAsia" w:ascii="Times New Roman" w:hAnsi="Times New Roman" w:cs="Times New Roman"/>
          <w:color w:val="auto"/>
          <w:highlight w:val="none"/>
          <w:lang w:eastAsia="zh-Hans" w:bidi="ar"/>
        </w:rPr>
        <w:t>我单位对上述项目支出绩效评价报告内反映内容的真实性、完整性负责，接受上级部门及社会公众监督。</w:t>
      </w:r>
    </w:p>
    <w:p>
      <w:pPr>
        <w:pStyle w:val="3"/>
        <w:ind w:firstLine="640"/>
        <w:rPr>
          <w:color w:val="auto"/>
          <w:highlight w:val="none"/>
        </w:rPr>
      </w:pPr>
      <w:r>
        <w:rPr>
          <w:rFonts w:hint="eastAsia"/>
          <w:color w:val="auto"/>
          <w:highlight w:val="none"/>
          <w:lang w:eastAsia="zh-CN"/>
        </w:rPr>
        <w:t>九、</w:t>
      </w:r>
      <w:r>
        <w:rPr>
          <w:rFonts w:hint="eastAsia"/>
          <w:color w:val="auto"/>
          <w:highlight w:val="none"/>
        </w:rPr>
        <w:t>附表</w:t>
      </w:r>
    </w:p>
    <w:p>
      <w:pPr>
        <w:ind w:firstLine="544"/>
        <w:rPr>
          <w:rFonts w:hint="eastAsia" w:ascii="Times New Roman" w:hAnsi="Times New Roman" w:cs="Times New Roman"/>
          <w:color w:val="auto"/>
          <w:highlight w:val="none"/>
          <w:lang w:eastAsia="zh-Hans" w:bidi="ar"/>
        </w:rPr>
      </w:pPr>
      <w:r>
        <w:rPr>
          <w:rFonts w:hint="eastAsia" w:ascii="Times New Roman" w:hAnsi="Times New Roman" w:cs="Times New Roman"/>
          <w:color w:val="auto"/>
          <w:highlight w:val="none"/>
          <w:lang w:eastAsia="zh-Hans" w:bidi="ar"/>
        </w:rPr>
        <w:t>附件1：项目绩效评价指标体系表和项目</w:t>
      </w:r>
      <w:r>
        <w:rPr>
          <w:rFonts w:hint="eastAsia" w:ascii="Times New Roman" w:hAnsi="Times New Roman" w:cs="Times New Roman"/>
          <w:color w:val="auto"/>
          <w:highlight w:val="none"/>
          <w:lang w:val="en-US" w:eastAsia="zh-CN" w:bidi="ar"/>
        </w:rPr>
        <w:t>综合得分</w:t>
      </w:r>
      <w:r>
        <w:rPr>
          <w:rFonts w:hint="eastAsia" w:ascii="Times New Roman" w:hAnsi="Times New Roman" w:cs="Times New Roman"/>
          <w:color w:val="auto"/>
          <w:highlight w:val="none"/>
          <w:lang w:eastAsia="zh-Hans" w:bidi="ar"/>
        </w:rPr>
        <w:t>表</w:t>
      </w:r>
    </w:p>
    <w:p>
      <w:pPr>
        <w:rPr>
          <w:rFonts w:hint="default"/>
          <w:color w:val="auto"/>
          <w:highlight w:val="none"/>
          <w:lang w:val="en-US" w:eastAsia="zh-CN"/>
        </w:rPr>
      </w:pPr>
    </w:p>
    <w:p>
      <w:pPr>
        <w:rPr>
          <w:color w:val="auto"/>
          <w:highlight w:val="none"/>
        </w:rPr>
      </w:pPr>
    </w:p>
    <w:sectPr>
      <w:headerReference r:id="rId3" w:type="default"/>
      <w:footerReference r:id="rId4" w:type="default"/>
      <w:pgSz w:w="11906" w:h="16838"/>
      <w:pgMar w:top="1440" w:right="1080" w:bottom="1440" w:left="1080" w:header="737" w:footer="850" w:gutter="0"/>
      <w:pgNumType w:start="1"/>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E64B2D"/>
    <w:multiLevelType w:val="singleLevel"/>
    <w:tmpl w:val="F8E64B2D"/>
    <w:lvl w:ilvl="0" w:tentative="0">
      <w:start w:val="3"/>
      <w:numFmt w:val="chineseCounting"/>
      <w:suff w:val="nothing"/>
      <w:lvlText w:val="%1、"/>
      <w:lvlJc w:val="left"/>
      <w:rPr>
        <w:rFonts w:hint="eastAsia"/>
      </w:rPr>
    </w:lvl>
  </w:abstractNum>
  <w:abstractNum w:abstractNumId="1">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2">
    <w:nsid w:val="4166511E"/>
    <w:multiLevelType w:val="singleLevel"/>
    <w:tmpl w:val="4166511E"/>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yNjUwMDQ4YWI0NWEzMzU2ZTk2NjBlYzNhODY1Y2QifQ=="/>
  </w:docVars>
  <w:rsids>
    <w:rsidRoot w:val="00000000"/>
    <w:rsid w:val="00D104A8"/>
    <w:rsid w:val="01D60B10"/>
    <w:rsid w:val="1105030B"/>
    <w:rsid w:val="12F827F0"/>
    <w:rsid w:val="17B35DB7"/>
    <w:rsid w:val="1A6B6438"/>
    <w:rsid w:val="22394A78"/>
    <w:rsid w:val="223F1EBC"/>
    <w:rsid w:val="22EC2E39"/>
    <w:rsid w:val="24355BFE"/>
    <w:rsid w:val="28874872"/>
    <w:rsid w:val="2CBF4288"/>
    <w:rsid w:val="2FD3601F"/>
    <w:rsid w:val="30A12166"/>
    <w:rsid w:val="349B22FF"/>
    <w:rsid w:val="35496A51"/>
    <w:rsid w:val="378214B0"/>
    <w:rsid w:val="39330366"/>
    <w:rsid w:val="3D344362"/>
    <w:rsid w:val="40067A6E"/>
    <w:rsid w:val="474D2D76"/>
    <w:rsid w:val="4B945D75"/>
    <w:rsid w:val="4ED60EA6"/>
    <w:rsid w:val="52C55120"/>
    <w:rsid w:val="5325057D"/>
    <w:rsid w:val="53381D82"/>
    <w:rsid w:val="53F8370C"/>
    <w:rsid w:val="553468E8"/>
    <w:rsid w:val="5D5F0107"/>
    <w:rsid w:val="5DA27C6B"/>
    <w:rsid w:val="5F9D45B3"/>
    <w:rsid w:val="601D67F4"/>
    <w:rsid w:val="68B725B5"/>
    <w:rsid w:val="6E337B9A"/>
    <w:rsid w:val="6E8B7C84"/>
    <w:rsid w:val="777079EF"/>
    <w:rsid w:val="796E5CAB"/>
    <w:rsid w:val="7A9950F7"/>
    <w:rsid w:val="7AE9305B"/>
    <w:rsid w:val="7D171F25"/>
    <w:rsid w:val="7ECB1BA2"/>
    <w:rsid w:val="7FE660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5">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2">
    <w:name w:val="Body Text Indent 2"/>
    <w:basedOn w:val="1"/>
    <w:qFormat/>
    <w:uiPriority w:val="0"/>
    <w:pPr>
      <w:spacing w:after="120" w:afterLines="0" w:line="480" w:lineRule="auto"/>
      <w:ind w:left="420" w:leftChars="200"/>
    </w:pPr>
    <w:rPr>
      <w:szCs w:val="24"/>
    </w:rPr>
  </w:style>
  <w:style w:type="paragraph" w:styleId="6">
    <w:name w:val="annotation text"/>
    <w:basedOn w:val="1"/>
    <w:qFormat/>
    <w:uiPriority w:val="0"/>
    <w:pPr>
      <w:jc w:val="left"/>
    </w:pPr>
  </w:style>
  <w:style w:type="paragraph" w:styleId="7">
    <w:name w:val="Body Text"/>
    <w:basedOn w:val="1"/>
    <w:qFormat/>
    <w:uiPriority w:val="0"/>
  </w:style>
  <w:style w:type="paragraph" w:styleId="8">
    <w:name w:val="Plain Text"/>
    <w:basedOn w:val="1"/>
    <w:qFormat/>
    <w:uiPriority w:val="0"/>
    <w:rPr>
      <w:rFonts w:ascii="宋体" w:hAnsi="Courier New"/>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1">
    <w:name w:val="Body Text 2"/>
    <w:basedOn w:val="1"/>
    <w:qFormat/>
    <w:uiPriority w:val="0"/>
    <w:pPr>
      <w:spacing w:after="120" w:line="480" w:lineRule="auto"/>
    </w:pPr>
    <w:rPr>
      <w:rFonts w:ascii="Times New Roman" w:hAnsi="Times New Roman" w:eastAsia="宋体" w:cs="Times New Roman"/>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8773</Words>
  <Characters>9431</Characters>
  <Lines>0</Lines>
  <Paragraphs>0</Paragraphs>
  <TotalTime>4</TotalTime>
  <ScaleCrop>false</ScaleCrop>
  <LinksUpToDate>false</LinksUpToDate>
  <CharactersWithSpaces>9435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Administrator</cp:lastModifiedBy>
  <dcterms:modified xsi:type="dcterms:W3CDTF">2024-08-20T04:48:59Z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60DD2C802D114C81B3758316795F5C97_12</vt:lpwstr>
  </property>
</Properties>
</file>