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rPr>
      </w:pPr>
      <w:bookmarkStart w:id="18" w:name="_GoBack"/>
      <w:bookmarkEnd w:id="18"/>
      <w:r>
        <w:rPr>
          <w:rFonts w:hint="eastAsia" w:ascii="黑体" w:hAnsi="黑体" w:eastAsia="黑体" w:cs="黑体"/>
          <w:b/>
          <w:bCs/>
          <w:color w:val="auto"/>
          <w:sz w:val="36"/>
          <w:szCs w:val="36"/>
          <w:lang w:eastAsia="zh-CN"/>
        </w:rPr>
        <w:t>托克逊县商务和工业信息化局</w:t>
      </w:r>
      <w:r>
        <w:rPr>
          <w:rFonts w:hint="eastAsia" w:ascii="黑体" w:hAnsi="黑体" w:eastAsia="黑体" w:cs="黑体"/>
          <w:b/>
          <w:bCs/>
          <w:color w:val="auto"/>
          <w:sz w:val="36"/>
          <w:szCs w:val="36"/>
        </w:rPr>
        <w:t>项目支出绩效评价报告</w:t>
      </w:r>
    </w:p>
    <w:p>
      <w:pPr>
        <w:pStyle w:val="3"/>
        <w:ind w:left="0" w:leftChars="0" w:firstLine="0" w:firstLineChars="0"/>
        <w:rPr>
          <w:rFonts w:hint="eastAsia"/>
          <w:color w:val="auto"/>
        </w:rPr>
      </w:pPr>
    </w:p>
    <w:p>
      <w:pPr>
        <w:pStyle w:val="3"/>
        <w:ind w:firstLine="640"/>
        <w:rPr>
          <w:color w:val="auto"/>
        </w:rPr>
      </w:pPr>
      <w:r>
        <w:rPr>
          <w:rFonts w:hint="eastAsia"/>
          <w:color w:val="auto"/>
        </w:rPr>
        <w:t>一、基本情况</w:t>
      </w:r>
    </w:p>
    <w:p>
      <w:pPr>
        <w:pStyle w:val="4"/>
        <w:ind w:firstLine="643"/>
        <w:rPr>
          <w:color w:val="auto"/>
        </w:rPr>
      </w:pPr>
      <w:r>
        <w:rPr>
          <w:rFonts w:hint="eastAsia"/>
          <w:color w:val="auto"/>
        </w:rPr>
        <w:t>（一）项目概况</w:t>
      </w:r>
    </w:p>
    <w:p>
      <w:pPr>
        <w:pStyle w:val="2"/>
        <w:ind w:firstLine="562"/>
        <w:rPr>
          <w:color w:val="auto"/>
        </w:rPr>
      </w:pPr>
      <w:r>
        <w:rPr>
          <w:rFonts w:hint="eastAsia"/>
          <w:color w:val="auto"/>
        </w:rPr>
        <w:t>1.项目背景</w:t>
      </w:r>
    </w:p>
    <w:p>
      <w:pPr>
        <w:pStyle w:val="2"/>
        <w:ind w:firstLine="562"/>
        <w:rPr>
          <w:rFonts w:hint="eastAsia" w:ascii="仿宋" w:hAnsi="仿宋" w:eastAsia="仿宋"/>
          <w:b w:val="0"/>
          <w:bCs w:val="0"/>
          <w:color w:val="auto"/>
          <w:szCs w:val="28"/>
          <w:lang w:eastAsia="zh-CN"/>
        </w:rPr>
      </w:pPr>
      <w:r>
        <w:rPr>
          <w:rFonts w:hint="eastAsia" w:ascii="仿宋" w:hAnsi="仿宋" w:eastAsia="仿宋"/>
          <w:b w:val="0"/>
          <w:bCs w:val="0"/>
          <w:color w:val="auto"/>
          <w:szCs w:val="28"/>
          <w:lang w:eastAsia="zh-CN"/>
        </w:rPr>
        <w:t>近年来，伴随着“互联网</w:t>
      </w:r>
      <w:r>
        <w:rPr>
          <w:rFonts w:hint="eastAsia" w:ascii="仿宋" w:hAnsi="仿宋" w:eastAsia="仿宋"/>
          <w:b w:val="0"/>
          <w:bCs w:val="0"/>
          <w:color w:val="auto"/>
          <w:szCs w:val="28"/>
          <w:lang w:val="en-US" w:eastAsia="zh-CN"/>
        </w:rPr>
        <w:t>+</w:t>
      </w:r>
      <w:r>
        <w:rPr>
          <w:rFonts w:hint="eastAsia" w:ascii="仿宋" w:hAnsi="仿宋" w:eastAsia="仿宋"/>
          <w:b w:val="0"/>
          <w:bCs w:val="0"/>
          <w:color w:val="auto"/>
          <w:szCs w:val="28"/>
          <w:lang w:eastAsia="zh-CN"/>
        </w:rPr>
        <w:t>”</w:t>
      </w:r>
      <w:r>
        <w:rPr>
          <w:rFonts w:hint="eastAsia" w:ascii="仿宋" w:hAnsi="仿宋" w:eastAsia="仿宋"/>
          <w:b w:val="0"/>
          <w:bCs w:val="0"/>
          <w:color w:val="auto"/>
          <w:szCs w:val="28"/>
          <w:lang w:val="en-US" w:eastAsia="zh-CN"/>
        </w:rPr>
        <w:t>的发展，电子商务发展态势良好，电商从业主体逐年增加，逐渐形成“线上+线下”的销售模式，利用电商平台开展农产品销售工作。</w:t>
      </w:r>
      <w:r>
        <w:rPr>
          <w:rFonts w:hint="eastAsia" w:ascii="仿宋" w:hAnsi="仿宋" w:eastAsia="仿宋"/>
          <w:b w:val="0"/>
          <w:bCs w:val="0"/>
          <w:color w:val="auto"/>
          <w:szCs w:val="28"/>
          <w:lang w:eastAsia="zh-CN"/>
        </w:rPr>
        <w:t>为进一步集聚和培育托克逊县电子商务发展环境，托克逊县人民政府办公室制定《托克逊县</w:t>
      </w:r>
      <w:r>
        <w:rPr>
          <w:rFonts w:hint="eastAsia" w:ascii="仿宋" w:hAnsi="仿宋" w:eastAsia="仿宋"/>
          <w:b w:val="0"/>
          <w:bCs w:val="0"/>
          <w:color w:val="auto"/>
          <w:szCs w:val="28"/>
          <w:lang w:val="en-US" w:eastAsia="zh-CN"/>
        </w:rPr>
        <w:t>2017年促进电子商务发展暂行办法</w:t>
      </w:r>
      <w:r>
        <w:rPr>
          <w:rFonts w:hint="eastAsia" w:ascii="仿宋" w:hAnsi="仿宋" w:eastAsia="仿宋"/>
          <w:b w:val="0"/>
          <w:bCs w:val="0"/>
          <w:color w:val="auto"/>
          <w:szCs w:val="28"/>
          <w:lang w:eastAsia="zh-CN"/>
        </w:rPr>
        <w:t>》，旨在提升本县电子商务发展水平，加快电子商务扩容扩面和提质增效，促进市场转型升级，增强市场综合竞争力，充分发挥财政资金的引导作用，引导企业借助电子商务开拓疆内外市场，加快推进本县电子商务发展。</w:t>
      </w:r>
    </w:p>
    <w:p>
      <w:pPr>
        <w:pStyle w:val="2"/>
        <w:ind w:firstLine="562"/>
        <w:rPr>
          <w:color w:val="auto"/>
        </w:rPr>
      </w:pPr>
      <w:r>
        <w:rPr>
          <w:rFonts w:hint="eastAsia"/>
          <w:color w:val="auto"/>
        </w:rPr>
        <w:t>2.主要内容</w:t>
      </w:r>
    </w:p>
    <w:p>
      <w:pPr>
        <w:ind w:firstLine="560"/>
        <w:rPr>
          <w:rFonts w:hint="eastAsia"/>
          <w:color w:val="auto"/>
          <w:lang w:val="en-US" w:eastAsia="zh-CN"/>
        </w:rPr>
      </w:pPr>
      <w:r>
        <w:rPr>
          <w:rFonts w:hint="eastAsia"/>
          <w:color w:val="auto"/>
          <w:lang w:val="en-US" w:eastAsia="zh-CN"/>
        </w:rPr>
        <w:t>项目名称：综合业务项目经费</w:t>
      </w:r>
    </w:p>
    <w:p>
      <w:pPr>
        <w:pStyle w:val="2"/>
        <w:bidi w:val="0"/>
        <w:rPr>
          <w:color w:val="auto"/>
        </w:rPr>
      </w:pPr>
      <w:r>
        <w:rPr>
          <w:rFonts w:hint="eastAsia"/>
          <w:color w:val="auto"/>
          <w:lang w:val="en-US" w:eastAsia="zh-CN"/>
        </w:rPr>
        <w:t>项目主要内容：</w:t>
      </w:r>
      <w:r>
        <w:rPr>
          <w:rFonts w:hint="eastAsia"/>
          <w:b w:val="0"/>
          <w:bCs w:val="0"/>
          <w:color w:val="auto"/>
          <w:lang w:val="en-US" w:eastAsia="zh-CN"/>
        </w:rPr>
        <w:t>一是</w:t>
      </w:r>
      <w:r>
        <w:rPr>
          <w:rFonts w:hint="eastAsia" w:cs="宋体"/>
          <w:b w:val="0"/>
          <w:bCs w:val="0"/>
          <w:color w:val="auto"/>
          <w:highlight w:val="none"/>
          <w:shd w:val="clear" w:color="auto" w:fill="auto"/>
          <w:lang w:val="en-US" w:eastAsia="zh-CN"/>
        </w:rPr>
        <w:t>开展电商培训不少于40场次，组织不少于1380名人员参加培训，扶持电子商务集聚发展，进一步发展电商自我发展能力，不断壮大电商人才队伍，多方式、多渠道培育、孵化电商人才和企业，打造多领域懂电商、会电商、干电商的电商人才队伍；二是支付托克逊县国家级电子商务示范项目产业园2018-2019年期间约475.7天（约1.3年）的房屋租赁费，保障我县电子商务产业发展。</w:t>
      </w:r>
    </w:p>
    <w:p>
      <w:pPr>
        <w:pStyle w:val="2"/>
        <w:ind w:firstLine="562"/>
        <w:rPr>
          <w:color w:val="auto"/>
        </w:rPr>
      </w:pPr>
      <w:r>
        <w:rPr>
          <w:rFonts w:hint="eastAsia"/>
          <w:color w:val="auto"/>
          <w:lang w:val="en-US" w:eastAsia="zh-CN"/>
        </w:rPr>
        <w:t>3</w:t>
      </w:r>
      <w:r>
        <w:rPr>
          <w:rFonts w:hint="eastAsia"/>
          <w:color w:val="auto"/>
        </w:rPr>
        <w:t>.实施情况</w:t>
      </w:r>
    </w:p>
    <w:p>
      <w:pPr>
        <w:ind w:firstLine="560"/>
        <w:jc w:val="left"/>
        <w:rPr>
          <w:rFonts w:hint="eastAsia" w:eastAsia="仿宋_GB2312"/>
          <w:color w:val="auto"/>
          <w:lang w:eastAsia="zh-CN"/>
        </w:rPr>
      </w:pPr>
      <w:r>
        <w:rPr>
          <w:rFonts w:hint="eastAsia"/>
          <w:color w:val="auto"/>
          <w:lang w:val="en-US" w:eastAsia="zh-CN"/>
        </w:rPr>
        <w:t>项目</w:t>
      </w:r>
      <w:r>
        <w:rPr>
          <w:color w:val="auto"/>
        </w:rPr>
        <w:t>实施主体：</w:t>
      </w:r>
      <w:r>
        <w:rPr>
          <w:rFonts w:hint="eastAsia"/>
          <w:color w:val="auto"/>
          <w:lang w:eastAsia="zh-CN"/>
        </w:rPr>
        <w:t>托克逊县商务和工业信息化局</w:t>
      </w:r>
    </w:p>
    <w:p>
      <w:pPr>
        <w:ind w:firstLine="560"/>
        <w:rPr>
          <w:color w:val="auto"/>
        </w:rPr>
      </w:pPr>
      <w:r>
        <w:rPr>
          <w:color w:val="auto"/>
        </w:rPr>
        <w:t>实施时间：</w:t>
      </w:r>
      <w:r>
        <w:rPr>
          <w:rFonts w:hint="eastAsia"/>
          <w:color w:val="auto"/>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color w:val="auto"/>
          <w:highlight w:val="none"/>
          <w:lang w:val="en-US" w:eastAsia="zh-CN"/>
        </w:rPr>
      </w:pPr>
      <w:r>
        <w:rPr>
          <w:rFonts w:hint="eastAsia"/>
          <w:color w:val="auto"/>
          <w:lang w:val="en-US" w:eastAsia="zh-CN"/>
        </w:rPr>
        <w:t>项目实施情况：</w:t>
      </w:r>
      <w:r>
        <w:rPr>
          <w:rFonts w:hint="eastAsia" w:cs="宋体"/>
          <w:b w:val="0"/>
          <w:bCs w:val="0"/>
          <w:color w:val="auto"/>
          <w:highlight w:val="none"/>
          <w:shd w:val="clear" w:color="auto" w:fill="auto"/>
          <w:lang w:val="en-US" w:eastAsia="zh-CN"/>
        </w:rPr>
        <w:t>截止到2023年12月31日，</w:t>
      </w:r>
      <w:r>
        <w:rPr>
          <w:rFonts w:hint="eastAsia"/>
          <w:color w:val="auto"/>
          <w:highlight w:val="none"/>
          <w:lang w:val="en-US" w:eastAsia="zh-CN"/>
        </w:rPr>
        <w:t>我单位联合县访惠聚办邀请托克逊师嘿嘿供应链服务有限公司电商运营总监木合塔尔·派提</w:t>
      </w:r>
      <w:r>
        <w:rPr>
          <w:rFonts w:hint="eastAsia"/>
          <w:color w:val="auto"/>
          <w:highlight w:val="none"/>
          <w:lang w:eastAsia="zh-CN"/>
        </w:rPr>
        <w:t>对各乡镇开</w:t>
      </w:r>
      <w:r>
        <w:rPr>
          <w:rFonts w:hint="eastAsia"/>
          <w:color w:val="auto"/>
          <w:highlight w:val="none"/>
          <w:lang w:val="en-US" w:eastAsia="zh-CN"/>
        </w:rPr>
        <w:t>展了电商普及性培训和电商增值性培训，累计培训42场次1380人，同时为夏镇托台村、工尚村和郭勒布依乡喀拉布拉克村、奥依曼布拉克村等进行了“直播带货技巧、如何开通橱窗，如何拍摄和剪辑视频”等相关内容进行了培训；支付</w:t>
      </w:r>
      <w:r>
        <w:rPr>
          <w:rFonts w:hint="eastAsia" w:cs="宋体"/>
          <w:b w:val="0"/>
          <w:bCs w:val="0"/>
          <w:color w:val="auto"/>
          <w:highlight w:val="none"/>
          <w:shd w:val="clear" w:color="auto" w:fill="auto"/>
          <w:lang w:val="en-US" w:eastAsia="zh-CN"/>
        </w:rPr>
        <w:t>托克逊县国家级电子商务示范项目产业园2018-2019年期间约475.7天（约1.3年）的房屋租赁费。项目的实施有效扶持了电子商务集聚发展，进一步发展了电商自我发展能力，不断壮大了电商人才队伍，多方式、多渠道培育、孵化电商人才和企业，打造多领域懂电商、会电商、干电商的电商人才队伍，为托克逊县县电子商务产业发展提供有利保障。</w:t>
      </w:r>
    </w:p>
    <w:p>
      <w:pPr>
        <w:pStyle w:val="2"/>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color w:val="auto"/>
        </w:rPr>
      </w:pPr>
      <w:r>
        <w:rPr>
          <w:rFonts w:hint="eastAsia" w:ascii="仿宋" w:hAnsi="仿宋" w:eastAsia="仿宋"/>
          <w:b/>
          <w:color w:val="auto"/>
        </w:rPr>
        <w:t>（1）项目资金安排落实、总投入等情况分析</w:t>
      </w:r>
    </w:p>
    <w:p>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300</w:t>
      </w:r>
      <w:r>
        <w:rPr>
          <w:color w:val="auto"/>
        </w:rPr>
        <w:t>万元，其中财政资金</w:t>
      </w:r>
      <w:r>
        <w:rPr>
          <w:rFonts w:hint="eastAsia"/>
          <w:color w:val="auto"/>
          <w:lang w:val="en-US" w:eastAsia="zh-CN"/>
        </w:rPr>
        <w:t>300</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300</w:t>
      </w:r>
      <w:r>
        <w:rPr>
          <w:color w:val="auto"/>
        </w:rPr>
        <w:t>万元，预算资金到位率为</w:t>
      </w:r>
      <w:r>
        <w:rPr>
          <w:rFonts w:hint="eastAsia"/>
          <w:color w:val="auto"/>
          <w:lang w:val="en-US" w:eastAsia="zh-CN"/>
        </w:rPr>
        <w:t>100</w:t>
      </w:r>
      <w:r>
        <w:rPr>
          <w:color w:val="auto"/>
        </w:rPr>
        <w:t>%。</w:t>
      </w:r>
    </w:p>
    <w:p>
      <w:pPr>
        <w:numPr>
          <w:ilvl w:val="0"/>
          <w:numId w:val="1"/>
        </w:numPr>
        <w:ind w:firstLine="562"/>
        <w:rPr>
          <w:rFonts w:hint="eastAsia" w:ascii="仿宋" w:hAnsi="仿宋" w:eastAsia="仿宋"/>
          <w:b/>
          <w:bCs/>
          <w:color w:val="auto"/>
          <w:spacing w:val="-4"/>
        </w:rPr>
      </w:pPr>
      <w:r>
        <w:rPr>
          <w:rFonts w:hint="eastAsia" w:ascii="仿宋" w:hAnsi="仿宋" w:eastAsia="仿宋"/>
          <w:b/>
          <w:bCs/>
          <w:color w:val="auto"/>
          <w:spacing w:val="-4"/>
        </w:rPr>
        <w:t>项目资金实际使用情况分析</w:t>
      </w:r>
    </w:p>
    <w:p>
      <w:pPr>
        <w:numPr>
          <w:ilvl w:val="0"/>
          <w:numId w:val="0"/>
        </w:numPr>
        <w:ind w:firstLine="560" w:firstLineChars="200"/>
        <w:rPr>
          <w:b w:val="0"/>
          <w:bCs w:val="0"/>
          <w:color w:val="auto"/>
        </w:rPr>
      </w:pPr>
      <w:r>
        <w:rPr>
          <w:rFonts w:hint="eastAsia"/>
          <w:b w:val="0"/>
          <w:bCs w:val="0"/>
          <w:color w:val="auto"/>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rPr>
        <w:t>项目实际支付资金</w:t>
      </w:r>
      <w:r>
        <w:rPr>
          <w:rFonts w:hint="eastAsia"/>
          <w:b w:val="0"/>
          <w:bCs w:val="0"/>
          <w:color w:val="auto"/>
          <w:lang w:val="en-US" w:eastAsia="zh-CN"/>
        </w:rPr>
        <w:t>300</w:t>
      </w:r>
      <w:r>
        <w:rPr>
          <w:rFonts w:hint="eastAsia"/>
          <w:b w:val="0"/>
          <w:bCs w:val="0"/>
          <w:color w:val="auto"/>
        </w:rPr>
        <w:t>万元，预算执行率</w:t>
      </w:r>
      <w:r>
        <w:rPr>
          <w:rFonts w:hint="eastAsia"/>
          <w:b w:val="0"/>
          <w:bCs w:val="0"/>
          <w:color w:val="auto"/>
          <w:lang w:val="en-US" w:eastAsia="zh-CN"/>
        </w:rPr>
        <w:t>100</w:t>
      </w:r>
      <w:r>
        <w:rPr>
          <w:b w:val="0"/>
          <w:bCs w:val="0"/>
          <w:color w:val="auto"/>
        </w:rPr>
        <w:t>%</w:t>
      </w:r>
      <w:r>
        <w:rPr>
          <w:rFonts w:hint="eastAsia"/>
          <w:b w:val="0"/>
          <w:bCs w:val="0"/>
          <w:color w:val="auto"/>
          <w:lang w:eastAsia="zh-CN"/>
        </w:rPr>
        <w:t>，</w:t>
      </w:r>
      <w:r>
        <w:rPr>
          <w:rFonts w:hint="eastAsia"/>
          <w:b w:val="0"/>
          <w:bCs w:val="0"/>
          <w:color w:val="auto"/>
          <w:lang w:val="en-US" w:eastAsia="zh-CN"/>
        </w:rPr>
        <w:t>结转资金0</w:t>
      </w:r>
      <w:r>
        <w:rPr>
          <w:rFonts w:hint="eastAsia"/>
          <w:b w:val="0"/>
          <w:bCs w:val="0"/>
          <w:color w:val="auto"/>
        </w:rPr>
        <w:t>万元</w:t>
      </w:r>
      <w:r>
        <w:rPr>
          <w:rFonts w:hint="eastAsia"/>
          <w:b w:val="0"/>
          <w:bCs w:val="0"/>
          <w:color w:val="auto"/>
          <w:lang w:eastAsia="zh-CN"/>
        </w:rPr>
        <w:t>，</w:t>
      </w:r>
      <w:r>
        <w:rPr>
          <w:rFonts w:hint="eastAsia"/>
          <w:b w:val="0"/>
          <w:bCs w:val="0"/>
          <w:color w:val="auto"/>
          <w:lang w:val="en-US" w:eastAsia="zh-CN"/>
        </w:rPr>
        <w:t>结余资金0</w:t>
      </w:r>
      <w:r>
        <w:rPr>
          <w:rFonts w:hint="eastAsia"/>
          <w:b w:val="0"/>
          <w:bCs w:val="0"/>
          <w:color w:val="auto"/>
        </w:rPr>
        <w:t>万元。项目资金主要用于支付</w:t>
      </w:r>
      <w:r>
        <w:rPr>
          <w:rFonts w:hint="eastAsia"/>
          <w:b w:val="0"/>
          <w:bCs w:val="0"/>
          <w:color w:val="auto"/>
          <w:lang w:eastAsia="zh-CN"/>
        </w:rPr>
        <w:t>电商产业园房屋租赁</w:t>
      </w:r>
      <w:r>
        <w:rPr>
          <w:rFonts w:hint="eastAsia"/>
          <w:b w:val="0"/>
          <w:bCs w:val="0"/>
          <w:color w:val="auto"/>
        </w:rPr>
        <w:t>费用</w:t>
      </w:r>
      <w:r>
        <w:rPr>
          <w:rFonts w:hint="eastAsia"/>
          <w:b w:val="0"/>
          <w:bCs w:val="0"/>
          <w:color w:val="auto"/>
          <w:lang w:val="en-US" w:eastAsia="zh-CN"/>
        </w:rPr>
        <w:t>300</w:t>
      </w:r>
      <w:r>
        <w:rPr>
          <w:rFonts w:hint="eastAsia"/>
          <w:b w:val="0"/>
          <w:bCs w:val="0"/>
          <w:color w:val="auto"/>
        </w:rPr>
        <w:t>万元。</w:t>
      </w:r>
    </w:p>
    <w:p>
      <w:pPr>
        <w:pStyle w:val="4"/>
        <w:ind w:left="0" w:leftChars="0" w:firstLine="0" w:firstLineChars="0"/>
        <w:rPr>
          <w:color w:val="auto"/>
        </w:rPr>
      </w:pPr>
      <w:r>
        <w:rPr>
          <w:rFonts w:hint="eastAsia"/>
          <w:color w:val="auto"/>
        </w:rPr>
        <w:t>（</w:t>
      </w:r>
      <w:r>
        <w:rPr>
          <w:rFonts w:hint="eastAsia"/>
          <w:color w:val="auto"/>
          <w:lang w:val="en-US" w:eastAsia="zh-CN"/>
        </w:rPr>
        <w:t>二</w:t>
      </w:r>
      <w:r>
        <w:rPr>
          <w:rFonts w:hint="eastAsia"/>
          <w:color w:val="auto"/>
        </w:rPr>
        <w:t>）项目绩效目标</w:t>
      </w:r>
    </w:p>
    <w:p>
      <w:pPr>
        <w:pStyle w:val="2"/>
        <w:bidi w:val="0"/>
        <w:rPr>
          <w:color w:val="auto"/>
        </w:rPr>
      </w:pPr>
      <w:r>
        <w:rPr>
          <w:rFonts w:hint="eastAsia"/>
          <w:color w:val="auto"/>
        </w:rPr>
        <w:t>1.总体目标</w:t>
      </w:r>
    </w:p>
    <w:p>
      <w:pPr>
        <w:numPr>
          <w:ilvl w:val="0"/>
          <w:numId w:val="0"/>
        </w:numPr>
        <w:ind w:firstLine="560" w:firstLineChars="200"/>
        <w:rPr>
          <w:rFonts w:hint="default"/>
          <w:b w:val="0"/>
          <w:bCs w:val="0"/>
          <w:color w:val="auto"/>
          <w:lang w:val="en-US" w:eastAsia="zh-CN"/>
        </w:rPr>
      </w:pPr>
      <w:r>
        <w:rPr>
          <w:rFonts w:hint="eastAsia"/>
          <w:b w:val="0"/>
          <w:bCs w:val="0"/>
          <w:color w:val="auto"/>
          <w:lang w:val="en-US" w:eastAsia="zh-CN"/>
        </w:rPr>
        <w:t>本项目绩效总体目标为：开展电商培训不少于40场次，组织不少于1380名人员参加培训，扶持电子商务集聚发展，进一步发展电商自我发展能力，不断壮大电商人才队伍，多方式、多渠道培育、孵化电商人才和企业，打造多领域懂电商、会电商、干电商的电商人才队伍；2、支付托克逊县国家级电子商务示范项目产业园2018-2019年期间约475.7天（约1.3年）的房屋租赁费，保障我县电子商务产业发展。</w:t>
      </w:r>
    </w:p>
    <w:p>
      <w:pPr>
        <w:pStyle w:val="2"/>
        <w:ind w:firstLine="562"/>
        <w:rPr>
          <w:color w:val="auto"/>
        </w:rPr>
      </w:pPr>
      <w:r>
        <w:rPr>
          <w:rFonts w:hint="eastAsia"/>
          <w:color w:val="auto"/>
        </w:rPr>
        <w:t>2.阶段性目标</w:t>
      </w:r>
    </w:p>
    <w:p>
      <w:pPr>
        <w:numPr>
          <w:ilvl w:val="0"/>
          <w:numId w:val="0"/>
        </w:numPr>
        <w:ind w:firstLine="560" w:firstLineChars="200"/>
        <w:rPr>
          <w:rFonts w:hint="eastAsia"/>
          <w:b w:val="0"/>
          <w:bCs w:val="0"/>
          <w:color w:val="auto"/>
          <w:lang w:val="en-US" w:eastAsia="zh-CN"/>
        </w:rPr>
      </w:pPr>
      <w:r>
        <w:rPr>
          <w:rFonts w:hint="eastAsia"/>
          <w:b w:val="0"/>
          <w:bCs w:val="0"/>
          <w:color w:val="auto"/>
          <w:lang w:val="en-US"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等文件要求和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pPr>
        <w:ind w:firstLine="560"/>
        <w:rPr>
          <w:color w:val="auto"/>
        </w:rPr>
      </w:pPr>
      <w:r>
        <w:rPr>
          <w:rFonts w:hint="eastAsia"/>
          <w:color w:val="auto"/>
        </w:rPr>
        <w:t>①数量指标</w:t>
      </w:r>
    </w:p>
    <w:p>
      <w:pPr>
        <w:ind w:firstLine="560"/>
        <w:rPr>
          <w:rFonts w:hint="default"/>
          <w:color w:val="auto"/>
          <w:lang w:val="en-US" w:eastAsia="zh-CN"/>
        </w:rPr>
      </w:pPr>
      <w:r>
        <w:rPr>
          <w:rFonts w:hint="eastAsia"/>
          <w:color w:val="auto"/>
          <w:lang w:val="en-US" w:eastAsia="zh-CN"/>
        </w:rPr>
        <w:t>“租赁面积”指标，预期指标值为大于等于10510.76平方米。</w:t>
      </w:r>
    </w:p>
    <w:p>
      <w:pPr>
        <w:ind w:firstLine="560"/>
        <w:rPr>
          <w:rFonts w:hint="default"/>
          <w:color w:val="auto"/>
          <w:lang w:val="en-US"/>
        </w:rPr>
      </w:pPr>
      <w:r>
        <w:rPr>
          <w:rFonts w:hint="eastAsia"/>
          <w:color w:val="auto"/>
        </w:rPr>
        <w:t>“开展电商培训场次”指标，预期指标值为</w:t>
      </w:r>
      <w:r>
        <w:rPr>
          <w:rFonts w:hint="eastAsia"/>
          <w:color w:val="auto"/>
          <w:lang w:val="en-US" w:eastAsia="zh-CN"/>
        </w:rPr>
        <w:t>大于等于</w:t>
      </w:r>
      <w:r>
        <w:rPr>
          <w:rFonts w:hint="eastAsia"/>
          <w:color w:val="auto"/>
        </w:rPr>
        <w:t>40场次</w:t>
      </w:r>
      <w:r>
        <w:rPr>
          <w:rFonts w:hint="eastAsia"/>
          <w:color w:val="auto"/>
          <w:lang w:val="en-US" w:eastAsia="zh-CN"/>
        </w:rPr>
        <w:t>。</w:t>
      </w:r>
    </w:p>
    <w:p>
      <w:pPr>
        <w:ind w:firstLine="560"/>
        <w:rPr>
          <w:rFonts w:hint="eastAsia"/>
          <w:color w:val="auto"/>
          <w:lang w:val="en-US" w:eastAsia="zh-CN"/>
        </w:rPr>
      </w:pPr>
      <w:r>
        <w:rPr>
          <w:rFonts w:hint="eastAsia"/>
          <w:color w:val="auto"/>
        </w:rPr>
        <w:t>“参加电商培训人数”指标，预期指标值为</w:t>
      </w:r>
      <w:r>
        <w:rPr>
          <w:rFonts w:hint="eastAsia"/>
          <w:color w:val="auto"/>
          <w:lang w:val="en-US" w:eastAsia="zh-CN"/>
        </w:rPr>
        <w:t>大于等于1</w:t>
      </w:r>
      <w:r>
        <w:rPr>
          <w:rFonts w:hint="eastAsia"/>
          <w:color w:val="auto"/>
        </w:rPr>
        <w:t>380人</w:t>
      </w:r>
      <w:r>
        <w:rPr>
          <w:rFonts w:hint="eastAsia"/>
          <w:color w:val="auto"/>
          <w:lang w:val="en-US" w:eastAsia="zh-CN"/>
        </w:rPr>
        <w:t>。</w:t>
      </w:r>
    </w:p>
    <w:p>
      <w:pPr>
        <w:pStyle w:val="2"/>
        <w:rPr>
          <w:rFonts w:hint="default" w:ascii="Times New Roman" w:hAnsi="Times New Roman" w:eastAsia="仿宋_GB2312" w:cs="Times New Roman"/>
          <w:b w:val="0"/>
          <w:bCs w:val="0"/>
          <w:color w:val="auto"/>
          <w:kern w:val="2"/>
          <w:sz w:val="28"/>
          <w:szCs w:val="24"/>
          <w:lang w:val="en-US" w:eastAsia="zh-CN" w:bidi="ar-SA"/>
        </w:rPr>
      </w:pPr>
      <w:r>
        <w:rPr>
          <w:rFonts w:hint="eastAsia" w:ascii="Times New Roman" w:hAnsi="Times New Roman" w:eastAsia="仿宋_GB2312" w:cs="Times New Roman"/>
          <w:b w:val="0"/>
          <w:bCs w:val="0"/>
          <w:color w:val="auto"/>
          <w:kern w:val="2"/>
          <w:sz w:val="28"/>
          <w:szCs w:val="24"/>
          <w:lang w:val="en-US" w:eastAsia="zh-CN" w:bidi="ar-SA"/>
        </w:rPr>
        <w:t>“</w:t>
      </w:r>
      <w:r>
        <w:rPr>
          <w:rFonts w:hint="default" w:ascii="Times New Roman" w:hAnsi="Times New Roman" w:eastAsia="仿宋_GB2312" w:cs="Times New Roman"/>
          <w:b w:val="0"/>
          <w:bCs w:val="0"/>
          <w:color w:val="auto"/>
          <w:kern w:val="2"/>
          <w:sz w:val="28"/>
          <w:szCs w:val="24"/>
          <w:lang w:val="en-US" w:eastAsia="zh-CN" w:bidi="ar-SA"/>
        </w:rPr>
        <w:t>电商产业园房屋租赁时长</w:t>
      </w:r>
      <w:r>
        <w:rPr>
          <w:rFonts w:hint="eastAsia" w:ascii="Times New Roman" w:hAnsi="Times New Roman" w:eastAsia="仿宋_GB2312" w:cs="Times New Roman"/>
          <w:b w:val="0"/>
          <w:bCs w:val="0"/>
          <w:color w:val="auto"/>
          <w:kern w:val="2"/>
          <w:sz w:val="28"/>
          <w:szCs w:val="24"/>
          <w:lang w:val="en-US" w:eastAsia="zh-CN" w:bidi="ar-SA"/>
        </w:rPr>
        <w:t>”指标</w:t>
      </w:r>
      <w:r>
        <w:rPr>
          <w:rFonts w:hint="eastAsia" w:ascii="Times New Roman" w:hAnsi="Times New Roman" w:cs="Times New Roman"/>
          <w:b w:val="0"/>
          <w:bCs w:val="0"/>
          <w:color w:val="auto"/>
          <w:kern w:val="2"/>
          <w:sz w:val="28"/>
          <w:szCs w:val="24"/>
          <w:lang w:val="en-US" w:eastAsia="zh-CN" w:bidi="ar-SA"/>
        </w:rPr>
        <w:t>，</w:t>
      </w:r>
      <w:r>
        <w:rPr>
          <w:rFonts w:hint="eastAsia"/>
          <w:b w:val="0"/>
          <w:bCs w:val="0"/>
          <w:color w:val="auto"/>
        </w:rPr>
        <w:t>预期指标值为</w:t>
      </w:r>
      <w:r>
        <w:rPr>
          <w:rFonts w:hint="eastAsia"/>
          <w:b w:val="0"/>
          <w:bCs w:val="0"/>
          <w:color w:val="auto"/>
          <w:lang w:val="en-US" w:eastAsia="zh-CN"/>
        </w:rPr>
        <w:t>大于等于</w:t>
      </w:r>
      <w:r>
        <w:rPr>
          <w:rFonts w:hint="eastAsia"/>
          <w:b w:val="0"/>
          <w:bCs w:val="0"/>
          <w:color w:val="auto"/>
        </w:rPr>
        <w:t>1.30年</w:t>
      </w:r>
    </w:p>
    <w:p>
      <w:pPr>
        <w:ind w:firstLine="560"/>
        <w:rPr>
          <w:color w:val="auto"/>
        </w:rPr>
      </w:pPr>
      <w:r>
        <w:rPr>
          <w:rFonts w:hint="eastAsia"/>
          <w:color w:val="auto"/>
        </w:rPr>
        <w:t>②质量指标</w:t>
      </w:r>
    </w:p>
    <w:p>
      <w:pPr>
        <w:ind w:firstLine="560"/>
        <w:rPr>
          <w:rFonts w:hint="eastAsia"/>
          <w:color w:val="auto"/>
          <w:lang w:val="en-US" w:eastAsia="zh-CN"/>
        </w:rPr>
      </w:pPr>
      <w:r>
        <w:rPr>
          <w:rFonts w:hint="eastAsia"/>
          <w:color w:val="auto"/>
          <w:lang w:val="en-US" w:eastAsia="zh-CN"/>
        </w:rPr>
        <w:t>“资金规范管理使用率”指标，预期指标值为100%。</w:t>
      </w:r>
    </w:p>
    <w:p>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pPr>
        <w:ind w:firstLine="560"/>
        <w:rPr>
          <w:rFonts w:hint="eastAsia"/>
          <w:color w:val="auto"/>
          <w:lang w:val="en-US" w:eastAsia="zh-CN"/>
        </w:rPr>
      </w:pPr>
      <w:r>
        <w:rPr>
          <w:rFonts w:hint="eastAsia"/>
          <w:color w:val="auto"/>
        </w:rPr>
        <w:t>“公用经费支付及时率”指标，预期指标值为</w:t>
      </w:r>
      <w:r>
        <w:rPr>
          <w:rFonts w:hint="eastAsia"/>
          <w:color w:val="auto"/>
          <w:lang w:val="en-US" w:eastAsia="zh-CN"/>
        </w:rPr>
        <w:t>100%。</w:t>
      </w:r>
    </w:p>
    <w:p>
      <w:pPr>
        <w:pStyle w:val="2"/>
        <w:rPr>
          <w:rFonts w:hint="eastAsia"/>
          <w:b w:val="0"/>
          <w:bCs w:val="0"/>
          <w:color w:val="auto"/>
          <w:lang w:val="en-US" w:eastAsia="zh-CN"/>
        </w:rPr>
      </w:pPr>
      <w:r>
        <w:rPr>
          <w:rFonts w:hint="eastAsia"/>
          <w:b w:val="0"/>
          <w:bCs w:val="0"/>
          <w:color w:val="auto"/>
        </w:rPr>
        <w:t>“项目及时完成率”指标，预期指标值为</w:t>
      </w:r>
      <w:r>
        <w:rPr>
          <w:rFonts w:hint="eastAsia"/>
          <w:b w:val="0"/>
          <w:bCs w:val="0"/>
          <w:color w:val="auto"/>
          <w:lang w:val="en-US" w:eastAsia="zh-CN"/>
        </w:rPr>
        <w:t>100%。</w:t>
      </w:r>
    </w:p>
    <w:p>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pPr>
        <w:ind w:firstLine="560"/>
        <w:rPr>
          <w:rFonts w:hint="eastAsia" w:eastAsia="仿宋_GB2312"/>
          <w:color w:val="auto"/>
          <w:lang w:eastAsia="zh-CN"/>
        </w:rPr>
      </w:pPr>
      <w:r>
        <w:rPr>
          <w:rFonts w:hint="eastAsia"/>
          <w:color w:val="auto"/>
        </w:rPr>
        <w:t>“电商产业园房屋租赁费”指标，预期指标值为</w:t>
      </w:r>
      <w:r>
        <w:rPr>
          <w:rFonts w:hint="eastAsia"/>
          <w:color w:val="auto"/>
          <w:lang w:eastAsia="zh-CN"/>
        </w:rPr>
        <w:t>小于等于</w:t>
      </w:r>
      <w:r>
        <w:rPr>
          <w:rFonts w:hint="eastAsia"/>
          <w:color w:val="auto"/>
        </w:rPr>
        <w:t>2301856.44元/年</w:t>
      </w:r>
      <w:r>
        <w:rPr>
          <w:rFonts w:hint="eastAsia"/>
          <w:color w:val="auto"/>
          <w:lang w:eastAsia="zh-CN"/>
        </w:rPr>
        <w:t>。</w:t>
      </w:r>
    </w:p>
    <w:p>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pPr>
        <w:ind w:firstLine="560"/>
        <w:rPr>
          <w:color w:val="auto"/>
        </w:rPr>
      </w:pPr>
      <w:r>
        <w:rPr>
          <w:rFonts w:hint="eastAsia"/>
          <w:color w:val="auto"/>
        </w:rPr>
        <w:t>①经济效益指标</w:t>
      </w:r>
    </w:p>
    <w:p>
      <w:pPr>
        <w:ind w:firstLine="560"/>
        <w:rPr>
          <w:color w:val="auto"/>
        </w:rPr>
      </w:pPr>
      <w:r>
        <w:rPr>
          <w:rFonts w:hint="eastAsia"/>
          <w:color w:val="auto"/>
          <w:lang w:eastAsia="zh-CN"/>
        </w:rPr>
        <w:t>无</w:t>
      </w:r>
      <w:r>
        <w:rPr>
          <w:rFonts w:hint="eastAsia"/>
          <w:color w:val="auto"/>
        </w:rPr>
        <w:t>；</w:t>
      </w:r>
    </w:p>
    <w:p>
      <w:pPr>
        <w:ind w:firstLine="560"/>
        <w:rPr>
          <w:color w:val="auto"/>
        </w:rPr>
      </w:pPr>
      <w:r>
        <w:rPr>
          <w:rFonts w:hint="eastAsia"/>
          <w:color w:val="auto"/>
        </w:rPr>
        <w:t>②社会效益指标</w:t>
      </w:r>
    </w:p>
    <w:p>
      <w:pPr>
        <w:ind w:firstLine="560"/>
        <w:rPr>
          <w:rFonts w:hint="eastAsia" w:eastAsia="仿宋_GB2312"/>
          <w:color w:val="auto"/>
          <w:lang w:eastAsia="zh-CN"/>
        </w:rPr>
      </w:pPr>
      <w:r>
        <w:rPr>
          <w:rFonts w:hint="eastAsia"/>
          <w:color w:val="auto"/>
        </w:rPr>
        <w:t>“保障我县电商健康快速发展”指标，预期指标值为有效保障</w:t>
      </w:r>
      <w:r>
        <w:rPr>
          <w:rFonts w:hint="eastAsia"/>
          <w:color w:val="auto"/>
          <w:lang w:eastAsia="zh-CN"/>
        </w:rPr>
        <w:t>。</w:t>
      </w:r>
    </w:p>
    <w:p>
      <w:pPr>
        <w:ind w:firstLine="560"/>
        <w:rPr>
          <w:rFonts w:hint="eastAsia"/>
          <w:color w:val="auto"/>
          <w:lang w:eastAsia="zh-CN"/>
        </w:rPr>
      </w:pPr>
      <w:r>
        <w:rPr>
          <w:rFonts w:hint="eastAsia"/>
          <w:color w:val="auto"/>
        </w:rPr>
        <w:t>“拓宽本地农产品销售渠道”指标，预期指标值为</w:t>
      </w:r>
      <w:r>
        <w:rPr>
          <w:rFonts w:hint="eastAsia"/>
          <w:color w:val="auto"/>
          <w:lang w:eastAsia="zh-CN"/>
        </w:rPr>
        <w:t>进一步拓宽。</w:t>
      </w:r>
    </w:p>
    <w:p>
      <w:pPr>
        <w:ind w:firstLine="560"/>
        <w:rPr>
          <w:color w:val="auto"/>
        </w:rPr>
      </w:pPr>
      <w:r>
        <w:rPr>
          <w:rFonts w:hint="eastAsia"/>
          <w:color w:val="auto"/>
        </w:rPr>
        <w:t>③生态效益指标</w:t>
      </w:r>
    </w:p>
    <w:p>
      <w:pPr>
        <w:ind w:firstLine="560"/>
        <w:rPr>
          <w:rFonts w:hint="eastAsia" w:eastAsia="仿宋_GB2312"/>
          <w:color w:val="auto"/>
          <w:lang w:eastAsia="zh-CN"/>
        </w:rPr>
      </w:pPr>
      <w:r>
        <w:rPr>
          <w:rFonts w:hint="eastAsia"/>
          <w:color w:val="auto"/>
          <w:lang w:eastAsia="zh-CN"/>
        </w:rPr>
        <w:t>无；</w:t>
      </w:r>
    </w:p>
    <w:p>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pPr>
        <w:ind w:firstLine="560"/>
        <w:rPr>
          <w:rFonts w:hint="eastAsia"/>
          <w:color w:val="auto"/>
          <w:lang w:eastAsia="zh-CN"/>
        </w:rPr>
      </w:pPr>
      <w:r>
        <w:rPr>
          <w:rFonts w:hint="eastAsia"/>
          <w:color w:val="auto"/>
          <w:lang w:eastAsia="zh-CN"/>
        </w:rPr>
        <w:t>无</w:t>
      </w:r>
    </w:p>
    <w:p>
      <w:pPr>
        <w:pStyle w:val="3"/>
        <w:ind w:firstLine="640"/>
        <w:rPr>
          <w:color w:val="auto"/>
        </w:rPr>
      </w:pPr>
      <w:r>
        <w:rPr>
          <w:rFonts w:hint="eastAsia"/>
          <w:color w:val="auto"/>
        </w:rPr>
        <w:t>二、绩效评价工作开展情况</w:t>
      </w:r>
    </w:p>
    <w:p>
      <w:pPr>
        <w:pStyle w:val="4"/>
        <w:numPr>
          <w:ilvl w:val="0"/>
          <w:numId w:val="2"/>
        </w:numPr>
        <w:ind w:firstLine="643"/>
        <w:rPr>
          <w:rFonts w:ascii="楷体" w:hAnsi="楷体" w:cs="楷体"/>
          <w:color w:val="auto"/>
          <w:szCs w:val="32"/>
        </w:rPr>
      </w:pPr>
      <w:bookmarkStart w:id="0" w:name="_Toc480473081"/>
      <w:bookmarkStart w:id="1" w:name="_Toc22922"/>
      <w:bookmarkStart w:id="2" w:name="_Toc26632"/>
      <w:bookmarkStart w:id="3" w:name="_Toc5462343"/>
      <w:bookmarkStart w:id="4" w:name="_Toc22169_WPSOffice_Level2"/>
      <w:bookmarkStart w:id="5" w:name="_Toc12868"/>
      <w:bookmarkStart w:id="6" w:name="_Toc5258"/>
      <w:bookmarkStart w:id="7" w:name="_Toc21664"/>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pPr>
        <w:pStyle w:val="2"/>
        <w:ind w:firstLine="562"/>
        <w:rPr>
          <w:rFonts w:hint="eastAsia"/>
          <w:color w:val="auto"/>
        </w:rPr>
      </w:pPr>
      <w:r>
        <w:rPr>
          <w:rFonts w:hint="eastAsia"/>
          <w:color w:val="auto"/>
        </w:rPr>
        <w:t>1.绩效评价的目的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color w:val="auto"/>
        </w:rPr>
      </w:pPr>
      <w:r>
        <w:rPr>
          <w:rFonts w:hint="eastAsia"/>
          <w:color w:val="auto"/>
        </w:rPr>
        <w:t>2.绩效评价对象</w:t>
      </w:r>
    </w:p>
    <w:p>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eastAsia="zh-CN"/>
        </w:rPr>
        <w:t>综合业务经费</w:t>
      </w:r>
      <w:r>
        <w:rPr>
          <w:rFonts w:hint="eastAsia"/>
          <w:color w:val="auto"/>
        </w:rPr>
        <w:t>项目，评价核心为项目</w:t>
      </w:r>
      <w:r>
        <w:rPr>
          <w:rFonts w:hint="eastAsia"/>
          <w:color w:val="auto"/>
          <w:lang w:val="en-US" w:eastAsia="zh-CN"/>
        </w:rPr>
        <w:t>的资金投入、产出及效益</w:t>
      </w:r>
      <w:r>
        <w:rPr>
          <w:rFonts w:hint="eastAsia"/>
          <w:color w:val="auto"/>
        </w:rPr>
        <w:t>。</w:t>
      </w:r>
    </w:p>
    <w:p>
      <w:pPr>
        <w:pStyle w:val="2"/>
        <w:ind w:firstLine="562"/>
        <w:rPr>
          <w:rFonts w:hint="eastAsia"/>
          <w:color w:val="auto"/>
        </w:rPr>
      </w:pPr>
      <w:r>
        <w:rPr>
          <w:rFonts w:hint="eastAsia"/>
          <w:color w:val="auto"/>
        </w:rPr>
        <w:t>3.绩效评价范围</w:t>
      </w:r>
    </w:p>
    <w:p>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pPr>
        <w:pStyle w:val="4"/>
        <w:numPr>
          <w:ilvl w:val="0"/>
          <w:numId w:val="2"/>
        </w:numPr>
        <w:ind w:firstLine="643"/>
        <w:rPr>
          <w:color w:val="auto"/>
        </w:rPr>
      </w:pPr>
      <w:r>
        <w:rPr>
          <w:rFonts w:hint="eastAsia"/>
          <w:color w:val="auto"/>
        </w:rPr>
        <w:t>绩效评价原则、评价指标体系、评价方法评价标准</w:t>
      </w:r>
    </w:p>
    <w:p>
      <w:pPr>
        <w:pStyle w:val="2"/>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rPr>
      </w:pPr>
      <w:r>
        <w:rPr>
          <w:rFonts w:hint="eastAsia"/>
          <w:color w:val="auto"/>
        </w:rPr>
        <w:t>（1）科学公正。绩效评价应当运用科学合理的方法，按照规范的程序，对项目绩效进行客观、公正的反映。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rPr>
      </w:pPr>
      <w:bookmarkStart w:id="8" w:name="_Toc428278230"/>
      <w:bookmarkStart w:id="9" w:name="_Toc26131"/>
      <w:bookmarkStart w:id="10" w:name="_Toc419984722"/>
      <w:bookmarkStart w:id="11" w:name="_Toc1913"/>
      <w:r>
        <w:rPr>
          <w:rFonts w:hint="eastAsia"/>
          <w:color w:val="auto"/>
        </w:rPr>
        <w:t>2.绩效评价指标体系</w:t>
      </w:r>
      <w:bookmarkEnd w:id="8"/>
      <w:bookmarkEnd w:id="9"/>
      <w:bookmarkEnd w:id="10"/>
      <w:bookmarkEnd w:id="11"/>
    </w:p>
    <w:p>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lang w:eastAsia="zh-CN"/>
        </w:rPr>
        <w:t>：</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pPr>
        <w:pStyle w:val="2"/>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pPr>
        <w:pStyle w:val="6"/>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pPr>
        <w:pStyle w:val="6"/>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pPr>
        <w:pStyle w:val="6"/>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pPr>
        <w:pStyle w:val="6"/>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pPr>
        <w:pStyle w:val="6"/>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pPr>
        <w:pStyle w:val="6"/>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pPr>
        <w:pStyle w:val="6"/>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pPr>
        <w:pStyle w:val="6"/>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pPr>
        <w:pStyle w:val="2"/>
        <w:ind w:firstLine="562"/>
        <w:rPr>
          <w:color w:val="auto"/>
        </w:rPr>
      </w:pPr>
      <w:r>
        <w:rPr>
          <w:rFonts w:hint="eastAsia"/>
          <w:color w:val="auto"/>
        </w:rPr>
        <w:t>4.评价标准</w:t>
      </w:r>
    </w:p>
    <w:p>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2"/>
        </w:numPr>
        <w:ind w:firstLine="643"/>
        <w:rPr>
          <w:color w:val="auto"/>
        </w:rPr>
      </w:pPr>
      <w:r>
        <w:rPr>
          <w:rFonts w:hint="eastAsia"/>
          <w:color w:val="auto"/>
        </w:rPr>
        <w:t>绩效评价工作过程</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ascii="Times New Roman" w:hAnsi="Times New Roman" w:cs="Times New Roman"/>
          <w:color w:val="auto"/>
          <w:lang w:val="en-US" w:eastAsia="zh-CN"/>
        </w:rPr>
        <w:t>2024年</w:t>
      </w:r>
      <w:r>
        <w:rPr>
          <w:rFonts w:hint="eastAsia" w:cs="Times New Roman"/>
          <w:color w:val="auto"/>
          <w:lang w:val="en-US" w:eastAsia="zh-CN"/>
        </w:rPr>
        <w:t>3</w:t>
      </w:r>
      <w:r>
        <w:rPr>
          <w:rFonts w:hint="eastAsia" w:ascii="Times New Roman" w:hAnsi="Times New Roman" w:cs="Times New Roman"/>
          <w:color w:val="auto"/>
          <w:lang w:val="en-US" w:eastAsia="zh-CN"/>
        </w:rPr>
        <w:t>月2</w:t>
      </w:r>
      <w:r>
        <w:rPr>
          <w:rFonts w:hint="eastAsia" w:cs="Times New Roman"/>
          <w:color w:val="auto"/>
          <w:lang w:val="en-US" w:eastAsia="zh-CN"/>
        </w:rPr>
        <w:t>2</w:t>
      </w:r>
      <w:r>
        <w:rPr>
          <w:rFonts w:hint="eastAsia" w:ascii="Times New Roman" w:hAnsi="Times New Roman" w:cs="Times New Roman"/>
          <w:color w:val="auto"/>
          <w:lang w:val="en-US" w:eastAsia="zh-CN"/>
        </w:rPr>
        <w:t>日，绩效评价项目小组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pPr>
        <w:ind w:firstLine="560"/>
        <w:rPr>
          <w:rFonts w:hint="default"/>
          <w:color w:val="auto"/>
          <w:lang w:val="en-US" w:eastAsia="zh-CN"/>
        </w:rPr>
      </w:pPr>
      <w:r>
        <w:rPr>
          <w:rFonts w:hint="eastAsia"/>
          <w:color w:val="auto"/>
          <w:lang w:val="en-US" w:eastAsia="zh-CN"/>
        </w:rPr>
        <w:t>（1）评价组组长：刘根涛，</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color w:val="auto"/>
          <w:lang w:val="en-US" w:eastAsia="zh-CN"/>
        </w:rPr>
        <w:t>（2）评价组成员：夏依买旦·木沙，</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color w:val="auto"/>
          <w:lang w:val="en-US" w:eastAsia="zh-CN"/>
        </w:rPr>
      </w:pPr>
      <w:r>
        <w:rPr>
          <w:rFonts w:hint="eastAsia"/>
          <w:color w:val="auto"/>
          <w:lang w:val="en-US" w:eastAsia="zh-CN"/>
        </w:rPr>
        <w:t>（3）评价组成员：史芹翠，</w:t>
      </w:r>
      <w:r>
        <w:rPr>
          <w:rFonts w:hint="eastAsia"/>
          <w:color w:val="auto"/>
        </w:rPr>
        <w:t>主要负责现场调研工作，完成收集整理资料、审核数据、填报绩效评价内容等工作</w:t>
      </w:r>
      <w:r>
        <w:rPr>
          <w:rFonts w:hint="eastAsia"/>
          <w:color w:val="auto"/>
          <w:lang w:val="en-US" w:eastAsia="zh-CN"/>
        </w:rPr>
        <w:t>。</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23</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24</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25</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27</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2024年3月</w:t>
      </w:r>
      <w:r>
        <w:rPr>
          <w:rFonts w:hint="eastAsia" w:cs="Times New Roman"/>
          <w:color w:val="auto"/>
          <w:lang w:val="en-US" w:eastAsia="zh-CN"/>
        </w:rPr>
        <w:t>28</w:t>
      </w:r>
      <w:r>
        <w:rPr>
          <w:rFonts w:hint="eastAsia" w:ascii="Times New Roman" w:hAnsi="Times New Roman" w:cs="Times New Roman"/>
          <w:color w:val="auto"/>
          <w:lang w:val="en-US" w:eastAsia="zh-CN"/>
        </w:rPr>
        <w:t>日-</w:t>
      </w:r>
      <w:r>
        <w:rPr>
          <w:rFonts w:hint="eastAsia" w:cs="Times New Roman"/>
          <w:color w:val="auto"/>
          <w:lang w:val="en-US" w:eastAsia="zh-CN"/>
        </w:rPr>
        <w:t>3</w:t>
      </w:r>
      <w:r>
        <w:rPr>
          <w:rFonts w:hint="eastAsia" w:ascii="Times New Roman" w:hAnsi="Times New Roman" w:cs="Times New Roman"/>
          <w:color w:val="auto"/>
          <w:lang w:val="en-US" w:eastAsia="zh-CN"/>
        </w:rPr>
        <w:t>月</w:t>
      </w:r>
      <w:r>
        <w:rPr>
          <w:rFonts w:hint="eastAsia" w:cs="Times New Roman"/>
          <w:color w:val="auto"/>
          <w:lang w:val="en-US" w:eastAsia="zh-CN"/>
        </w:rPr>
        <w:t>30</w:t>
      </w:r>
      <w:r>
        <w:rPr>
          <w:rFonts w:hint="eastAsia" w:ascii="Times New Roman" w:hAnsi="Times New Roman" w:cs="Times New Roman"/>
          <w:color w:val="auto"/>
          <w:lang w:val="en-US" w:eastAsia="zh-CN"/>
        </w:rPr>
        <w:t>日，绩效评价项目小组依照整理、分析后的项目材料、数据资料，依据评价形成的初步结论，按照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pPr>
        <w:pStyle w:val="2"/>
        <w:ind w:firstLine="562"/>
        <w:rPr>
          <w:rFonts w:hint="eastAsia"/>
          <w:color w:val="auto"/>
        </w:rPr>
      </w:pPr>
      <w:bookmarkStart w:id="12" w:name="_Toc5055"/>
      <w:r>
        <w:rPr>
          <w:rFonts w:hint="eastAsia"/>
          <w:color w:val="auto"/>
          <w:lang w:val="en-US" w:eastAsia="zh-CN"/>
        </w:rPr>
        <w:t>4.</w:t>
      </w:r>
      <w:r>
        <w:rPr>
          <w:rFonts w:hint="eastAsia"/>
          <w:color w:val="auto"/>
        </w:rPr>
        <w:t>问题整改</w:t>
      </w:r>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color w:val="auto"/>
          <w:lang w:val="en-US" w:eastAsia="zh-CN"/>
        </w:rPr>
      </w:pPr>
      <w:r>
        <w:rPr>
          <w:rFonts w:hint="eastAsia"/>
          <w:color w:val="auto"/>
          <w:lang w:val="en-US" w:eastAsia="zh-CN"/>
        </w:rPr>
        <w:t>5.归集档案</w:t>
      </w:r>
      <w:bookmarkEnd w:id="12"/>
    </w:p>
    <w:p>
      <w:pPr>
        <w:bidi w:val="0"/>
        <w:rPr>
          <w:rFonts w:hint="eastAsia"/>
          <w:color w:val="auto"/>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pPr>
        <w:rPr>
          <w:color w:val="auto"/>
        </w:rPr>
      </w:pPr>
      <w:r>
        <w:rPr>
          <w:rFonts w:hint="eastAsia"/>
          <w:color w:val="auto"/>
        </w:rPr>
        <w:t>　</w:t>
      </w:r>
    </w:p>
    <w:p>
      <w:pPr>
        <w:pStyle w:val="3"/>
        <w:numPr>
          <w:ilvl w:val="0"/>
          <w:numId w:val="3"/>
        </w:numPr>
        <w:ind w:firstLine="640"/>
        <w:rPr>
          <w:color w:val="auto"/>
        </w:rPr>
      </w:pPr>
      <w:r>
        <w:rPr>
          <w:rFonts w:hint="eastAsia"/>
          <w:color w:val="auto"/>
        </w:rPr>
        <w:t>综合评价情况及评价结论</w:t>
      </w:r>
    </w:p>
    <w:p>
      <w:pPr>
        <w:pStyle w:val="4"/>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pPr>
        <w:bidi w:val="0"/>
        <w:rPr>
          <w:rFonts w:hint="eastAsia"/>
          <w:color w:val="auto"/>
          <w:lang w:eastAsia="zh-CN"/>
        </w:rPr>
      </w:pPr>
      <w:bookmarkStart w:id="14" w:name="_Toc68364666"/>
      <w:r>
        <w:rPr>
          <w:rFonts w:hint="eastAsia"/>
          <w:color w:val="auto"/>
          <w:lang w:eastAsia="zh-CN"/>
        </w:rPr>
        <w:tab/>
      </w:r>
      <w:r>
        <w:rPr>
          <w:rFonts w:hint="eastAsia"/>
          <w:color w:val="auto"/>
          <w:lang w:eastAsia="zh-CN"/>
        </w:rPr>
        <w:t>经评价，本项目基本</w:t>
      </w:r>
      <w:r>
        <w:rPr>
          <w:rFonts w:hint="eastAsia"/>
          <w:color w:val="auto"/>
          <w:lang w:val="en-US" w:eastAsia="zh-CN"/>
        </w:rPr>
        <w:t>达成</w:t>
      </w:r>
      <w:r>
        <w:rPr>
          <w:rFonts w:hint="eastAsia"/>
          <w:color w:val="auto"/>
          <w:lang w:eastAsia="zh-CN"/>
        </w:rPr>
        <w:t>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bidi w:val="0"/>
        <w:rPr>
          <w:rFonts w:hint="eastAsia"/>
          <w:color w:val="auto"/>
          <w:lang w:eastAsia="zh-CN"/>
        </w:rPr>
      </w:pPr>
      <w:r>
        <w:rPr>
          <w:rFonts w:hint="eastAsia"/>
          <w:color w:val="auto"/>
        </w:rPr>
        <w:t>项目决策方面</w:t>
      </w:r>
      <w:r>
        <w:rPr>
          <w:rFonts w:hint="eastAsia"/>
          <w:color w:val="auto"/>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p>
    <w:p>
      <w:pPr>
        <w:bidi w:val="0"/>
        <w:rPr>
          <w:rFonts w:hint="eastAsia"/>
          <w:color w:val="auto"/>
          <w:lang w:eastAsia="zh-CN"/>
        </w:rPr>
      </w:pPr>
      <w:r>
        <w:rPr>
          <w:rFonts w:hint="eastAsia"/>
          <w:color w:val="auto"/>
          <w:lang w:eastAsia="zh-CN"/>
        </w:rPr>
        <w:t xml:space="preserve"> </w:t>
      </w:r>
      <w:r>
        <w:rPr>
          <w:rFonts w:hint="eastAsia"/>
          <w:color w:val="auto"/>
        </w:rPr>
        <w:t>项目管理方面</w:t>
      </w:r>
      <w:r>
        <w:rPr>
          <w:rFonts w:hint="eastAsia"/>
          <w:color w:val="auto"/>
          <w:lang w:eastAsia="zh-CN"/>
        </w:rPr>
        <w:t>：</w:t>
      </w:r>
      <w:r>
        <w:rPr>
          <w:rFonts w:hint="eastAsia"/>
          <w:color w:val="auto"/>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lang w:eastAsia="zh-CN"/>
        </w:rPr>
        <w:t>。</w:t>
      </w:r>
    </w:p>
    <w:p>
      <w:pPr>
        <w:pStyle w:val="2"/>
        <w:bidi w:val="0"/>
        <w:rPr>
          <w:rFonts w:hint="eastAsia" w:eastAsia="仿宋_GB2312"/>
          <w:color w:val="auto"/>
          <w:highlight w:val="none"/>
          <w:lang w:eastAsia="zh-CN"/>
        </w:rPr>
      </w:pPr>
      <w:r>
        <w:rPr>
          <w:rFonts w:hint="eastAsia"/>
          <w:color w:val="auto"/>
          <w:lang w:eastAsia="zh-CN"/>
        </w:rPr>
        <w:t>项目产出方面：</w:t>
      </w:r>
      <w:r>
        <w:rPr>
          <w:rFonts w:hint="eastAsia"/>
          <w:b w:val="0"/>
          <w:bCs w:val="0"/>
          <w:color w:val="auto"/>
          <w:highlight w:val="none"/>
          <w:lang w:val="en-US" w:eastAsia="zh-CN"/>
        </w:rPr>
        <w:t>截止到2023年12月31日，本项目</w:t>
      </w:r>
      <w:r>
        <w:rPr>
          <w:rFonts w:hint="eastAsia"/>
          <w:b w:val="0"/>
          <w:bCs w:val="0"/>
          <w:color w:val="auto"/>
          <w:highlight w:val="none"/>
        </w:rPr>
        <w:t>已</w:t>
      </w:r>
      <w:r>
        <w:rPr>
          <w:rFonts w:hint="eastAsia"/>
          <w:b w:val="0"/>
          <w:bCs w:val="0"/>
          <w:color w:val="auto"/>
          <w:highlight w:val="none"/>
          <w:lang w:eastAsia="zh-CN"/>
        </w:rPr>
        <w:t>完成</w:t>
      </w:r>
      <w:r>
        <w:rPr>
          <w:rFonts w:hint="eastAsia" w:cs="宋体"/>
          <w:b w:val="0"/>
          <w:bCs w:val="0"/>
          <w:color w:val="auto"/>
          <w:highlight w:val="none"/>
          <w:shd w:val="clear" w:color="auto" w:fill="auto"/>
          <w:lang w:val="en-US" w:eastAsia="zh-CN"/>
        </w:rPr>
        <w:t>开展电商培训42场次，组织1380名人员参加培训，租赁托克逊县国家级电子商务示范项目产业园10510.76平方米，支付了2018-2019年期间约475.7天（约1.3年）的房屋租赁费。</w:t>
      </w:r>
    </w:p>
    <w:p>
      <w:pPr>
        <w:bidi w:val="0"/>
        <w:rPr>
          <w:rFonts w:hint="eastAsia" w:ascii="仿宋_GB2312" w:hAnsi="仿宋_GB2312" w:eastAsia="仿宋_GB2312" w:cs="宋体"/>
          <w:b w:val="0"/>
          <w:bCs w:val="0"/>
          <w:color w:val="auto"/>
          <w:kern w:val="0"/>
          <w:sz w:val="28"/>
          <w:szCs w:val="32"/>
          <w:highlight w:val="none"/>
          <w:shd w:val="clear" w:color="auto" w:fill="auto"/>
          <w:lang w:val="en-US" w:eastAsia="zh-CN" w:bidi="ar-SA"/>
        </w:rPr>
      </w:pPr>
      <w:r>
        <w:rPr>
          <w:rFonts w:hint="eastAsia" w:ascii="仿宋_GB2312" w:hAnsi="仿宋_GB2312" w:eastAsia="仿宋_GB2312" w:cs="Times New Roman"/>
          <w:b/>
          <w:bCs/>
          <w:color w:val="auto"/>
          <w:kern w:val="0"/>
          <w:sz w:val="28"/>
          <w:szCs w:val="32"/>
          <w:lang w:val="en-US" w:eastAsia="zh-CN" w:bidi="ar-SA"/>
        </w:rPr>
        <w:t>项目效益方面：</w:t>
      </w:r>
      <w:r>
        <w:rPr>
          <w:rFonts w:hint="eastAsia" w:ascii="仿宋_GB2312" w:hAnsi="仿宋_GB2312" w:cs="Times New Roman"/>
          <w:b/>
          <w:bCs/>
          <w:color w:val="auto"/>
          <w:kern w:val="0"/>
          <w:sz w:val="28"/>
          <w:szCs w:val="32"/>
          <w:lang w:val="en-US" w:eastAsia="zh-CN" w:bidi="ar-SA"/>
        </w:rPr>
        <w:t>通过</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扶持电子商务集聚发展，进一步</w:t>
      </w:r>
      <w:r>
        <w:rPr>
          <w:rFonts w:hint="eastAsia" w:ascii="仿宋_GB2312" w:hAnsi="仿宋_GB2312" w:cs="宋体"/>
          <w:b w:val="0"/>
          <w:bCs w:val="0"/>
          <w:color w:val="auto"/>
          <w:kern w:val="0"/>
          <w:sz w:val="28"/>
          <w:szCs w:val="32"/>
          <w:highlight w:val="none"/>
          <w:shd w:val="clear" w:color="auto" w:fill="auto"/>
          <w:lang w:val="en-US" w:eastAsia="zh-CN" w:bidi="ar-SA"/>
        </w:rPr>
        <w:t>提升了</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电商自我发展能力，壮大</w:t>
      </w:r>
      <w:r>
        <w:rPr>
          <w:rFonts w:hint="eastAsia" w:ascii="仿宋_GB2312" w:hAnsi="仿宋_GB2312" w:cs="宋体"/>
          <w:b w:val="0"/>
          <w:bCs w:val="0"/>
          <w:color w:val="auto"/>
          <w:kern w:val="0"/>
          <w:sz w:val="28"/>
          <w:szCs w:val="32"/>
          <w:highlight w:val="none"/>
          <w:shd w:val="clear" w:color="auto" w:fill="auto"/>
          <w:lang w:val="en-US" w:eastAsia="zh-CN" w:bidi="ar-SA"/>
        </w:rPr>
        <w:t>了</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电商人才队伍，进一步拓展</w:t>
      </w:r>
      <w:r>
        <w:rPr>
          <w:rFonts w:hint="eastAsia" w:ascii="仿宋_GB2312" w:hAnsi="仿宋_GB2312" w:cs="宋体"/>
          <w:b w:val="0"/>
          <w:bCs w:val="0"/>
          <w:color w:val="auto"/>
          <w:kern w:val="0"/>
          <w:sz w:val="28"/>
          <w:szCs w:val="32"/>
          <w:highlight w:val="none"/>
          <w:shd w:val="clear" w:color="auto" w:fill="auto"/>
          <w:lang w:val="en-US" w:eastAsia="zh-CN" w:bidi="ar-SA"/>
        </w:rPr>
        <w:t>了</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农产品销售渠道，有效保障</w:t>
      </w:r>
      <w:r>
        <w:rPr>
          <w:rFonts w:hint="eastAsia" w:ascii="仿宋_GB2312" w:hAnsi="仿宋_GB2312" w:cs="宋体"/>
          <w:b w:val="0"/>
          <w:bCs w:val="0"/>
          <w:color w:val="auto"/>
          <w:kern w:val="0"/>
          <w:sz w:val="28"/>
          <w:szCs w:val="32"/>
          <w:highlight w:val="none"/>
          <w:shd w:val="clear" w:color="auto" w:fill="auto"/>
          <w:lang w:val="en-US" w:eastAsia="zh-CN" w:bidi="ar-SA"/>
        </w:rPr>
        <w:t>了</w:t>
      </w:r>
      <w:r>
        <w:rPr>
          <w:rFonts w:hint="eastAsia" w:ascii="仿宋_GB2312" w:hAnsi="仿宋_GB2312" w:eastAsia="仿宋_GB2312" w:cs="宋体"/>
          <w:b w:val="0"/>
          <w:bCs w:val="0"/>
          <w:color w:val="auto"/>
          <w:kern w:val="0"/>
          <w:sz w:val="28"/>
          <w:szCs w:val="32"/>
          <w:highlight w:val="none"/>
          <w:shd w:val="clear" w:color="auto" w:fill="auto"/>
          <w:lang w:val="en-US" w:eastAsia="zh-CN" w:bidi="ar-SA"/>
        </w:rPr>
        <w:t>我县电子商务产业发展</w:t>
      </w:r>
      <w:r>
        <w:rPr>
          <w:rFonts w:hint="eastAsia" w:ascii="仿宋_GB2312" w:hAnsi="仿宋_GB2312" w:cs="宋体"/>
          <w:b w:val="0"/>
          <w:bCs w:val="0"/>
          <w:color w:val="auto"/>
          <w:kern w:val="0"/>
          <w:sz w:val="28"/>
          <w:szCs w:val="32"/>
          <w:highlight w:val="none"/>
          <w:shd w:val="clear" w:color="auto" w:fill="auto"/>
          <w:lang w:val="en-US" w:eastAsia="zh-CN" w:bidi="ar-SA"/>
        </w:rPr>
        <w:t>。</w:t>
      </w:r>
    </w:p>
    <w:p>
      <w:pPr>
        <w:pStyle w:val="4"/>
        <w:bidi w:val="0"/>
        <w:rPr>
          <w:rFonts w:hint="eastAsia"/>
          <w:color w:val="auto"/>
        </w:rPr>
      </w:pPr>
      <w:r>
        <w:rPr>
          <w:rFonts w:hint="eastAsia"/>
          <w:color w:val="auto"/>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99分，绩效评级为“优秀”。综合评价结论如下：本项目决策指标共设置6个，满分20分，得分率100%；项目过程指标共设置5个，满分20分，得分率95%；项目产出指标共设置7个，满分24分，得分率100%；项目成本指标共设置1个，满分12分，得分率100%；项目效益指标共设置2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3"/>
        <w:numPr>
          <w:ilvl w:val="0"/>
          <w:numId w:val="3"/>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1.项目立项情况分析</w:t>
      </w:r>
    </w:p>
    <w:p>
      <w:pPr>
        <w:bidi w:val="0"/>
        <w:rPr>
          <w:rFonts w:hint="eastAsia"/>
          <w:b/>
          <w:bCs/>
          <w:color w:val="auto"/>
        </w:rPr>
      </w:pPr>
      <w:r>
        <w:rPr>
          <w:rFonts w:hint="eastAsia"/>
          <w:b/>
          <w:bCs/>
          <w:color w:val="auto"/>
        </w:rPr>
        <w:t>（1）立项依据充分性：</w:t>
      </w:r>
    </w:p>
    <w:p>
      <w:pPr>
        <w:bidi w:val="0"/>
        <w:rPr>
          <w:rFonts w:hint="eastAsia"/>
          <w:color w:val="auto"/>
        </w:rPr>
      </w:pPr>
      <w:r>
        <w:rPr>
          <w:rFonts w:hint="eastAsia"/>
          <w:color w:val="auto"/>
        </w:rPr>
        <w:t>本</w:t>
      </w:r>
      <w:r>
        <w:rPr>
          <w:rFonts w:hint="eastAsia"/>
          <w:color w:val="auto"/>
          <w:lang w:eastAsia="zh-Hans"/>
        </w:rPr>
        <w:t>项目立项符合</w:t>
      </w:r>
      <w:r>
        <w:rPr>
          <w:rFonts w:hint="eastAsia" w:ascii="Times New Roman" w:hAnsi="Times New Roman" w:cs="Times New Roman"/>
          <w:color w:val="auto"/>
          <w:lang w:eastAsia="zh-CN"/>
        </w:rPr>
        <w:t>托克逊县人民政府</w:t>
      </w:r>
      <w:r>
        <w:rPr>
          <w:rFonts w:hint="eastAsia" w:ascii="Times New Roman" w:hAnsi="Times New Roman" w:cs="Times New Roman"/>
          <w:color w:val="auto"/>
          <w:lang w:eastAsia="zh-Hans"/>
        </w:rPr>
        <w:t>颁发的《</w:t>
      </w:r>
      <w:r>
        <w:rPr>
          <w:rFonts w:hint="eastAsia" w:ascii="Times New Roman" w:hAnsi="Times New Roman" w:cs="Times New Roman"/>
          <w:color w:val="auto"/>
          <w:lang w:eastAsia="zh-CN"/>
        </w:rPr>
        <w:t>关于印发</w:t>
      </w:r>
      <w:r>
        <w:rPr>
          <w:rFonts w:hint="eastAsia" w:ascii="Times New Roman" w:hAnsi="Times New Roman" w:cs="Times New Roman"/>
          <w:color w:val="auto"/>
          <w:lang w:val="en-US" w:eastAsia="zh-CN"/>
        </w:rPr>
        <w:t>&lt;</w:t>
      </w:r>
      <w:r>
        <w:rPr>
          <w:rFonts w:hint="eastAsia" w:ascii="Times New Roman" w:hAnsi="Times New Roman" w:cs="Times New Roman"/>
          <w:color w:val="auto"/>
          <w:lang w:eastAsia="zh-CN"/>
        </w:rPr>
        <w:t>托克逊县</w:t>
      </w:r>
      <w:r>
        <w:rPr>
          <w:rFonts w:hint="eastAsia" w:ascii="Times New Roman" w:hAnsi="Times New Roman" w:cs="Times New Roman"/>
          <w:color w:val="auto"/>
          <w:lang w:val="en-US" w:eastAsia="zh-CN"/>
        </w:rPr>
        <w:t>2017年促进电子商务发展暂行办法&gt;</w:t>
      </w:r>
      <w:r>
        <w:rPr>
          <w:rFonts w:hint="eastAsia" w:ascii="Times New Roman" w:hAnsi="Times New Roman" w:cs="Times New Roman"/>
          <w:color w:val="auto"/>
          <w:lang w:eastAsia="zh-CN"/>
        </w:rPr>
        <w:t>的通知</w:t>
      </w:r>
      <w:r>
        <w:rPr>
          <w:rFonts w:hint="eastAsia" w:ascii="Times New Roman" w:hAnsi="Times New Roman" w:cs="Times New Roman"/>
          <w:color w:val="auto"/>
          <w:lang w:eastAsia="zh-Hans"/>
        </w:rPr>
        <w:t>》（</w:t>
      </w:r>
      <w:r>
        <w:rPr>
          <w:rFonts w:hint="eastAsia" w:ascii="Times New Roman" w:hAnsi="Times New Roman" w:cs="Times New Roman"/>
          <w:color w:val="auto"/>
          <w:lang w:eastAsia="zh-CN"/>
        </w:rPr>
        <w:t>托政办发</w:t>
      </w:r>
      <w:r>
        <w:rPr>
          <w:rFonts w:hint="eastAsia" w:ascii="Times New Roman" w:hAnsi="Times New Roman" w:cs="Times New Roman"/>
          <w:color w:val="auto"/>
          <w:lang w:eastAsia="zh-Hans"/>
        </w:rPr>
        <w:t>〔</w:t>
      </w:r>
      <w:r>
        <w:rPr>
          <w:rFonts w:hint="eastAsia" w:ascii="Times New Roman" w:hAnsi="Times New Roman" w:cs="Times New Roman"/>
          <w:color w:val="auto"/>
          <w:lang w:val="en-US" w:eastAsia="zh-CN"/>
        </w:rPr>
        <w:t>2017</w:t>
      </w:r>
      <w:r>
        <w:rPr>
          <w:rFonts w:hint="eastAsia" w:ascii="Times New Roman" w:hAnsi="Times New Roman" w:cs="Times New Roman"/>
          <w:color w:val="auto"/>
          <w:lang w:eastAsia="zh-Hans"/>
        </w:rPr>
        <w:t>〕</w:t>
      </w:r>
      <w:r>
        <w:rPr>
          <w:rFonts w:hint="eastAsia" w:ascii="Times New Roman" w:hAnsi="Times New Roman" w:cs="Times New Roman"/>
          <w:color w:val="auto"/>
          <w:lang w:val="en-US" w:eastAsia="zh-CN"/>
        </w:rPr>
        <w:t>171</w:t>
      </w:r>
      <w:r>
        <w:rPr>
          <w:rFonts w:hint="eastAsia" w:ascii="Times New Roman" w:hAnsi="Times New Roman" w:cs="Times New Roman"/>
          <w:color w:val="auto"/>
          <w:lang w:eastAsia="zh-Hans"/>
        </w:rPr>
        <w:t>号）中：“</w:t>
      </w:r>
      <w:r>
        <w:rPr>
          <w:rFonts w:hint="eastAsia" w:ascii="Times New Roman" w:hAnsi="Times New Roman" w:cs="Times New Roman"/>
          <w:color w:val="auto"/>
          <w:lang w:eastAsia="zh-CN"/>
        </w:rPr>
        <w:t>扶持电子商务聚集发展，重点支持全县网商相对集中的，能够为电子商务发展提供引导和产业配套服务的孵化园区</w:t>
      </w:r>
      <w:r>
        <w:rPr>
          <w:rFonts w:hint="eastAsia" w:ascii="Times New Roman" w:hAnsi="Times New Roman" w:cs="Times New Roman"/>
          <w:color w:val="auto"/>
          <w:lang w:eastAsia="zh-Hans"/>
        </w:rPr>
        <w:t>”；符</w:t>
      </w:r>
      <w:r>
        <w:rPr>
          <w:rFonts w:hint="eastAsia"/>
          <w:color w:val="auto"/>
          <w:lang w:eastAsia="zh-Hans"/>
        </w:rPr>
        <w:t>合行业发展规划和政策要求</w:t>
      </w:r>
      <w:r>
        <w:rPr>
          <w:rFonts w:hint="eastAsia"/>
          <w:color w:val="auto"/>
        </w:rPr>
        <w:t>；本</w:t>
      </w:r>
      <w:r>
        <w:rPr>
          <w:rFonts w:hint="eastAsia"/>
          <w:color w:val="auto"/>
          <w:lang w:eastAsia="zh-Hans"/>
        </w:rPr>
        <w:t>项目立项符合《</w:t>
      </w:r>
      <w:r>
        <w:rPr>
          <w:rFonts w:hint="eastAsia"/>
          <w:color w:val="auto"/>
          <w:lang w:eastAsia="zh-CN"/>
        </w:rPr>
        <w:t>托克逊县商务和工业信息化局</w:t>
      </w:r>
      <w:r>
        <w:rPr>
          <w:rFonts w:hint="eastAsia"/>
          <w:color w:val="auto"/>
        </w:rPr>
        <w:t>单位</w:t>
      </w:r>
      <w:r>
        <w:rPr>
          <w:rFonts w:hint="eastAsia"/>
          <w:color w:val="auto"/>
          <w:lang w:eastAsia="zh-Hans"/>
        </w:rPr>
        <w:t>配置内设机构和人员编制规定》中职责范围</w:t>
      </w:r>
      <w:r>
        <w:rPr>
          <w:rFonts w:hint="eastAsia"/>
          <w:color w:val="auto"/>
        </w:rPr>
        <w:t>中的“</w:t>
      </w:r>
      <w:r>
        <w:rPr>
          <w:rFonts w:hint="eastAsia" w:ascii="仿宋_GB2312" w:hAnsi="仿宋_GB2312" w:eastAsia="仿宋_GB2312" w:cs="仿宋_GB2312"/>
          <w:color w:val="auto"/>
          <w:highlight w:val="none"/>
        </w:rPr>
        <w:t>推进流通产业结构调整，指导流通企业改革、商贸服务业发展，提出促进商贸中小企业发展的办法建议，推动流通标准化和连锁经营、商业特许经营、物流配送、电子商务等现代流通方式的发展</w:t>
      </w:r>
      <w:r>
        <w:rPr>
          <w:rFonts w:hint="eastAsia"/>
          <w:color w:val="auto"/>
        </w:rPr>
        <w:t>”</w:t>
      </w:r>
      <w:r>
        <w:rPr>
          <w:rFonts w:hint="eastAsia"/>
          <w:color w:val="auto"/>
          <w:lang w:eastAsia="zh-Hans"/>
        </w:rPr>
        <w:t>，属于</w:t>
      </w:r>
      <w:r>
        <w:rPr>
          <w:rFonts w:hint="eastAsia"/>
          <w:color w:val="auto"/>
        </w:rPr>
        <w:t>我单位</w:t>
      </w:r>
      <w:r>
        <w:rPr>
          <w:rFonts w:hint="eastAsia"/>
          <w:color w:val="auto"/>
          <w:lang w:eastAsia="zh-Hans"/>
        </w:rPr>
        <w:t>履职所需</w:t>
      </w:r>
      <w:r>
        <w:rPr>
          <w:rFonts w:hint="eastAsia"/>
          <w:color w:val="auto"/>
        </w:rPr>
        <w:t>；根据《财政资金直接支付申请书》，本项目资金性质为</w:t>
      </w:r>
      <w:r>
        <w:rPr>
          <w:rFonts w:hint="eastAsia"/>
          <w:color w:val="auto"/>
          <w:lang w:val="en-US" w:eastAsia="zh-CN"/>
        </w:rPr>
        <w:t>县级项目</w:t>
      </w:r>
      <w:r>
        <w:rPr>
          <w:rFonts w:hint="eastAsia"/>
          <w:color w:val="auto"/>
        </w:rPr>
        <w:t>资金</w:t>
      </w:r>
      <w:r>
        <w:rPr>
          <w:rFonts w:hint="eastAsia"/>
          <w:color w:val="auto"/>
          <w:lang w:eastAsia="zh-CN"/>
        </w:rPr>
        <w:t>，</w:t>
      </w:r>
      <w:r>
        <w:rPr>
          <w:rFonts w:hint="eastAsia"/>
          <w:color w:val="auto"/>
        </w:rPr>
        <w:t>功能分类为</w:t>
      </w:r>
      <w:r>
        <w:rPr>
          <w:rFonts w:hint="eastAsia"/>
          <w:color w:val="auto"/>
          <w:lang w:val="en-US" w:eastAsia="zh-CN"/>
        </w:rPr>
        <w:t>2011399</w:t>
      </w:r>
      <w:r>
        <w:rPr>
          <w:rFonts w:hint="eastAsia"/>
          <w:color w:val="auto"/>
          <w:lang w:eastAsia="zh-CN"/>
        </w:rPr>
        <w:t>，</w:t>
      </w:r>
      <w:r>
        <w:rPr>
          <w:rFonts w:hint="eastAsia"/>
          <w:color w:val="auto"/>
        </w:rPr>
        <w:t>经济分类为</w:t>
      </w:r>
      <w:r>
        <w:rPr>
          <w:rFonts w:hint="eastAsia"/>
          <w:color w:val="auto"/>
          <w:lang w:val="en-US" w:eastAsia="zh-CN"/>
        </w:rPr>
        <w:t>租赁费</w:t>
      </w:r>
      <w:r>
        <w:rPr>
          <w:rFonts w:hint="eastAsia"/>
          <w:color w:val="auto"/>
        </w:rPr>
        <w:t>支出</w:t>
      </w:r>
      <w:r>
        <w:rPr>
          <w:rFonts w:hint="eastAsia"/>
          <w:color w:val="auto"/>
          <w:lang w:eastAsia="zh-CN"/>
        </w:rPr>
        <w:t>，</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rFonts w:hint="eastAsia" w:ascii="Times New Roman" w:hAnsi="Times New Roman" w:cs="Times New Roman"/>
          <w:color w:val="auto"/>
          <w:lang w:val="en-US" w:eastAsia="zh-CN"/>
        </w:rPr>
      </w:pPr>
      <w:r>
        <w:rPr>
          <w:rFonts w:hint="eastAsia"/>
          <w:color w:val="auto"/>
          <w:lang w:val="en-US" w:eastAsia="zh-CN"/>
        </w:rPr>
        <w:t>该</w:t>
      </w:r>
      <w:r>
        <w:rPr>
          <w:rFonts w:hint="eastAsia"/>
          <w:color w:val="auto"/>
        </w:rPr>
        <w:t>项目按照规定</w:t>
      </w:r>
      <w:r>
        <w:rPr>
          <w:rFonts w:hint="eastAsia" w:ascii="Times New Roman" w:hAnsi="Times New Roman" w:cs="Times New Roman"/>
          <w:color w:val="auto"/>
        </w:rPr>
        <w:t>的</w:t>
      </w:r>
      <w:r>
        <w:rPr>
          <w:rFonts w:hint="eastAsia" w:ascii="Times New Roman" w:hAnsi="Times New Roman" w:cs="Times New Roman"/>
          <w:color w:val="auto"/>
          <w:lang w:val="en-US" w:eastAsia="zh-CN"/>
        </w:rPr>
        <w:t>立项</w:t>
      </w:r>
      <w:r>
        <w:rPr>
          <w:rFonts w:hint="eastAsia" w:ascii="Times New Roman" w:hAnsi="Times New Roman" w:cs="Times New Roman"/>
          <w:color w:val="auto"/>
        </w:rPr>
        <w:t>程序申请设</w:t>
      </w:r>
      <w:r>
        <w:rPr>
          <w:rFonts w:hint="eastAsia"/>
          <w:color w:val="auto"/>
        </w:rPr>
        <w:t>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单位按照程序向县财政局提交了</w:t>
      </w:r>
      <w:r>
        <w:rPr>
          <w:rFonts w:hint="eastAsia" w:ascii="Times New Roman" w:hAnsi="Times New Roman" w:cs="Times New Roman"/>
          <w:color w:val="auto"/>
          <w:lang w:val="en-US" w:eastAsia="zh-CN"/>
        </w:rPr>
        <w:t>综合业务项目经费申请报告、项目资金支出明细表等相关符合要求的申请材料并通过审批。</w:t>
      </w:r>
    </w:p>
    <w:p>
      <w:pPr>
        <w:bidi w:val="0"/>
        <w:rPr>
          <w:color w:val="auto"/>
        </w:rPr>
      </w:pPr>
      <w:r>
        <w:rPr>
          <w:rFonts w:hint="eastAsia" w:ascii="Times New Roman" w:hAnsi="Times New Roman" w:cs="Times New Roman"/>
          <w:color w:val="auto"/>
          <w:lang w:val="en-US" w:eastAsia="zh-CN"/>
        </w:rPr>
        <w:t>综上，该指标满分3分，根据</w:t>
      </w:r>
      <w:r>
        <w:rPr>
          <w:rFonts w:hint="eastAsia"/>
          <w:color w:val="auto"/>
        </w:rPr>
        <w:t>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2"/>
        <w:bidi w:val="0"/>
        <w:rPr>
          <w:rFonts w:hint="eastAsia"/>
          <w:color w:val="auto"/>
          <w:lang w:val="en-US" w:eastAsia="zh-CN"/>
        </w:rPr>
      </w:pPr>
      <w:r>
        <w:rPr>
          <w:rFonts w:hint="eastAsia"/>
          <w:color w:val="auto"/>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pPr>
        <w:pStyle w:val="2"/>
        <w:bidi w:val="0"/>
        <w:rPr>
          <w:rFonts w:hint="default" w:ascii="宋体" w:hAnsi="宋体" w:eastAsia="宋体" w:cs="宋体"/>
          <w:b w:val="0"/>
          <w:bCs w:val="0"/>
          <w:color w:val="auto"/>
          <w:highlight w:val="none"/>
          <w:shd w:val="clear" w:color="auto" w:fill="auto"/>
          <w:lang w:val="en-US" w:eastAsia="zh-CN"/>
        </w:rPr>
      </w:pPr>
      <w:r>
        <w:rPr>
          <w:rFonts w:hint="eastAsia" w:ascii="Times New Roman" w:hAnsi="Times New Roman" w:eastAsia="仿宋_GB2312" w:cs="Times New Roman"/>
          <w:b w:val="0"/>
          <w:bCs w:val="0"/>
          <w:color w:val="auto"/>
          <w:kern w:val="2"/>
          <w:sz w:val="28"/>
          <w:szCs w:val="24"/>
          <w:lang w:val="en-US" w:eastAsia="zh-CN" w:bidi="ar-SA"/>
        </w:rPr>
        <w:t>①本项目已设置年度绩效目标，具体内容为：开展电商培训</w:t>
      </w:r>
      <w:r>
        <w:rPr>
          <w:rFonts w:hint="eastAsia" w:cs="宋体"/>
          <w:b w:val="0"/>
          <w:bCs w:val="0"/>
          <w:color w:val="auto"/>
          <w:highlight w:val="none"/>
          <w:shd w:val="clear" w:color="auto" w:fill="auto"/>
          <w:lang w:val="en-US" w:eastAsia="zh-CN"/>
        </w:rPr>
        <w:t>不少于40场次，组织不少于1380名人员参加培训，扶持电子商务集聚发展，进一步发展电商自我发展能力，不断壮大电商人才队伍，多方式、多渠道培育、孵化电商人才和企业，打造多领域懂电商、会电商、干电商的电商人才队伍；2、支付托克逊县国家级电子商务示范项目产业园2018-2019年期间约475.7天（约1.3年）的房屋租赁费，保障我县电子商务产业发展。</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300</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300</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将项目绩效目标细化分解为具体的绩效指标，</w:t>
      </w:r>
      <w:r>
        <w:rPr>
          <w:rFonts w:hint="eastAsia"/>
          <w:color w:val="auto"/>
          <w:lang w:val="en-US" w:eastAsia="zh-CN"/>
        </w:rPr>
        <w:t>指标</w:t>
      </w:r>
      <w:r>
        <w:rPr>
          <w:rFonts w:hint="eastAsia"/>
          <w:color w:val="auto"/>
          <w:lang w:eastAsia="zh-CN"/>
        </w:rPr>
        <w:t>量化率达70%以上；</w:t>
      </w:r>
    </w:p>
    <w:p>
      <w:pPr>
        <w:bidi w:val="0"/>
        <w:rPr>
          <w:rFonts w:hint="eastAsia"/>
          <w:color w:val="auto"/>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pPr>
        <w:pStyle w:val="2"/>
        <w:bidi w:val="0"/>
        <w:rPr>
          <w:color w:val="auto"/>
        </w:rPr>
      </w:pPr>
      <w:r>
        <w:rPr>
          <w:rFonts w:hint="eastAsia"/>
          <w:color w:val="auto"/>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300</w:t>
      </w:r>
      <w:r>
        <w:rPr>
          <w:rFonts w:hint="eastAsia" w:ascii="仿宋_GB2312" w:cs="仿宋_GB2312"/>
          <w:color w:val="auto"/>
          <w:sz w:val="28"/>
          <w:szCs w:val="28"/>
        </w:rPr>
        <w:t>万元，主要用于支付</w:t>
      </w:r>
      <w:r>
        <w:rPr>
          <w:rFonts w:hint="eastAsia" w:ascii="仿宋_GB2312" w:cs="仿宋_GB2312"/>
          <w:color w:val="auto"/>
          <w:sz w:val="28"/>
          <w:szCs w:val="28"/>
          <w:lang w:val="en-US" w:eastAsia="zh-CN"/>
        </w:rPr>
        <w:t>电子商务产业园房屋租赁费300万元</w:t>
      </w:r>
      <w:r>
        <w:rPr>
          <w:rFonts w:hint="eastAsia" w:ascii="仿宋_GB2312" w:cs="仿宋_GB2312"/>
          <w:color w:val="auto"/>
          <w:sz w:val="28"/>
          <w:szCs w:val="28"/>
        </w:rPr>
        <w:t>，</w:t>
      </w:r>
      <w:r>
        <w:rPr>
          <w:rFonts w:hint="eastAsia"/>
          <w:color w:val="auto"/>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color w:val="auto"/>
        </w:rPr>
        <w:t>④</w:t>
      </w:r>
      <w:r>
        <w:rPr>
          <w:rFonts w:hint="eastAsia" w:ascii="仿宋_GB2312" w:cs="仿宋_GB2312"/>
          <w:color w:val="auto"/>
          <w:sz w:val="28"/>
          <w:szCs w:val="28"/>
          <w:lang w:val="en-US" w:eastAsia="zh-CN"/>
        </w:rPr>
        <w:t>本项目资金主要用于</w:t>
      </w:r>
      <w:r>
        <w:rPr>
          <w:rFonts w:hint="eastAsia" w:ascii="仿宋_GB2312" w:cs="仿宋_GB2312"/>
          <w:color w:val="auto"/>
          <w:sz w:val="28"/>
          <w:szCs w:val="28"/>
        </w:rPr>
        <w:t>支付</w:t>
      </w:r>
      <w:r>
        <w:rPr>
          <w:rFonts w:hint="eastAsia" w:ascii="仿宋_GB2312" w:cs="仿宋_GB2312"/>
          <w:color w:val="auto"/>
          <w:sz w:val="28"/>
          <w:szCs w:val="28"/>
          <w:lang w:val="en-US" w:eastAsia="zh-CN"/>
        </w:rPr>
        <w:t>电子商务产业园房屋租赁费300万元</w:t>
      </w:r>
      <w:r>
        <w:rPr>
          <w:rFonts w:hint="eastAsia" w:ascii="仿宋_GB2312" w:cs="仿宋_GB2312"/>
          <w:color w:val="auto"/>
          <w:sz w:val="28"/>
          <w:szCs w:val="28"/>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pPr>
        <w:pageBreakBefore w:val="0"/>
        <w:kinsoku/>
        <w:wordWrap/>
        <w:topLinePunct w:val="0"/>
        <w:autoSpaceDE/>
        <w:autoSpaceDN/>
        <w:bidi w:val="0"/>
        <w:spacing w:line="560" w:lineRule="exact"/>
        <w:ind w:right="0" w:rightChars="0" w:firstLine="643"/>
        <w:rPr>
          <w:rFonts w:hint="eastAsia"/>
          <w:color w:val="auto"/>
          <w:lang w:bidi="ar"/>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w:t>
      </w:r>
      <w:r>
        <w:rPr>
          <w:rFonts w:hint="eastAsia"/>
          <w:color w:val="auto"/>
          <w:lang w:val="en-US" w:eastAsia="zh-CN" w:bidi="ar"/>
        </w:rPr>
        <w:t>2023年综合业务经费</w:t>
      </w:r>
      <w:r>
        <w:rPr>
          <w:rFonts w:hint="eastAsia"/>
          <w:color w:val="auto"/>
          <w:lang w:bidi="ar"/>
        </w:rPr>
        <w:t>项目资金的请示</w:t>
      </w:r>
      <w:r>
        <w:rPr>
          <w:rFonts w:hint="eastAsia"/>
          <w:color w:val="auto"/>
          <w:lang w:eastAsia="zh-Hans" w:bidi="ar"/>
        </w:rPr>
        <w:t>》</w:t>
      </w:r>
      <w:r>
        <w:rPr>
          <w:rFonts w:hint="eastAsia"/>
          <w:color w:val="auto"/>
          <w:lang w:bidi="ar"/>
        </w:rPr>
        <w:t>和《</w:t>
      </w:r>
      <w:r>
        <w:rPr>
          <w:rFonts w:hint="eastAsia"/>
          <w:color w:val="auto"/>
          <w:lang w:eastAsia="zh-CN" w:bidi="ar"/>
        </w:rPr>
        <w:t>明珠综合体租赁协议书</w:t>
      </w:r>
      <w:r>
        <w:rPr>
          <w:rFonts w:hint="eastAsia"/>
          <w:color w:val="auto"/>
          <w:lang w:bidi="ar"/>
        </w:rPr>
        <w:t>》</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eastAsia="zh-CN" w:bidi="ar"/>
        </w:rPr>
        <w:t>综合业务项目经费</w:t>
      </w:r>
      <w:r>
        <w:rPr>
          <w:rFonts w:hint="eastAsia"/>
          <w:color w:val="auto"/>
          <w:lang w:bidi="ar"/>
        </w:rPr>
        <w:t>资金下达文件》文件显示，本项目实际到位资金</w:t>
      </w:r>
      <w:r>
        <w:rPr>
          <w:rFonts w:hint="eastAsia"/>
          <w:color w:val="auto"/>
          <w:lang w:val="en-US" w:eastAsia="zh-CN" w:bidi="ar"/>
        </w:rPr>
        <w:t>300</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19</w:t>
      </w:r>
      <w:r>
        <w:rPr>
          <w:rFonts w:hint="eastAsia" w:asci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1.资金管理情况分析</w:t>
      </w:r>
    </w:p>
    <w:p>
      <w:pPr>
        <w:bidi w:val="0"/>
        <w:rPr>
          <w:rFonts w:hint="eastAsia"/>
          <w:b/>
          <w:bCs/>
          <w:color w:val="auto"/>
        </w:rPr>
      </w:pPr>
      <w:r>
        <w:rPr>
          <w:rFonts w:hint="eastAsia"/>
          <w:b/>
          <w:bCs/>
          <w:color w:val="auto"/>
        </w:rPr>
        <w:t>（1）资金到位率：</w:t>
      </w:r>
    </w:p>
    <w:p>
      <w:pPr>
        <w:bidi w:val="0"/>
        <w:rPr>
          <w:rFonts w:hint="eastAsia"/>
          <w:color w:val="auto"/>
        </w:rPr>
      </w:pPr>
      <w:r>
        <w:rPr>
          <w:rFonts w:hint="eastAsia"/>
          <w:color w:val="auto"/>
        </w:rPr>
        <w:t>本项目预算资金为</w:t>
      </w:r>
      <w:r>
        <w:rPr>
          <w:rFonts w:hint="eastAsia"/>
          <w:color w:val="auto"/>
          <w:lang w:val="en-US" w:eastAsia="zh-CN"/>
        </w:rPr>
        <w:t>300</w:t>
      </w:r>
      <w:r>
        <w:rPr>
          <w:rFonts w:hint="eastAsia"/>
          <w:color w:val="auto"/>
        </w:rPr>
        <w:t>万元，其中：本级财政安排资金</w:t>
      </w:r>
      <w:r>
        <w:rPr>
          <w:rFonts w:hint="eastAsia"/>
          <w:color w:val="auto"/>
          <w:lang w:val="en-US" w:eastAsia="zh-CN"/>
        </w:rPr>
        <w:t>300</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300</w:t>
      </w:r>
      <w:r>
        <w:rPr>
          <w:rFonts w:hint="eastAsia"/>
          <w:color w:val="auto"/>
        </w:rPr>
        <w:t>万元，资金到位率=（实际到位资金/预算资金）×100%=（</w:t>
      </w:r>
      <w:r>
        <w:rPr>
          <w:rFonts w:hint="eastAsia"/>
          <w:color w:val="auto"/>
          <w:lang w:val="en-US" w:eastAsia="zh-CN"/>
        </w:rPr>
        <w:t>300</w:t>
      </w:r>
      <w:r>
        <w:rPr>
          <w:rFonts w:hint="eastAsia"/>
          <w:color w:val="auto"/>
        </w:rPr>
        <w:t>/</w:t>
      </w:r>
      <w:r>
        <w:rPr>
          <w:rFonts w:hint="eastAsia"/>
          <w:color w:val="auto"/>
          <w:lang w:val="en-US" w:eastAsia="zh-CN"/>
        </w:rPr>
        <w:t>300</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4</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300</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300</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300</w:t>
      </w:r>
      <w:r>
        <w:rPr>
          <w:rFonts w:hint="eastAsia" w:ascii="仿宋_GB2312" w:cs="仿宋_GB2312"/>
          <w:color w:val="auto"/>
          <w:sz w:val="28"/>
          <w:szCs w:val="28"/>
        </w:rPr>
        <w:t>/</w:t>
      </w:r>
      <w:r>
        <w:rPr>
          <w:rFonts w:hint="eastAsia" w:ascii="仿宋_GB2312" w:cs="仿宋_GB2312"/>
          <w:color w:val="auto"/>
          <w:sz w:val="28"/>
          <w:szCs w:val="28"/>
          <w:lang w:val="en-US" w:eastAsia="zh-CN"/>
        </w:rPr>
        <w:t>300</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pPr>
        <w:bidi w:val="0"/>
        <w:rPr>
          <w:rFonts w:hint="eastAsia"/>
          <w:color w:val="auto"/>
        </w:rPr>
      </w:pPr>
      <w:r>
        <w:rPr>
          <w:rFonts w:hint="eastAsia"/>
          <w:color w:val="auto"/>
        </w:rPr>
        <w:t>经检查，本项目合同、财务支出凭证等资料，本项目资金使用符合国家财经法规、《政府会计制度》以及《</w:t>
      </w:r>
      <w:r>
        <w:rPr>
          <w:rFonts w:hint="eastAsia"/>
          <w:color w:val="auto"/>
          <w:lang w:eastAsia="zh-CN"/>
        </w:rPr>
        <w:t>托克逊商务和工业信息化局</w:t>
      </w:r>
      <w:r>
        <w:rPr>
          <w:rFonts w:hint="eastAsia"/>
          <w:color w:val="auto"/>
        </w:rPr>
        <w:t>单位资金管理办法》，资金的拨付有完整的审批程序和手续，资金实际使用方向与预算批复用途一致，不存在截留、挤占、挪用、虚列支出的情况。</w:t>
      </w:r>
    </w:p>
    <w:p>
      <w:pPr>
        <w:bidi w:val="0"/>
        <w:rPr>
          <w:rFonts w:hint="default" w:ascii="Times New Roman" w:hAnsi="Times New Roman" w:cs="Times New Roman"/>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w:t>
      </w:r>
      <w:r>
        <w:rPr>
          <w:rFonts w:hint="eastAsia" w:ascii="Times New Roman" w:hAnsi="Times New Roman" w:cs="Times New Roman"/>
          <w:color w:val="auto"/>
        </w:rPr>
        <w:t>得</w:t>
      </w:r>
      <w:r>
        <w:rPr>
          <w:rFonts w:hint="eastAsia" w:ascii="Times New Roman" w:hAnsi="Times New Roman" w:cs="Times New Roman"/>
          <w:color w:val="auto"/>
          <w:lang w:val="en-US" w:eastAsia="zh-CN"/>
        </w:rPr>
        <w:t>4</w:t>
      </w:r>
      <w:r>
        <w:rPr>
          <w:rFonts w:hint="eastAsia" w:ascii="Times New Roman" w:hAnsi="Times New Roman" w:cs="Times New Roman"/>
          <w:color w:val="auto"/>
        </w:rPr>
        <w:t>分,本项目</w:t>
      </w:r>
      <w:r>
        <w:rPr>
          <w:rFonts w:hint="eastAsia" w:ascii="Times New Roman" w:hAnsi="Times New Roman" w:cs="Times New Roman"/>
          <w:color w:val="auto"/>
          <w:lang w:val="en-US" w:eastAsia="zh-CN"/>
        </w:rPr>
        <w:t>资金使用合规。</w:t>
      </w:r>
    </w:p>
    <w:p>
      <w:pPr>
        <w:pStyle w:val="2"/>
        <w:bidi w:val="0"/>
        <w:rPr>
          <w:rFonts w:hint="eastAsia"/>
          <w:color w:val="auto"/>
          <w:lang w:val="en-US" w:eastAsia="zh-CN"/>
        </w:rPr>
      </w:pPr>
      <w:r>
        <w:rPr>
          <w:rFonts w:hint="eastAsia"/>
          <w:color w:val="auto"/>
          <w:lang w:val="en-US" w:eastAsia="zh-CN"/>
        </w:rPr>
        <w:t>2.组织实施情况分析</w:t>
      </w:r>
    </w:p>
    <w:p>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pPr>
        <w:bidi w:val="0"/>
        <w:rPr>
          <w:rFonts w:hint="eastAsia"/>
          <w:color w:val="auto"/>
        </w:rPr>
      </w:pPr>
      <w:r>
        <w:rPr>
          <w:rFonts w:hint="eastAsia"/>
          <w:color w:val="auto"/>
        </w:rPr>
        <w:t>我单位已制定《</w:t>
      </w:r>
      <w:r>
        <w:rPr>
          <w:rFonts w:hint="eastAsia"/>
          <w:color w:val="auto"/>
          <w:lang w:val="en-US" w:eastAsia="zh-CN"/>
        </w:rPr>
        <w:t>考核管理</w:t>
      </w:r>
      <w:r>
        <w:rPr>
          <w:rFonts w:hint="eastAsia"/>
          <w:color w:val="auto"/>
        </w:rPr>
        <w:t>办法》《</w:t>
      </w:r>
      <w:r>
        <w:rPr>
          <w:rFonts w:hint="eastAsia"/>
          <w:color w:val="auto"/>
          <w:lang w:val="en-US" w:eastAsia="zh-CN"/>
        </w:rPr>
        <w:t>财务</w:t>
      </w:r>
      <w:r>
        <w:rPr>
          <w:rFonts w:hint="eastAsia"/>
          <w:color w:val="auto"/>
        </w:rPr>
        <w:t>管理制度》《</w:t>
      </w:r>
      <w:r>
        <w:rPr>
          <w:rFonts w:hint="eastAsia"/>
          <w:color w:val="auto"/>
          <w:lang w:val="en-US" w:eastAsia="zh-CN"/>
        </w:rPr>
        <w:t>政府</w:t>
      </w:r>
      <w:r>
        <w:rPr>
          <w:rFonts w:hint="eastAsia"/>
          <w:color w:val="auto"/>
        </w:rPr>
        <w:t>采购业务管理制度》《</w:t>
      </w:r>
      <w:r>
        <w:rPr>
          <w:rFonts w:hint="eastAsia"/>
          <w:color w:val="auto"/>
          <w:lang w:val="en-US" w:eastAsia="zh-CN"/>
        </w:rPr>
        <w:t>项目</w:t>
      </w:r>
      <w:r>
        <w:rPr>
          <w:rFonts w:hint="eastAsia"/>
          <w:color w:val="auto"/>
        </w:rPr>
        <w:t>合同管理制度》</w:t>
      </w:r>
      <w:r>
        <w:rPr>
          <w:rFonts w:hint="eastAsia"/>
          <w:color w:val="auto"/>
          <w:lang w:eastAsia="zh-CN"/>
        </w:rPr>
        <w:t>《预算绩效管理办法》</w:t>
      </w:r>
      <w:r>
        <w:rPr>
          <w:rFonts w:hint="eastAsia"/>
          <w:color w:val="auto"/>
        </w:rPr>
        <w:t>等，上述已建立的制度均符合行政事业单位内控管理要求，财务和业务管理制度合法、合规、完整，本项目执行符合上述制度规定。</w:t>
      </w:r>
    </w:p>
    <w:p>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pPr>
        <w:bidi w:val="0"/>
        <w:rPr>
          <w:rFonts w:hint="default" w:eastAsia="仿宋_GB2312"/>
          <w:color w:val="auto"/>
          <w:lang w:val="en-US" w:eastAsia="zh-CN"/>
        </w:rPr>
      </w:pPr>
      <w:r>
        <w:rPr>
          <w:rFonts w:hint="eastAsia"/>
          <w:color w:val="auto"/>
        </w:rPr>
        <w:t>经对比分析本项目实际执行过程资料和已建立的项目管理制度和财务管理制度，得出本项目严格按照本单位已建立制度执行</w:t>
      </w:r>
      <w:r>
        <w:rPr>
          <w:rFonts w:hint="eastAsia"/>
          <w:color w:val="auto"/>
          <w:lang w:eastAsia="zh-CN"/>
        </w:rPr>
        <w:t>。项目年中追加预算资金</w:t>
      </w:r>
      <w:r>
        <w:rPr>
          <w:rFonts w:hint="eastAsia"/>
          <w:color w:val="auto"/>
          <w:lang w:val="en-US" w:eastAsia="zh-CN"/>
        </w:rPr>
        <w:t>15万元，</w:t>
      </w:r>
      <w:r>
        <w:rPr>
          <w:rFonts w:hint="eastAsia"/>
          <w:color w:val="auto"/>
          <w:lang w:eastAsia="zh-CN"/>
        </w:rPr>
        <w:t>实施过程中未及时进行项目目标的调整，根据评分要点扣</w:t>
      </w:r>
      <w:r>
        <w:rPr>
          <w:rFonts w:hint="eastAsia"/>
          <w:color w:val="auto"/>
          <w:lang w:val="en-US" w:eastAsia="zh-CN"/>
        </w:rPr>
        <w:t>1分。</w:t>
      </w:r>
    </w:p>
    <w:p>
      <w:pPr>
        <w:bidi w:val="0"/>
        <w:rPr>
          <w:rFonts w:hint="default" w:eastAsia="仿宋_GB2312"/>
          <w:color w:val="auto"/>
          <w:lang w:val="en-US" w:eastAsia="zh-CN"/>
        </w:rPr>
      </w:pPr>
      <w:r>
        <w:rPr>
          <w:rFonts w:hint="eastAsia"/>
          <w:color w:val="auto"/>
        </w:rPr>
        <w:t>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val="en-US" w:eastAsia="zh-CN"/>
        </w:rPr>
        <w:t>2023年综合业务经费</w:t>
      </w:r>
      <w:r>
        <w:rPr>
          <w:rFonts w:hint="eastAsia"/>
          <w:color w:val="auto"/>
        </w:rPr>
        <w:t>项目工作领导小组，由党组书记</w:t>
      </w:r>
      <w:r>
        <w:rPr>
          <w:rFonts w:hint="eastAsia"/>
          <w:color w:val="auto"/>
          <w:lang w:eastAsia="zh-CN"/>
        </w:rPr>
        <w:t>黄建道</w:t>
      </w:r>
      <w:r>
        <w:rPr>
          <w:rFonts w:hint="eastAsia"/>
          <w:color w:val="auto"/>
        </w:rPr>
        <w:t>任组长，负责项目的组织工作；</w:t>
      </w:r>
      <w:r>
        <w:rPr>
          <w:rFonts w:hint="eastAsia"/>
          <w:color w:val="auto"/>
          <w:lang w:eastAsia="zh-CN"/>
        </w:rPr>
        <w:t>刘根涛</w:t>
      </w:r>
      <w:r>
        <w:rPr>
          <w:rFonts w:hint="eastAsia"/>
          <w:color w:val="auto"/>
        </w:rPr>
        <w:t>任副组长，负责项目的实施工作；组员包括：</w:t>
      </w:r>
      <w:r>
        <w:rPr>
          <w:rFonts w:hint="eastAsia"/>
          <w:color w:val="auto"/>
          <w:lang w:eastAsia="zh-CN"/>
        </w:rPr>
        <w:t>曹斌</w:t>
      </w:r>
      <w:r>
        <w:rPr>
          <w:rFonts w:hint="eastAsia"/>
          <w:color w:val="auto"/>
        </w:rPr>
        <w:t>和</w:t>
      </w:r>
      <w:r>
        <w:rPr>
          <w:rFonts w:hint="eastAsia"/>
          <w:color w:val="auto"/>
          <w:lang w:eastAsia="zh-CN"/>
        </w:rPr>
        <w:t>史芹翠</w:t>
      </w:r>
      <w:r>
        <w:rPr>
          <w:rFonts w:hint="eastAsia"/>
          <w:color w:val="auto"/>
        </w:rPr>
        <w:t>，主要负责项目监督管理、验收以及资金核拨等工作。</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3</w:t>
      </w:r>
      <w:r>
        <w:rPr>
          <w:rFonts w:hint="eastAsia" w:ascii="仿宋_GB2312" w:cs="仿宋_GB2312"/>
          <w:color w:val="auto"/>
          <w:szCs w:val="28"/>
        </w:rPr>
        <w:t>分,本项目制度执行</w:t>
      </w:r>
      <w:r>
        <w:rPr>
          <w:rFonts w:hint="eastAsia" w:ascii="仿宋_GB2312" w:cs="仿宋_GB2312"/>
          <w:color w:val="auto"/>
          <w:szCs w:val="28"/>
          <w:lang w:eastAsia="zh-CN"/>
        </w:rPr>
        <w:t>基本</w:t>
      </w:r>
      <w:r>
        <w:rPr>
          <w:rFonts w:hint="eastAsia" w:ascii="仿宋_GB2312" w:cs="仿宋_GB2312"/>
          <w:color w:val="auto"/>
          <w:szCs w:val="28"/>
        </w:rPr>
        <w:t>有效</w:t>
      </w:r>
      <w:r>
        <w:rPr>
          <w:rFonts w:hint="eastAsia" w:ascii="仿宋_GB2312" w:hAnsi="Times New Roman" w:cs="仿宋_GB2312"/>
          <w:color w:val="auto"/>
          <w:szCs w:val="28"/>
          <w:lang w:val="en-US" w:eastAsia="zh-CN"/>
        </w:rPr>
        <w:t>。</w:t>
      </w:r>
    </w:p>
    <w:p>
      <w:pPr>
        <w:pStyle w:val="2"/>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2"/>
        <w:bidi w:val="0"/>
        <w:rPr>
          <w:rFonts w:hint="eastAsia"/>
          <w:color w:val="auto"/>
          <w:lang w:val="en-US" w:eastAsia="zh-CN"/>
        </w:rPr>
      </w:pPr>
      <w:r>
        <w:rPr>
          <w:rFonts w:hint="eastAsia"/>
          <w:color w:val="auto"/>
          <w:lang w:val="en-US" w:eastAsia="zh-CN"/>
        </w:rPr>
        <w:t>1.数量指标完成情况分析</w:t>
      </w:r>
    </w:p>
    <w:p>
      <w:pPr>
        <w:bidi w:val="0"/>
        <w:rPr>
          <w:rFonts w:hint="eastAsia" w:ascii="仿宋_GB2312" w:hAnsi="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租赁面积</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eastAsia="zh-CN"/>
        </w:rPr>
        <w:t>大于等于</w:t>
      </w:r>
      <w:r>
        <w:rPr>
          <w:rFonts w:hint="eastAsia" w:ascii="仿宋_GB2312" w:hAnsi="仿宋_GB2312" w:cs="仿宋_GB2312"/>
          <w:color w:val="auto"/>
          <w:sz w:val="28"/>
          <w:szCs w:val="28"/>
          <w:lang w:val="en-US" w:eastAsia="zh-CN"/>
        </w:rPr>
        <w:t>10510.76平方米</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10510.76平方米</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开展电商培训场次</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大于等于</w:t>
      </w:r>
      <w:r>
        <w:rPr>
          <w:rFonts w:hint="eastAsia" w:ascii="仿宋_GB2312" w:hAnsi="仿宋_GB2312" w:cs="仿宋_GB2312"/>
          <w:color w:val="auto"/>
          <w:sz w:val="28"/>
          <w:szCs w:val="28"/>
          <w:lang w:val="en-US" w:eastAsia="zh-CN"/>
        </w:rPr>
        <w:t>40场次</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42场次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参加电商培训人数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eastAsia="zh-CN"/>
        </w:rPr>
        <w:t>大于等于</w:t>
      </w:r>
      <w:r>
        <w:rPr>
          <w:rFonts w:hint="eastAsia" w:ascii="仿宋_GB2312" w:hAnsi="仿宋_GB2312" w:cs="仿宋_GB2312"/>
          <w:color w:val="auto"/>
          <w:sz w:val="28"/>
          <w:szCs w:val="28"/>
          <w:lang w:val="en-US" w:eastAsia="zh-CN"/>
        </w:rPr>
        <w:t>1380人</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1380人</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2"/>
        <w:bidi w:val="0"/>
        <w:rPr>
          <w:rFonts w:hint="eastAsia"/>
          <w:color w:val="auto"/>
          <w:lang w:val="en-US" w:eastAsia="zh-CN"/>
        </w:rPr>
      </w:pPr>
      <w:r>
        <w:rPr>
          <w:rFonts w:hint="eastAsia"/>
          <w:color w:val="auto"/>
          <w:lang w:val="en-US" w:eastAsia="zh-CN"/>
        </w:rPr>
        <w:t>2.质量指标完成情况分析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资金规范管理使用率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2"/>
        <w:bidi w:val="0"/>
        <w:rPr>
          <w:rFonts w:hint="eastAsia"/>
          <w:color w:val="auto"/>
        </w:rPr>
      </w:pPr>
      <w:r>
        <w:rPr>
          <w:rFonts w:hint="eastAsia"/>
          <w:color w:val="auto"/>
          <w:lang w:val="en-US" w:eastAsia="zh-CN"/>
        </w:rPr>
        <w:t>3.时效指标完成情况分析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公用经费支付及时率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项目及时完成率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2"/>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2"/>
        <w:bidi w:val="0"/>
        <w:rPr>
          <w:rFonts w:hint="eastAsia"/>
          <w:color w:val="auto"/>
        </w:rPr>
      </w:pPr>
      <w:r>
        <w:rPr>
          <w:rFonts w:hint="eastAsia"/>
          <w:color w:val="auto"/>
          <w:lang w:val="en-US" w:eastAsia="zh-CN"/>
        </w:rPr>
        <w:t>1.经济成本指标完成情况分析</w:t>
      </w:r>
    </w:p>
    <w:p>
      <w:pPr>
        <w:bidi w:val="0"/>
        <w:rPr>
          <w:rFonts w:hint="eastAsia" w:eastAsia="仿宋_GB2312"/>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电商产业园房屋租赁费</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2301856.44元/年</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2301856.44元/年</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ascii="仿宋_GB2312" w:hAnsi="仿宋_GB2312" w:cs="仿宋_GB2312"/>
          <w:color w:val="auto"/>
          <w:sz w:val="32"/>
          <w:lang w:val="en-US" w:eastAsia="zh-CN"/>
        </w:rPr>
        <w:t>五</w:t>
      </w:r>
      <w:r>
        <w:rPr>
          <w:rFonts w:hint="eastAsia" w:ascii="仿宋_GB2312" w:hAnsi="仿宋_GB2312" w:cs="仿宋_GB2312"/>
          <w:color w:val="auto"/>
          <w:sz w:val="32"/>
        </w:rPr>
        <w:t>）项目效益情况</w:t>
      </w:r>
    </w:p>
    <w:p>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经济效益、社会效益、生态效益、服务对象满意度四个</w:t>
      </w:r>
      <w:r>
        <w:rPr>
          <w:rFonts w:hint="eastAsia" w:ascii="仿宋_GB2312" w:cs="仿宋_GB2312"/>
          <w:color w:val="auto"/>
          <w:sz w:val="28"/>
          <w:szCs w:val="28"/>
        </w:rPr>
        <w:t>方面，</w:t>
      </w:r>
      <w:r>
        <w:rPr>
          <w:rFonts w:hint="eastAsia" w:ascii="仿宋_GB2312" w:cs="仿宋_GB2312"/>
          <w:color w:val="auto"/>
          <w:sz w:val="28"/>
          <w:szCs w:val="28"/>
          <w:lang w:val="en-US" w:eastAsia="zh-CN"/>
        </w:rPr>
        <w:t>本项目仅涉及社会效益指标，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2"/>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1.经济</w:t>
      </w:r>
      <w:r>
        <w:rPr>
          <w:rFonts w:hint="eastAsia" w:ascii="仿宋_GB2312"/>
          <w:b/>
          <w:bCs/>
          <w:color w:val="auto"/>
          <w:sz w:val="28"/>
          <w:szCs w:val="28"/>
        </w:rPr>
        <w:t>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lang w:val="en-US" w:eastAsia="zh-CN"/>
        </w:rPr>
        <w:t>本项目无该指标。</w:t>
      </w:r>
    </w:p>
    <w:p>
      <w:pPr>
        <w:pStyle w:val="2"/>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2.</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保障我县电商健康快速发展</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有效保障</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拓宽本地农产品销售渠道</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进一步拓宽</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2"/>
        <w:bidi w:val="0"/>
        <w:rPr>
          <w:rFonts w:hint="eastAsia"/>
          <w:color w:val="auto"/>
          <w:lang w:val="en-US" w:eastAsia="zh-CN"/>
        </w:rPr>
      </w:pPr>
      <w:r>
        <w:rPr>
          <w:rFonts w:hint="eastAsia"/>
          <w:color w:val="auto"/>
          <w:lang w:val="en-US" w:eastAsia="zh-CN"/>
        </w:rPr>
        <w:t>3.生态效益指标完成情况分析</w:t>
      </w:r>
    </w:p>
    <w:p>
      <w:pPr>
        <w:pStyle w:val="2"/>
        <w:bidi w:val="0"/>
        <w:rPr>
          <w:rFonts w:hint="eastAsia" w:ascii="仿宋_GB2312" w:hAnsi="仿宋_GB2312" w:eastAsia="仿宋_GB2312" w:cs="仿宋_GB2312"/>
          <w:b w:val="0"/>
          <w:bCs w:val="0"/>
          <w:color w:val="auto"/>
          <w:kern w:val="2"/>
          <w:sz w:val="28"/>
          <w:szCs w:val="28"/>
          <w:lang w:val="en-US" w:eastAsia="zh-CN" w:bidi="ar-SA"/>
        </w:rPr>
      </w:pPr>
      <w:r>
        <w:rPr>
          <w:rFonts w:hint="eastAsia" w:ascii="仿宋_GB2312" w:hAnsi="仿宋_GB2312" w:eastAsia="仿宋_GB2312" w:cs="仿宋_GB2312"/>
          <w:b w:val="0"/>
          <w:bCs w:val="0"/>
          <w:color w:val="auto"/>
          <w:kern w:val="2"/>
          <w:sz w:val="28"/>
          <w:szCs w:val="28"/>
          <w:lang w:val="en-US" w:eastAsia="zh-CN" w:bidi="ar-SA"/>
        </w:rPr>
        <w:t>本项目无该指标。</w:t>
      </w:r>
    </w:p>
    <w:p>
      <w:pPr>
        <w:pStyle w:val="2"/>
        <w:bidi w:val="0"/>
        <w:rPr>
          <w:rFonts w:hint="eastAsia"/>
          <w:color w:val="auto"/>
          <w:lang w:val="en-US" w:eastAsia="zh-CN"/>
        </w:rPr>
      </w:pPr>
      <w:r>
        <w:rPr>
          <w:rFonts w:hint="eastAsia"/>
          <w:color w:val="auto"/>
          <w:lang w:val="en-US" w:eastAsia="zh-CN"/>
        </w:rPr>
        <w:t>4.满意度指标完成情况分析</w:t>
      </w:r>
    </w:p>
    <w:bookmarkEnd w:id="15"/>
    <w:p>
      <w:pPr>
        <w:pStyle w:val="2"/>
        <w:bidi w:val="0"/>
        <w:rPr>
          <w:rFonts w:hint="eastAsia" w:ascii="仿宋_GB2312" w:hAnsi="仿宋_GB2312" w:eastAsia="仿宋_GB2312" w:cs="仿宋_GB2312"/>
          <w:b w:val="0"/>
          <w:bCs w:val="0"/>
          <w:color w:val="auto"/>
          <w:kern w:val="2"/>
          <w:sz w:val="28"/>
          <w:szCs w:val="28"/>
          <w:lang w:val="en-US" w:eastAsia="zh-CN" w:bidi="ar-SA"/>
        </w:rPr>
      </w:pPr>
      <w:r>
        <w:rPr>
          <w:rFonts w:hint="eastAsia" w:ascii="仿宋_GB2312" w:hAnsi="仿宋_GB2312" w:eastAsia="仿宋_GB2312" w:cs="仿宋_GB2312"/>
          <w:b w:val="0"/>
          <w:bCs w:val="0"/>
          <w:color w:val="auto"/>
          <w:kern w:val="2"/>
          <w:sz w:val="28"/>
          <w:szCs w:val="28"/>
          <w:lang w:val="en-US" w:eastAsia="zh-CN" w:bidi="ar-SA"/>
        </w:rPr>
        <w:t>本项目无该指标。</w:t>
      </w:r>
    </w:p>
    <w:p>
      <w:pPr>
        <w:pStyle w:val="3"/>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p>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全年预算数为300万元，全年到位数为300万元，全年执行数为300万元，预算执行率为100%。</w:t>
      </w:r>
    </w:p>
    <w:p>
      <w:pPr>
        <w:pStyle w:val="6"/>
        <w:rPr>
          <w:color w:val="auto"/>
        </w:rPr>
      </w:pPr>
      <w:r>
        <w:rPr>
          <w:rFonts w:hint="eastAsia"/>
          <w:color w:val="auto"/>
        </w:rPr>
        <w:t>本</w:t>
      </w:r>
      <w:r>
        <w:rPr>
          <w:rFonts w:hint="eastAsia"/>
          <w:color w:val="auto"/>
          <w:lang w:val="zh-TW" w:eastAsia="zh-TW"/>
        </w:rPr>
        <w:t>项目</w:t>
      </w:r>
      <w:r>
        <w:rPr>
          <w:rFonts w:hint="eastAsia"/>
          <w:color w:val="auto"/>
          <w:lang w:val="zh-TW" w:eastAsia="zh-CN"/>
        </w:rPr>
        <w:t>绩效评价指标体系表</w:t>
      </w:r>
      <w:r>
        <w:rPr>
          <w:rFonts w:hint="eastAsia"/>
          <w:color w:val="auto"/>
          <w:lang w:val="zh-TW" w:eastAsia="zh-TW"/>
        </w:rPr>
        <w:t>共设置</w:t>
      </w:r>
      <w:r>
        <w:rPr>
          <w:rFonts w:hint="eastAsia"/>
          <w:color w:val="auto"/>
        </w:rPr>
        <w:t>三级指标数量</w:t>
      </w:r>
      <w:r>
        <w:rPr>
          <w:rFonts w:hint="eastAsia"/>
          <w:color w:val="auto"/>
          <w:lang w:val="en-US" w:eastAsia="zh-CN"/>
        </w:rPr>
        <w:t>21</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20个，扣分指标数量1个，经分析计算所有三级指标完成率得出本项目</w:t>
      </w:r>
      <w:r>
        <w:rPr>
          <w:rFonts w:hint="eastAsia"/>
          <w:color w:val="auto"/>
        </w:rPr>
        <w:t>总体完成率为</w:t>
      </w:r>
      <w:r>
        <w:rPr>
          <w:rFonts w:hint="eastAsia"/>
          <w:color w:val="auto"/>
          <w:lang w:val="en-US" w:eastAsia="zh-CN"/>
        </w:rPr>
        <w:t>98.81</w:t>
      </w:r>
      <w:r>
        <w:rPr>
          <w:rFonts w:hint="eastAsia"/>
          <w:color w:val="auto"/>
          <w:lang w:val="zh-TW" w:eastAsia="zh-TW"/>
        </w:rPr>
        <w:t>%。</w:t>
      </w:r>
    </w:p>
    <w:p>
      <w:pPr>
        <w:pStyle w:val="6"/>
        <w:rPr>
          <w:rFonts w:hint="default"/>
          <w:color w:val="auto"/>
          <w:lang w:val="zh-TW" w:eastAsia="zh-CN"/>
        </w:rPr>
      </w:pPr>
      <w:r>
        <w:rPr>
          <w:rFonts w:hint="eastAsia"/>
          <w:color w:val="auto"/>
          <w:lang w:val="en-US" w:eastAsia="zh-CN"/>
        </w:rPr>
        <w:t>综上所述本项目预算执行率与总体完成率之间的偏差为1.19%。</w:t>
      </w:r>
    </w:p>
    <w:p>
      <w:pPr>
        <w:pStyle w:val="3"/>
        <w:ind w:firstLine="640"/>
        <w:rPr>
          <w:color w:val="auto"/>
        </w:rPr>
      </w:pPr>
      <w:r>
        <w:rPr>
          <w:rFonts w:hint="eastAsia"/>
          <w:color w:val="auto"/>
          <w:lang w:eastAsia="zh-CN"/>
        </w:rPr>
        <w:t>六</w:t>
      </w:r>
      <w:r>
        <w:rPr>
          <w:rFonts w:hint="eastAsia"/>
          <w:color w:val="auto"/>
        </w:rPr>
        <w:t>、主要经验及做法、存在的问题及原因分析</w:t>
      </w:r>
    </w:p>
    <w:p>
      <w:pPr>
        <w:pStyle w:val="4"/>
        <w:numPr>
          <w:ilvl w:val="0"/>
          <w:numId w:val="4"/>
        </w:numPr>
        <w:ind w:firstLine="643"/>
        <w:rPr>
          <w:color w:val="auto"/>
        </w:rPr>
      </w:pPr>
      <w:bookmarkStart w:id="16" w:name="_Toc1921"/>
      <w:bookmarkStart w:id="17" w:name="_Toc28290"/>
      <w:r>
        <w:rPr>
          <w:rFonts w:hint="eastAsia"/>
          <w:color w:val="auto"/>
        </w:rPr>
        <w:t>主要经验及做法</w:t>
      </w:r>
    </w:p>
    <w:bookmarkEnd w:id="16"/>
    <w:bookmarkEnd w:id="17"/>
    <w:p>
      <w:pPr>
        <w:ind w:firstLine="640"/>
        <w:rPr>
          <w:rFonts w:ascii="仿宋_GB2312" w:hAnsi="仿宋_GB2312" w:cs="仿宋_GB2312"/>
          <w:color w:val="auto"/>
          <w:sz w:val="28"/>
          <w:szCs w:val="28"/>
        </w:rPr>
      </w:pPr>
      <w:r>
        <w:rPr>
          <w:rFonts w:hint="eastAsia" w:ascii="仿宋_GB2312" w:hAnsi="仿宋_GB2312" w:cs="仿宋_GB2312"/>
          <w:color w:val="auto"/>
          <w:sz w:val="28"/>
          <w:szCs w:val="28"/>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一是跟进业务工作支出需求，根据业务量变化及时发现资金缺口并按规定办理资金支付，保障专项工作顺利推进。二是合理安排使用资金，严抓专项资金的规范使用。三是强化公开公示制度。严格执行预算公开、绩效公开等。通过公开和公示自觉接受社会的监督。</w:t>
      </w:r>
    </w:p>
    <w:p>
      <w:pPr>
        <w:pStyle w:val="4"/>
        <w:numPr>
          <w:ilvl w:val="0"/>
          <w:numId w:val="4"/>
        </w:numPr>
        <w:ind w:firstLine="643"/>
        <w:rPr>
          <w:color w:val="auto"/>
        </w:rPr>
      </w:pPr>
      <w:r>
        <w:rPr>
          <w:rFonts w:hint="eastAsia"/>
          <w:color w:val="auto"/>
        </w:rPr>
        <w:t>存在的问题及原因分析</w:t>
      </w:r>
    </w:p>
    <w:p>
      <w:pPr>
        <w:pStyle w:val="12"/>
        <w:spacing w:line="560" w:lineRule="exact"/>
        <w:ind w:left="0" w:leftChars="0" w:firstLine="560" w:firstLineChars="20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1、</w:t>
      </w:r>
      <w:r>
        <w:rPr>
          <w:rFonts w:hint="eastAsia" w:ascii="仿宋_GB2312" w:hAnsi="仿宋_GB2312" w:cs="仿宋_GB2312"/>
          <w:color w:val="auto"/>
          <w:sz w:val="28"/>
          <w:szCs w:val="28"/>
          <w:highlight w:val="none"/>
          <w:lang w:eastAsia="zh-CN"/>
        </w:rPr>
        <w:t>对项目实施绩效管理认识不到位，虽然树立了绩效理念，但是了解的还不够深入，未及时学习掌握每年的绩效新规定、新要求</w:t>
      </w:r>
      <w:r>
        <w:rPr>
          <w:rFonts w:hint="eastAsia" w:ascii="仿宋_GB2312" w:hAnsi="仿宋_GB2312" w:cs="仿宋_GB2312"/>
          <w:color w:val="auto"/>
          <w:sz w:val="28"/>
          <w:szCs w:val="28"/>
          <w:highlight w:val="none"/>
        </w:rPr>
        <w:t>。</w:t>
      </w:r>
    </w:p>
    <w:p>
      <w:pPr>
        <w:pStyle w:val="12"/>
        <w:spacing w:line="560" w:lineRule="exact"/>
        <w:ind w:left="0" w:leftChars="0" w:firstLine="560" w:firstLineChars="200"/>
        <w:rPr>
          <w:rFonts w:ascii="仿宋_GB2312" w:hAnsi="仿宋_GB2312" w:cs="仿宋_GB2312"/>
          <w:color w:val="auto"/>
          <w:sz w:val="32"/>
          <w:szCs w:val="32"/>
          <w:highlight w:val="none"/>
        </w:rPr>
      </w:pPr>
      <w:r>
        <w:rPr>
          <w:rFonts w:hint="eastAsia" w:ascii="仿宋_GB2312" w:hAnsi="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eastAsia="zh-CN"/>
        </w:rPr>
        <w:t>还没有能力将效益指标做进一步量化，对效益指标完成情况的证明材料的收集和分析还不够充分。</w:t>
      </w:r>
      <w:r>
        <w:rPr>
          <w:rFonts w:hint="eastAsia" w:ascii="仿宋_GB2312" w:hAnsi="仿宋_GB2312" w:cs="仿宋_GB2312"/>
          <w:color w:val="auto"/>
          <w:sz w:val="28"/>
          <w:szCs w:val="28"/>
          <w:highlight w:val="none"/>
        </w:rPr>
        <w:t>导致以上问题的原因：一是对项目资金管理工作不够重视；二是对预算管理的相关知识缺乏足够的理解。</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1、建议定期开展预算绩效管理培训，将新规定、新要求贯彻到每个人的头脑中和工作行为中，提高对预算绩效管理的认识，加强绩效管理能力，提升绩效管理水平和单位绩效管理质量。</w:t>
      </w:r>
    </w:p>
    <w:p>
      <w:pPr>
        <w:pStyle w:val="3"/>
        <w:ind w:firstLine="640"/>
        <w:rPr>
          <w:rFonts w:hint="default" w:ascii="Times New Roman" w:hAnsi="Times New Roman" w:eastAsia="仿宋_GB2312" w:cs="Times New Roman"/>
          <w:color w:val="auto"/>
          <w:kern w:val="2"/>
          <w:sz w:val="28"/>
          <w:szCs w:val="24"/>
          <w:highlight w:val="none"/>
          <w:lang w:val="en-US" w:eastAsia="zh-CN" w:bidi="ar-SA"/>
        </w:rPr>
      </w:pPr>
      <w:r>
        <w:rPr>
          <w:rFonts w:hint="eastAsia" w:eastAsia="仿宋_GB2312" w:cs="Times New Roman"/>
          <w:color w:val="auto"/>
          <w:kern w:val="2"/>
          <w:sz w:val="28"/>
          <w:szCs w:val="24"/>
          <w:highlight w:val="none"/>
          <w:lang w:val="en-US" w:eastAsia="zh-CN" w:bidi="ar-SA"/>
        </w:rPr>
        <w:t>2、针对问题及时召开绩效工作会议，做好与各部门的协议沟通，交流项目进程中出现的问题、经验和做法，把各种信息、问题、要求等及时向领导反馈，及时根据项目情况进行调整和整改，推进项目进度。</w:t>
      </w:r>
    </w:p>
    <w:p>
      <w:pPr>
        <w:pStyle w:val="3"/>
        <w:ind w:firstLine="640"/>
        <w:rPr>
          <w:color w:val="auto"/>
        </w:rPr>
      </w:pPr>
      <w:r>
        <w:rPr>
          <w:rFonts w:hint="eastAsia"/>
          <w:color w:val="auto"/>
          <w:lang w:eastAsia="zh-CN"/>
        </w:rPr>
        <w:t>八</w:t>
      </w:r>
      <w:r>
        <w:rPr>
          <w:rFonts w:hint="eastAsia"/>
          <w:color w:val="auto"/>
        </w:rPr>
        <w:t>、其他需要说明的问题</w:t>
      </w:r>
    </w:p>
    <w:p>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pPr>
        <w:pStyle w:val="3"/>
        <w:ind w:firstLine="640"/>
        <w:rPr>
          <w:color w:val="auto"/>
        </w:rPr>
      </w:pPr>
      <w:r>
        <w:rPr>
          <w:rFonts w:hint="eastAsia"/>
          <w:color w:val="auto"/>
          <w:lang w:eastAsia="zh-CN"/>
        </w:rPr>
        <w:t>九、</w:t>
      </w:r>
      <w:r>
        <w:rPr>
          <w:rFonts w:hint="eastAsia"/>
          <w:color w:val="auto"/>
        </w:rPr>
        <w:t>附表</w:t>
      </w:r>
    </w:p>
    <w:p>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pPr>
        <w:rPr>
          <w:rFonts w:hint="default"/>
          <w:color w:val="auto"/>
          <w:lang w:val="en-US" w:eastAsia="zh-CN"/>
        </w:rPr>
      </w:pPr>
    </w:p>
    <w:p>
      <w:pPr>
        <w:rPr>
          <w:color w:val="auto"/>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D03B96"/>
    <w:multiLevelType w:val="singleLevel"/>
    <w:tmpl w:val="D1D03B96"/>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ODQ3MzM4ZmIwNmFjZGVkMzdkZjhjYWRjZWRmZjEifQ=="/>
  </w:docVars>
  <w:rsids>
    <w:rsidRoot w:val="00000000"/>
    <w:rsid w:val="00D104A8"/>
    <w:rsid w:val="018E6605"/>
    <w:rsid w:val="0673692E"/>
    <w:rsid w:val="086A1FB2"/>
    <w:rsid w:val="09A50080"/>
    <w:rsid w:val="0D093B48"/>
    <w:rsid w:val="10A83678"/>
    <w:rsid w:val="112C24FB"/>
    <w:rsid w:val="13EE1CEA"/>
    <w:rsid w:val="17831FFF"/>
    <w:rsid w:val="17B35DB7"/>
    <w:rsid w:val="1A156685"/>
    <w:rsid w:val="1E697D7E"/>
    <w:rsid w:val="21F02CF1"/>
    <w:rsid w:val="22100803"/>
    <w:rsid w:val="237D7F6D"/>
    <w:rsid w:val="2409204C"/>
    <w:rsid w:val="242332EA"/>
    <w:rsid w:val="250C1FD0"/>
    <w:rsid w:val="270A2C9F"/>
    <w:rsid w:val="274509F0"/>
    <w:rsid w:val="289E4034"/>
    <w:rsid w:val="29053906"/>
    <w:rsid w:val="29D137E8"/>
    <w:rsid w:val="2FCE6A17"/>
    <w:rsid w:val="31750EFD"/>
    <w:rsid w:val="3207249C"/>
    <w:rsid w:val="349B22FF"/>
    <w:rsid w:val="35496A51"/>
    <w:rsid w:val="37AF33BA"/>
    <w:rsid w:val="39330366"/>
    <w:rsid w:val="39CB2002"/>
    <w:rsid w:val="3B5F06E2"/>
    <w:rsid w:val="3D9D5A63"/>
    <w:rsid w:val="3E3F2FBE"/>
    <w:rsid w:val="3F9E121F"/>
    <w:rsid w:val="40AF7ED1"/>
    <w:rsid w:val="41807B75"/>
    <w:rsid w:val="42FD1F7E"/>
    <w:rsid w:val="441A56E1"/>
    <w:rsid w:val="4884619D"/>
    <w:rsid w:val="4ACD2993"/>
    <w:rsid w:val="4B945D75"/>
    <w:rsid w:val="4C675BBA"/>
    <w:rsid w:val="4D1F46E6"/>
    <w:rsid w:val="4E7073BD"/>
    <w:rsid w:val="4F2E5269"/>
    <w:rsid w:val="4F561F16"/>
    <w:rsid w:val="4FE85264"/>
    <w:rsid w:val="528F7C18"/>
    <w:rsid w:val="52C55120"/>
    <w:rsid w:val="53381D82"/>
    <w:rsid w:val="53F8370C"/>
    <w:rsid w:val="576A54A5"/>
    <w:rsid w:val="58BE00C0"/>
    <w:rsid w:val="58FF717A"/>
    <w:rsid w:val="5A773F0A"/>
    <w:rsid w:val="5ACE692D"/>
    <w:rsid w:val="5CE62B2B"/>
    <w:rsid w:val="5D4E247E"/>
    <w:rsid w:val="5DA27C6B"/>
    <w:rsid w:val="5DF272AD"/>
    <w:rsid w:val="5E581806"/>
    <w:rsid w:val="630261E5"/>
    <w:rsid w:val="651A5A67"/>
    <w:rsid w:val="656C5B97"/>
    <w:rsid w:val="69E77C39"/>
    <w:rsid w:val="6B2D5DC9"/>
    <w:rsid w:val="6B427AC6"/>
    <w:rsid w:val="6BA02A3F"/>
    <w:rsid w:val="6E8B7C84"/>
    <w:rsid w:val="70223A22"/>
    <w:rsid w:val="70D47A96"/>
    <w:rsid w:val="73893DB8"/>
    <w:rsid w:val="747D7BE0"/>
    <w:rsid w:val="777079EF"/>
    <w:rsid w:val="7852626A"/>
    <w:rsid w:val="796E5CAB"/>
    <w:rsid w:val="7AF7004B"/>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2">
    <w:name w:val="正文文本缩进 21"/>
    <w:basedOn w:val="1"/>
    <w:qFormat/>
    <w:uiPriority w:val="0"/>
    <w:pPr>
      <w:spacing w:line="480" w:lineRule="auto"/>
      <w:ind w:left="420" w:leftChars="200" w:firstLine="0" w:firstLineChars="0"/>
    </w:pPr>
    <w:rPr>
      <w:sz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8773</Words>
  <Characters>9431</Characters>
  <Lines>0</Lines>
  <Paragraphs>0</Paragraphs>
  <TotalTime>6</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