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06DAC">
      <w:pPr>
        <w:jc w:val="center"/>
        <w:rPr>
          <w:rFonts w:ascii="宋体" w:hAnsi="宋体" w:eastAsia="宋体" w:cs="Arial"/>
          <w:b/>
          <w:bCs/>
          <w:color w:val="auto"/>
          <w:sz w:val="36"/>
          <w:szCs w:val="36"/>
          <w:highlight w:val="none"/>
        </w:rPr>
      </w:pPr>
    </w:p>
    <w:p w14:paraId="17AA7A7E">
      <w:pPr>
        <w:jc w:val="center"/>
        <w:rPr>
          <w:rFonts w:ascii="宋体" w:hAnsi="宋体" w:eastAsia="宋体" w:cs="Arial"/>
          <w:b/>
          <w:bCs/>
          <w:color w:val="auto"/>
          <w:sz w:val="36"/>
          <w:szCs w:val="36"/>
          <w:highlight w:val="none"/>
        </w:rPr>
      </w:pPr>
    </w:p>
    <w:p w14:paraId="162364EC">
      <w:pPr>
        <w:jc w:val="center"/>
        <w:rPr>
          <w:rFonts w:ascii="宋体" w:hAnsi="宋体" w:eastAsia="宋体" w:cs="Arial"/>
          <w:b/>
          <w:bCs/>
          <w:color w:val="auto"/>
          <w:sz w:val="36"/>
          <w:szCs w:val="36"/>
          <w:highlight w:val="none"/>
        </w:rPr>
      </w:pPr>
    </w:p>
    <w:p w14:paraId="513907D3">
      <w:pPr>
        <w:spacing w:line="240" w:lineRule="atLeast"/>
        <w:ind w:left="0" w:leftChars="0" w:firstLine="0" w:firstLineChars="0"/>
        <w:jc w:val="center"/>
        <w:rPr>
          <w:rFonts w:ascii="黑体" w:hAnsi="黑体" w:eastAsia="黑体" w:cs="黑体"/>
          <w:b/>
          <w:bCs/>
          <w:color w:val="auto"/>
          <w:sz w:val="40"/>
          <w:szCs w:val="40"/>
          <w:highlight w:val="none"/>
        </w:rPr>
      </w:pPr>
      <w:r>
        <w:rPr>
          <w:rFonts w:hint="eastAsia" w:ascii="黑体" w:hAnsi="黑体" w:eastAsia="黑体" w:cs="黑体"/>
          <w:b/>
          <w:bCs/>
          <w:color w:val="auto"/>
          <w:sz w:val="40"/>
          <w:szCs w:val="40"/>
          <w:highlight w:val="none"/>
        </w:rPr>
        <w:t>202</w:t>
      </w:r>
      <w:r>
        <w:rPr>
          <w:rFonts w:hint="eastAsia" w:ascii="黑体" w:hAnsi="黑体" w:eastAsia="黑体" w:cs="黑体"/>
          <w:b/>
          <w:bCs/>
          <w:color w:val="auto"/>
          <w:sz w:val="40"/>
          <w:szCs w:val="40"/>
          <w:highlight w:val="none"/>
          <w:lang w:val="en-US" w:eastAsia="zh-CN"/>
        </w:rPr>
        <w:t>3</w:t>
      </w:r>
      <w:r>
        <w:rPr>
          <w:rFonts w:hint="eastAsia" w:ascii="黑体" w:hAnsi="黑体" w:eastAsia="黑体" w:cs="黑体"/>
          <w:b/>
          <w:bCs/>
          <w:color w:val="auto"/>
          <w:sz w:val="40"/>
          <w:szCs w:val="40"/>
          <w:highlight w:val="none"/>
        </w:rPr>
        <w:t>年</w:t>
      </w:r>
      <w:r>
        <w:rPr>
          <w:rFonts w:hint="eastAsia" w:ascii="黑体" w:hAnsi="黑体" w:eastAsia="黑体" w:cs="黑体"/>
          <w:b/>
          <w:bCs/>
          <w:color w:val="auto"/>
          <w:sz w:val="40"/>
          <w:szCs w:val="40"/>
          <w:highlight w:val="none"/>
          <w:lang w:eastAsia="zh-CN"/>
        </w:rPr>
        <w:t>学前教育幼儿资助县级配套</w:t>
      </w:r>
      <w:r>
        <w:rPr>
          <w:rFonts w:hint="eastAsia" w:ascii="黑体" w:hAnsi="黑体" w:eastAsia="黑体" w:cs="黑体"/>
          <w:b/>
          <w:bCs/>
          <w:color w:val="auto"/>
          <w:sz w:val="40"/>
          <w:szCs w:val="40"/>
          <w:highlight w:val="none"/>
        </w:rPr>
        <w:t>绩效评价报告</w:t>
      </w:r>
    </w:p>
    <w:p w14:paraId="4EA75D22">
      <w:pPr>
        <w:spacing w:line="240" w:lineRule="atLeast"/>
        <w:jc w:val="center"/>
        <w:rPr>
          <w:rFonts w:ascii="宋体" w:hAnsi="宋体" w:eastAsia="宋体" w:cs="Arial"/>
          <w:b/>
          <w:bCs/>
          <w:color w:val="auto"/>
          <w:sz w:val="36"/>
          <w:szCs w:val="36"/>
          <w:highlight w:val="none"/>
        </w:rPr>
      </w:pPr>
    </w:p>
    <w:p w14:paraId="1D0634EC">
      <w:pPr>
        <w:spacing w:line="240" w:lineRule="atLeast"/>
        <w:jc w:val="center"/>
        <w:rPr>
          <w:rFonts w:ascii="宋体" w:hAnsi="宋体" w:eastAsia="宋体" w:cs="Arial"/>
          <w:b/>
          <w:bCs/>
          <w:color w:val="auto"/>
          <w:sz w:val="36"/>
          <w:szCs w:val="36"/>
          <w:highlight w:val="none"/>
        </w:rPr>
      </w:pPr>
    </w:p>
    <w:p w14:paraId="6B8CFE8E">
      <w:pPr>
        <w:spacing w:line="240" w:lineRule="atLeast"/>
        <w:jc w:val="center"/>
        <w:rPr>
          <w:rFonts w:ascii="宋体" w:hAnsi="宋体" w:eastAsia="宋体" w:cs="Arial"/>
          <w:b/>
          <w:bCs/>
          <w:color w:val="auto"/>
          <w:sz w:val="36"/>
          <w:szCs w:val="36"/>
          <w:highlight w:val="none"/>
        </w:rPr>
      </w:pPr>
    </w:p>
    <w:p w14:paraId="31D4B510">
      <w:pPr>
        <w:spacing w:line="240" w:lineRule="atLeast"/>
        <w:jc w:val="center"/>
        <w:rPr>
          <w:rFonts w:ascii="宋体" w:hAnsi="宋体" w:eastAsia="宋体" w:cs="Arial"/>
          <w:b/>
          <w:bCs/>
          <w:color w:val="auto"/>
          <w:sz w:val="36"/>
          <w:szCs w:val="36"/>
          <w:highlight w:val="none"/>
        </w:rPr>
      </w:pPr>
    </w:p>
    <w:p w14:paraId="6BABECE3">
      <w:pPr>
        <w:spacing w:line="240" w:lineRule="atLeast"/>
        <w:jc w:val="center"/>
        <w:rPr>
          <w:rFonts w:ascii="宋体" w:hAnsi="宋体" w:eastAsia="宋体" w:cs="Arial"/>
          <w:b/>
          <w:bCs/>
          <w:color w:val="auto"/>
          <w:sz w:val="36"/>
          <w:szCs w:val="36"/>
          <w:highlight w:val="none"/>
        </w:rPr>
      </w:pPr>
    </w:p>
    <w:p w14:paraId="59563DB6">
      <w:pPr>
        <w:spacing w:line="240" w:lineRule="atLeast"/>
        <w:jc w:val="center"/>
        <w:rPr>
          <w:rFonts w:ascii="宋体" w:hAnsi="宋体" w:eastAsia="宋体" w:cs="Arial"/>
          <w:b/>
          <w:bCs/>
          <w:color w:val="auto"/>
          <w:sz w:val="36"/>
          <w:szCs w:val="36"/>
          <w:highlight w:val="none"/>
        </w:rPr>
      </w:pPr>
    </w:p>
    <w:p w14:paraId="2D8301F5">
      <w:pPr>
        <w:spacing w:line="240" w:lineRule="auto"/>
        <w:jc w:val="center"/>
        <w:rPr>
          <w:rFonts w:ascii="宋体" w:hAnsi="宋体" w:eastAsia="宋体" w:cs="Arial"/>
          <w:b/>
          <w:bCs/>
          <w:color w:val="auto"/>
          <w:sz w:val="36"/>
          <w:szCs w:val="36"/>
          <w:highlight w:val="none"/>
        </w:rPr>
      </w:pPr>
    </w:p>
    <w:p w14:paraId="6DCAA51A">
      <w:pPr>
        <w:spacing w:line="360" w:lineRule="auto"/>
        <w:ind w:firstLine="600"/>
        <w:rPr>
          <w:rFonts w:hint="eastAsia" w:ascii="黑体" w:eastAsia="黑体"/>
          <w:color w:val="auto"/>
          <w:sz w:val="32"/>
          <w:szCs w:val="32"/>
          <w:highlight w:val="none"/>
        </w:rPr>
      </w:pPr>
    </w:p>
    <w:p w14:paraId="128147DE">
      <w:pPr>
        <w:spacing w:line="360" w:lineRule="auto"/>
        <w:ind w:firstLine="600"/>
        <w:rPr>
          <w:rFonts w:hint="eastAsia" w:ascii="黑体" w:eastAsia="黑体"/>
          <w:color w:val="auto"/>
          <w:sz w:val="32"/>
          <w:szCs w:val="32"/>
          <w:highlight w:val="none"/>
        </w:rPr>
      </w:pPr>
      <w:r>
        <w:rPr>
          <w:rFonts w:hint="eastAsia" w:ascii="黑体" w:eastAsia="黑体"/>
          <w:color w:val="auto"/>
          <w:sz w:val="32"/>
          <w:szCs w:val="32"/>
          <w:highlight w:val="none"/>
        </w:rPr>
        <w:t>项目名称：2023年学前教育幼儿资助县级配套</w:t>
      </w:r>
    </w:p>
    <w:p w14:paraId="4AD082B9">
      <w:pPr>
        <w:spacing w:line="360" w:lineRule="auto"/>
        <w:ind w:firstLine="600"/>
        <w:rPr>
          <w:rFonts w:hint="eastAsia" w:ascii="黑体" w:eastAsia="黑体"/>
          <w:color w:val="auto"/>
          <w:sz w:val="32"/>
          <w:szCs w:val="32"/>
          <w:highlight w:val="none"/>
          <w:lang w:val="en-US" w:eastAsia="zh-CN"/>
        </w:rPr>
      </w:pPr>
      <w:r>
        <w:rPr>
          <w:rFonts w:hint="eastAsia" w:ascii="黑体" w:eastAsia="黑体"/>
          <w:color w:val="auto"/>
          <w:sz w:val="32"/>
          <w:szCs w:val="32"/>
          <w:highlight w:val="none"/>
        </w:rPr>
        <w:t>实施单位（公章）：</w:t>
      </w:r>
      <w:r>
        <w:rPr>
          <w:rFonts w:hint="eastAsia" w:ascii="黑体" w:eastAsia="黑体"/>
          <w:color w:val="auto"/>
          <w:sz w:val="32"/>
          <w:szCs w:val="32"/>
          <w:highlight w:val="none"/>
          <w:lang w:val="en-US" w:eastAsia="zh-CN"/>
        </w:rPr>
        <w:t>托克逊县夏镇中心学校</w:t>
      </w:r>
    </w:p>
    <w:p w14:paraId="09E313D9">
      <w:pPr>
        <w:spacing w:line="360" w:lineRule="auto"/>
        <w:ind w:firstLine="600"/>
        <w:rPr>
          <w:rFonts w:hint="default" w:ascii="黑体" w:eastAsia="黑体"/>
          <w:color w:val="auto"/>
          <w:sz w:val="32"/>
          <w:szCs w:val="32"/>
          <w:highlight w:val="none"/>
          <w:lang w:val="en-US" w:eastAsia="zh-CN"/>
        </w:rPr>
      </w:pPr>
      <w:r>
        <w:rPr>
          <w:rFonts w:hint="eastAsia" w:ascii="黑体" w:eastAsia="黑体"/>
          <w:color w:val="auto"/>
          <w:sz w:val="32"/>
          <w:szCs w:val="32"/>
          <w:highlight w:val="none"/>
        </w:rPr>
        <w:t>项目负责人（签章）：</w:t>
      </w:r>
      <w:r>
        <w:rPr>
          <w:rFonts w:hint="eastAsia" w:ascii="黑体" w:eastAsia="黑体"/>
          <w:color w:val="auto"/>
          <w:sz w:val="32"/>
          <w:szCs w:val="32"/>
          <w:highlight w:val="none"/>
          <w:lang w:val="en-US" w:eastAsia="zh-CN"/>
        </w:rPr>
        <w:t>吾斯曼·皮达依</w:t>
      </w:r>
    </w:p>
    <w:p w14:paraId="319EE323">
      <w:pPr>
        <w:spacing w:line="360" w:lineRule="auto"/>
        <w:ind w:firstLine="600"/>
        <w:rPr>
          <w:rFonts w:hint="default" w:ascii="黑体" w:eastAsia="黑体"/>
          <w:color w:val="auto"/>
          <w:sz w:val="32"/>
          <w:szCs w:val="32"/>
          <w:highlight w:val="none"/>
          <w:lang w:val="en-US" w:eastAsia="zh-CN"/>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2"/>
          <w:szCs w:val="32"/>
          <w:highlight w:val="none"/>
        </w:rPr>
        <w:t>填报时间：202</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年</w:t>
      </w:r>
      <w:r>
        <w:rPr>
          <w:rFonts w:hint="eastAsia" w:ascii="黑体" w:eastAsia="黑体"/>
          <w:color w:val="auto"/>
          <w:sz w:val="32"/>
          <w:szCs w:val="32"/>
          <w:highlight w:val="none"/>
          <w:lang w:val="en-US" w:eastAsia="zh-CN"/>
        </w:rPr>
        <w:t>3</w:t>
      </w:r>
      <w:r>
        <w:rPr>
          <w:rFonts w:hint="eastAsia" w:ascii="黑体" w:eastAsia="黑体"/>
          <w:color w:val="auto"/>
          <w:sz w:val="32"/>
          <w:szCs w:val="32"/>
          <w:highlight w:val="none"/>
        </w:rPr>
        <w:t>月</w:t>
      </w:r>
      <w:r>
        <w:rPr>
          <w:rFonts w:hint="eastAsia" w:ascii="黑体" w:eastAsia="黑体"/>
          <w:color w:val="auto"/>
          <w:sz w:val="32"/>
          <w:szCs w:val="32"/>
          <w:highlight w:val="none"/>
          <w:lang w:val="en-US" w:eastAsia="zh-CN"/>
        </w:rPr>
        <w:t>31日</w:t>
      </w:r>
    </w:p>
    <w:p w14:paraId="7ED8FA1C">
      <w:pPr>
        <w:spacing w:line="240" w:lineRule="atLeast"/>
        <w:ind w:left="0" w:leftChars="0" w:firstLine="0" w:firstLineChars="0"/>
        <w:jc w:val="center"/>
        <w:rPr>
          <w:rFonts w:hint="eastAsia"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2023年学前教育幼儿资助县级配套项目支出</w:t>
      </w:r>
    </w:p>
    <w:p w14:paraId="5AA206B4">
      <w:pPr>
        <w:spacing w:line="240" w:lineRule="atLeast"/>
        <w:ind w:left="0" w:leftChars="0" w:firstLine="0" w:firstLineChars="0"/>
        <w:jc w:val="center"/>
        <w:rPr>
          <w:rFonts w:ascii="黑体" w:hAnsi="黑体" w:eastAsia="黑体" w:cs="黑体"/>
          <w:b/>
          <w:bCs/>
          <w:color w:val="auto"/>
          <w:sz w:val="36"/>
          <w:szCs w:val="36"/>
          <w:highlight w:val="none"/>
        </w:rPr>
      </w:pPr>
      <w:r>
        <w:rPr>
          <w:rFonts w:hint="eastAsia" w:ascii="黑体" w:hAnsi="黑体" w:eastAsia="黑体" w:cs="黑体"/>
          <w:b/>
          <w:bCs/>
          <w:color w:val="auto"/>
          <w:sz w:val="36"/>
          <w:szCs w:val="36"/>
          <w:highlight w:val="none"/>
        </w:rPr>
        <w:t>绩效评价报告</w:t>
      </w:r>
    </w:p>
    <w:p w14:paraId="6A0F4B77">
      <w:pPr>
        <w:pStyle w:val="4"/>
        <w:ind w:firstLine="640"/>
        <w:rPr>
          <w:rFonts w:hint="eastAsia"/>
          <w:color w:val="auto"/>
          <w:highlight w:val="none"/>
        </w:rPr>
      </w:pPr>
    </w:p>
    <w:p w14:paraId="731A3C29">
      <w:pPr>
        <w:pStyle w:val="4"/>
        <w:ind w:firstLine="640"/>
        <w:rPr>
          <w:color w:val="auto"/>
          <w:highlight w:val="none"/>
        </w:rPr>
      </w:pPr>
      <w:r>
        <w:rPr>
          <w:rFonts w:hint="eastAsia"/>
          <w:color w:val="auto"/>
          <w:highlight w:val="none"/>
        </w:rPr>
        <w:t>一、基本情况</w:t>
      </w:r>
    </w:p>
    <w:p w14:paraId="3CB9F268">
      <w:pPr>
        <w:pStyle w:val="6"/>
        <w:ind w:firstLine="562"/>
        <w:rPr>
          <w:color w:val="auto"/>
          <w:highlight w:val="none"/>
        </w:rPr>
      </w:pPr>
      <w:r>
        <w:rPr>
          <w:rFonts w:hint="eastAsia"/>
          <w:color w:val="auto"/>
          <w:highlight w:val="none"/>
          <w:lang w:eastAsia="zh-CN"/>
        </w:rPr>
        <w:t>（</w:t>
      </w:r>
      <w:r>
        <w:rPr>
          <w:rFonts w:hint="eastAsia"/>
          <w:color w:val="auto"/>
          <w:highlight w:val="none"/>
          <w:lang w:val="en-US" w:eastAsia="zh-CN"/>
        </w:rPr>
        <w:t>一</w:t>
      </w:r>
      <w:r>
        <w:rPr>
          <w:rFonts w:hint="eastAsia"/>
          <w:color w:val="auto"/>
          <w:highlight w:val="none"/>
          <w:lang w:eastAsia="zh-CN"/>
        </w:rPr>
        <w:t>）</w:t>
      </w:r>
      <w:r>
        <w:rPr>
          <w:rFonts w:hint="eastAsia"/>
          <w:color w:val="auto"/>
          <w:highlight w:val="none"/>
        </w:rPr>
        <w:t>项目背景</w:t>
      </w:r>
    </w:p>
    <w:p w14:paraId="0096DDDE">
      <w:pPr>
        <w:pStyle w:val="6"/>
        <w:ind w:firstLine="562"/>
        <w:rPr>
          <w:rFonts w:hint="eastAsia"/>
          <w:color w:val="auto"/>
          <w:highlight w:val="none"/>
          <w:lang w:val="en-US" w:eastAsia="zh-CN"/>
        </w:rPr>
      </w:pPr>
      <w:r>
        <w:rPr>
          <w:rFonts w:hint="eastAsia"/>
          <w:color w:val="auto"/>
          <w:highlight w:val="none"/>
          <w:lang w:val="en-US" w:eastAsia="zh-CN"/>
        </w:rPr>
        <w:t>1.项目概况</w:t>
      </w:r>
    </w:p>
    <w:p w14:paraId="363E7641">
      <w:pPr>
        <w:pStyle w:val="5"/>
        <w:ind w:firstLine="643"/>
        <w:rPr>
          <w:rFonts w:hint="eastAsia"/>
          <w:color w:val="auto"/>
          <w:highlight w:val="none"/>
          <w:lang w:val="en-US" w:eastAsia="zh-CN"/>
        </w:rPr>
      </w:pPr>
      <w:r>
        <w:rPr>
          <w:rFonts w:hint="eastAsia" w:ascii="仿宋_GB2312" w:hAnsi="Times New Roman" w:eastAsia="仿宋_GB2312" w:cs="Times New Roman"/>
          <w:b w:val="0"/>
          <w:bCs/>
          <w:color w:val="auto"/>
          <w:kern w:val="2"/>
          <w:sz w:val="28"/>
          <w:szCs w:val="28"/>
          <w:highlight w:val="none"/>
          <w:lang w:val="en-US" w:eastAsia="zh-CN" w:bidi="ar-SA"/>
        </w:rPr>
        <w:t>办好学前教育，实现幼有所育，是党和政府为老百姓办实事的重大民生工程。为解决学前教育资源不足，城乡发展不平衡、一些地方入园难，入园贵等问题，根据《国务院关于当前发展学前教育的若干意见》《国家中长期教育改革和发展规划纲要》《关于实施学前教育三年行动计划的意见》等文件精神，中央财政通过补助和奖励的方式支持学前教育发展，进一步加强公办幼儿园建设，不断扩大学前教育资源，全面提高政府公共服务能力，保障适龄儿童接受基本的、有质量的学前教育。</w:t>
      </w:r>
    </w:p>
    <w:p w14:paraId="384750B7">
      <w:pPr>
        <w:pStyle w:val="6"/>
        <w:ind w:firstLine="562"/>
        <w:rPr>
          <w:color w:val="auto"/>
          <w:highlight w:val="none"/>
        </w:rPr>
      </w:pPr>
      <w:r>
        <w:rPr>
          <w:rFonts w:hint="eastAsia"/>
          <w:color w:val="auto"/>
          <w:highlight w:val="none"/>
          <w:lang w:val="en-US" w:eastAsia="zh-CN"/>
        </w:rPr>
        <w:t>2.</w:t>
      </w:r>
      <w:r>
        <w:rPr>
          <w:rFonts w:hint="eastAsia"/>
          <w:color w:val="auto"/>
          <w:highlight w:val="none"/>
        </w:rPr>
        <w:t>项目实施主体</w:t>
      </w:r>
    </w:p>
    <w:p w14:paraId="3B6B389D">
      <w:pPr>
        <w:ind w:firstLine="562"/>
        <w:rPr>
          <w:rFonts w:hint="eastAsia"/>
          <w:b/>
          <w:color w:val="auto"/>
          <w:highlight w:val="none"/>
        </w:rPr>
      </w:pPr>
      <w:r>
        <w:rPr>
          <w:rFonts w:hint="eastAsia"/>
          <w:b/>
          <w:color w:val="auto"/>
          <w:highlight w:val="none"/>
        </w:rPr>
        <w:t>（1）单位职能</w:t>
      </w:r>
    </w:p>
    <w:p w14:paraId="1BBD2D98">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1）宣传贯彻执行党和国家的教育方针、政策、法律法规等，坚持依法治教、依法治学，贯彻执行县教体局的行政规章制度。</w:t>
      </w:r>
    </w:p>
    <w:p w14:paraId="74A98BAD">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2）配合县人民政府制定符合党的教育方针和国家教育法律法规以及本校实际的教育发展规划和学校布局调整规划，并抓好组织实施和落实工作。</w:t>
      </w:r>
    </w:p>
    <w:p w14:paraId="0473D559">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3）巩固提高“两基”工作成果和整体水平，配合各级人民政府依法动员工作。</w:t>
      </w:r>
    </w:p>
    <w:p w14:paraId="64289F43">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4）组织开展本校的教育教学科研和教育教学改革，科研兴教，科研兴校。负责对本校教育教学业务的具体管理，负责教育教学，管理及教研教改工作，全力推进素质教育实施。</w:t>
      </w:r>
    </w:p>
    <w:p w14:paraId="0C102C1D">
      <w:pPr>
        <w:pStyle w:val="5"/>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5）按照干部和教师的职数、编制和管理权限，负责本校教师人事管理、继续教育、考核考评等工作。</w:t>
      </w:r>
    </w:p>
    <w:p w14:paraId="7345C85F">
      <w:pPr>
        <w:pStyle w:val="5"/>
        <w:ind w:firstLine="643"/>
        <w:rPr>
          <w:rFonts w:hint="eastAsia" w:ascii="仿宋_GB2312" w:hAnsi="Times New Roman" w:eastAsia="仿宋_GB2312" w:cs="Times New Roman"/>
          <w:b w:val="0"/>
          <w:bCs/>
          <w:color w:val="auto"/>
          <w:kern w:val="2"/>
          <w:sz w:val="28"/>
          <w:szCs w:val="28"/>
          <w:highlight w:val="none"/>
          <w:lang w:val="en-US" w:eastAsia="zh-CN" w:bidi="ar-SA"/>
        </w:rPr>
      </w:pPr>
      <w:r>
        <w:rPr>
          <w:rFonts w:hint="eastAsia" w:ascii="仿宋_GB2312" w:hAnsi="Times New Roman" w:eastAsia="仿宋_GB2312" w:cs="Times New Roman"/>
          <w:b w:val="0"/>
          <w:bCs/>
          <w:color w:val="auto"/>
          <w:kern w:val="2"/>
          <w:sz w:val="28"/>
          <w:szCs w:val="28"/>
          <w:highlight w:val="none"/>
          <w:lang w:val="en-US" w:eastAsia="zh-CN" w:bidi="ar-SA"/>
        </w:rPr>
        <w:t>6）负责本校财务和基建管理，筹措资金，改善办学条件等工作。7、指导、管理、检查、评价本校的教育教学工作，提高办学质量和办学效益。全面推进素质教育，全面提高教育教学质量。</w:t>
      </w:r>
    </w:p>
    <w:p w14:paraId="62ACD7A1">
      <w:pPr>
        <w:ind w:firstLine="562"/>
        <w:rPr>
          <w:rFonts w:hint="eastAsia" w:eastAsia="仿宋_GB2312"/>
          <w:b/>
          <w:color w:val="auto"/>
          <w:highlight w:val="none"/>
          <w:lang w:eastAsia="zh-CN"/>
        </w:rPr>
      </w:pPr>
      <w:r>
        <w:rPr>
          <w:rFonts w:hint="eastAsia"/>
          <w:b/>
          <w:color w:val="auto"/>
          <w:highlight w:val="none"/>
        </w:rPr>
        <w:t>（2）</w:t>
      </w:r>
      <w:r>
        <w:rPr>
          <w:rFonts w:hint="eastAsia"/>
          <w:b/>
          <w:color w:val="auto"/>
          <w:highlight w:val="none"/>
          <w:lang w:val="en-US" w:eastAsia="zh-CN"/>
        </w:rPr>
        <w:t>机构设置及</w:t>
      </w:r>
      <w:r>
        <w:rPr>
          <w:rFonts w:hint="eastAsia"/>
          <w:b/>
          <w:color w:val="auto"/>
          <w:highlight w:val="none"/>
          <w:lang w:eastAsia="zh-CN"/>
        </w:rPr>
        <w:t>人员情况</w:t>
      </w:r>
    </w:p>
    <w:p w14:paraId="569BF5BF">
      <w:pPr>
        <w:ind w:firstLine="560"/>
        <w:rPr>
          <w:rFonts w:ascii="仿宋" w:hAnsi="仿宋" w:eastAsia="仿宋"/>
          <w:color w:val="auto"/>
          <w:highlight w:val="none"/>
        </w:rPr>
      </w:pPr>
      <w:r>
        <w:rPr>
          <w:rFonts w:hint="eastAsia" w:ascii="仿宋" w:hAnsi="仿宋" w:eastAsia="仿宋"/>
          <w:color w:val="auto"/>
          <w:szCs w:val="28"/>
          <w:highlight w:val="none"/>
          <w:lang w:val="en-US" w:eastAsia="zh-CN"/>
        </w:rPr>
        <w:t>托克逊县夏镇中心学校共设有3个处室，主要有：</w:t>
      </w:r>
      <w:r>
        <w:rPr>
          <w:rFonts w:hint="eastAsia" w:ascii="仿宋_GB2312" w:hAnsi="黑体" w:eastAsia="仿宋_GB2312" w:cs="宋体"/>
          <w:bCs/>
          <w:color w:val="auto"/>
          <w:kern w:val="0"/>
          <w:sz w:val="32"/>
          <w:szCs w:val="32"/>
          <w:highlight w:val="none"/>
        </w:rPr>
        <w:t>办公室、教务室、财务室</w:t>
      </w:r>
      <w:r>
        <w:rPr>
          <w:rFonts w:hint="eastAsia" w:ascii="仿宋_GB2312" w:hAnsi="黑体" w:cs="宋体"/>
          <w:bCs/>
          <w:color w:val="auto"/>
          <w:kern w:val="0"/>
          <w:sz w:val="32"/>
          <w:szCs w:val="32"/>
          <w:highlight w:val="none"/>
          <w:lang w:eastAsia="zh-CN"/>
        </w:rPr>
        <w:t>。</w:t>
      </w:r>
      <w:r>
        <w:rPr>
          <w:rFonts w:hint="eastAsia" w:ascii="仿宋" w:hAnsi="仿宋" w:eastAsia="仿宋"/>
          <w:color w:val="auto"/>
          <w:szCs w:val="28"/>
          <w:highlight w:val="none"/>
          <w:lang w:val="en-US" w:eastAsia="zh-CN"/>
        </w:rPr>
        <w:t>托克逊县夏镇中心学校</w:t>
      </w:r>
      <w:r>
        <w:rPr>
          <w:rFonts w:hint="eastAsia" w:ascii="仿宋" w:hAnsi="仿宋" w:eastAsia="仿宋"/>
          <w:color w:val="auto"/>
          <w:szCs w:val="28"/>
          <w:highlight w:val="none"/>
        </w:rPr>
        <w:t>人员编制数共</w:t>
      </w:r>
      <w:r>
        <w:rPr>
          <w:rFonts w:hint="eastAsia" w:ascii="仿宋" w:hAnsi="仿宋" w:eastAsia="仿宋"/>
          <w:color w:val="auto"/>
          <w:szCs w:val="28"/>
          <w:highlight w:val="none"/>
          <w:lang w:val="en-US" w:eastAsia="zh-CN"/>
        </w:rPr>
        <w:t>188</w:t>
      </w:r>
      <w:r>
        <w:rPr>
          <w:rFonts w:hint="eastAsia" w:ascii="仿宋" w:hAnsi="仿宋" w:eastAsia="仿宋"/>
          <w:color w:val="auto"/>
          <w:szCs w:val="28"/>
          <w:highlight w:val="none"/>
        </w:rPr>
        <w:t>人，年初实有在职人员</w:t>
      </w:r>
      <w:r>
        <w:rPr>
          <w:rFonts w:hint="eastAsia" w:ascii="仿宋" w:hAnsi="仿宋" w:eastAsia="仿宋"/>
          <w:color w:val="auto"/>
          <w:szCs w:val="28"/>
          <w:highlight w:val="none"/>
          <w:lang w:val="en-US" w:eastAsia="zh-CN"/>
        </w:rPr>
        <w:t>577</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248</w:t>
      </w:r>
      <w:r>
        <w:rPr>
          <w:rFonts w:hint="eastAsia" w:ascii="仿宋" w:hAnsi="仿宋" w:eastAsia="仿宋"/>
          <w:color w:val="auto"/>
          <w:szCs w:val="28"/>
          <w:highlight w:val="none"/>
        </w:rPr>
        <w:t>人。年末实有在职人数</w:t>
      </w:r>
      <w:r>
        <w:rPr>
          <w:rFonts w:hint="eastAsia" w:ascii="仿宋" w:hAnsi="仿宋" w:eastAsia="仿宋"/>
          <w:color w:val="auto"/>
          <w:szCs w:val="28"/>
          <w:highlight w:val="none"/>
          <w:lang w:val="en-US" w:eastAsia="zh-CN"/>
        </w:rPr>
        <w:t>577</w:t>
      </w:r>
      <w:r>
        <w:rPr>
          <w:rFonts w:hint="eastAsia" w:ascii="仿宋" w:hAnsi="仿宋" w:eastAsia="仿宋"/>
          <w:color w:val="auto"/>
          <w:szCs w:val="28"/>
          <w:highlight w:val="none"/>
        </w:rPr>
        <w:t>人，退休人员</w:t>
      </w:r>
      <w:r>
        <w:rPr>
          <w:rFonts w:hint="eastAsia" w:ascii="仿宋" w:hAnsi="仿宋" w:eastAsia="仿宋"/>
          <w:color w:val="auto"/>
          <w:szCs w:val="28"/>
          <w:highlight w:val="none"/>
          <w:lang w:val="en-US" w:eastAsia="zh-CN"/>
        </w:rPr>
        <w:t>249</w:t>
      </w:r>
      <w:r>
        <w:rPr>
          <w:rFonts w:hint="eastAsia" w:ascii="仿宋" w:hAnsi="仿宋" w:eastAsia="仿宋"/>
          <w:color w:val="auto"/>
          <w:szCs w:val="28"/>
          <w:highlight w:val="none"/>
        </w:rPr>
        <w:t>人。</w:t>
      </w:r>
    </w:p>
    <w:p w14:paraId="2792C1AD">
      <w:pPr>
        <w:pStyle w:val="6"/>
        <w:ind w:firstLine="562"/>
        <w:rPr>
          <w:color w:val="auto"/>
          <w:highlight w:val="none"/>
        </w:rPr>
      </w:pPr>
      <w:r>
        <w:rPr>
          <w:rFonts w:hint="eastAsia"/>
          <w:color w:val="auto"/>
          <w:highlight w:val="none"/>
          <w:lang w:val="en-US" w:eastAsia="zh-CN"/>
        </w:rPr>
        <w:t>3</w:t>
      </w:r>
      <w:r>
        <w:rPr>
          <w:rFonts w:hint="eastAsia"/>
          <w:color w:val="auto"/>
          <w:highlight w:val="none"/>
        </w:rPr>
        <w:t>.主要内容及实施情况</w:t>
      </w:r>
    </w:p>
    <w:p w14:paraId="2FAA11FB">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项目名称：2023年学前教育幼儿资助县级配套</w:t>
      </w:r>
    </w:p>
    <w:p w14:paraId="093F1700">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项目主要内容：保障夏乡学区683名农村在园幼儿免费接受学前三年教育,提高我学区农村学前国语教育覆盖率，完善学前教育体系，持续推进学前教育事业发展。</w:t>
      </w:r>
    </w:p>
    <w:p w14:paraId="3A86F475">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项目实施时间：2023年1月-2023年12月</w:t>
      </w:r>
    </w:p>
    <w:p w14:paraId="5056BB83">
      <w:pPr>
        <w:ind w:firstLine="560"/>
        <w:rPr>
          <w:rFonts w:hint="eastAsia" w:ascii="仿宋" w:hAnsi="仿宋" w:eastAsia="仿宋"/>
          <w:color w:val="auto"/>
          <w:szCs w:val="28"/>
          <w:highlight w:val="none"/>
          <w:lang w:val="en-US" w:eastAsia="zh-CN"/>
        </w:rPr>
      </w:pPr>
      <w:r>
        <w:rPr>
          <w:rFonts w:hint="eastAsia" w:ascii="仿宋" w:hAnsi="仿宋" w:eastAsia="仿宋"/>
          <w:color w:val="auto"/>
          <w:szCs w:val="28"/>
          <w:highlight w:val="none"/>
          <w:lang w:val="en-US" w:eastAsia="zh-CN"/>
        </w:rPr>
        <w:t>项目实施情况：</w:t>
      </w:r>
    </w:p>
    <w:p w14:paraId="1B9F796B">
      <w:pPr>
        <w:ind w:firstLine="560"/>
        <w:rPr>
          <w:rFonts w:hint="eastAsia" w:ascii="仿宋" w:hAnsi="仿宋" w:eastAsia="仿宋" w:cs="Times New Roman"/>
          <w:color w:val="auto"/>
          <w:szCs w:val="28"/>
          <w:highlight w:val="none"/>
          <w:lang w:val="en-US" w:eastAsia="zh-CN"/>
        </w:rPr>
      </w:pPr>
      <w:r>
        <w:rPr>
          <w:rFonts w:hint="eastAsia" w:ascii="仿宋" w:hAnsi="仿宋" w:eastAsia="仿宋" w:cs="Times New Roman"/>
          <w:color w:val="auto"/>
          <w:szCs w:val="28"/>
          <w:highlight w:val="none"/>
          <w:lang w:val="en-US" w:eastAsia="zh-CN"/>
        </w:rPr>
        <w:t>2023年学前教育幼儿资助县级配套项目预算安排总额为83.87万元，主要用于保障夏镇片区学前教育教学工作正常开展，确保夏镇片区幼儿园正常招收适龄入学儿童。2023年我片区保障了10所幼儿园655名幼儿享受学前三年教育，做到应入尽入，保证了片区幼儿百分百入园，确保了片区内10所幼儿园补助全覆盖，及时支付各幼儿园经费，保障幼儿园冬季正常供暖，确保幼儿园食品安全，确保幼儿园伙食费按时支付，有效提高了学前教育普惠保障。确保了学前教育教育保障机制政策按规定得到落实，提高了我县农村学前国语教育覆盖率，完善了学前教育体系，持续推进了学前教育事业发展。</w:t>
      </w:r>
    </w:p>
    <w:p w14:paraId="5E2796DC">
      <w:pPr>
        <w:pStyle w:val="6"/>
        <w:ind w:firstLine="562"/>
        <w:rPr>
          <w:rFonts w:hint="eastAsia"/>
          <w:color w:val="auto"/>
          <w:highlight w:val="none"/>
        </w:rPr>
      </w:pPr>
      <w:r>
        <w:rPr>
          <w:rFonts w:hint="eastAsia"/>
          <w:color w:val="auto"/>
          <w:highlight w:val="none"/>
          <w:lang w:val="en-US" w:eastAsia="zh-CN"/>
        </w:rPr>
        <w:t>4</w:t>
      </w:r>
      <w:r>
        <w:rPr>
          <w:rFonts w:hint="eastAsia"/>
          <w:color w:val="auto"/>
          <w:highlight w:val="none"/>
        </w:rPr>
        <w:t>.资金投入和使用情况</w:t>
      </w:r>
    </w:p>
    <w:p w14:paraId="13E6DBD2">
      <w:pPr>
        <w:ind w:firstLine="562"/>
        <w:rPr>
          <w:rFonts w:ascii="仿宋" w:hAnsi="仿宋" w:eastAsia="仿宋"/>
          <w:b/>
          <w:color w:val="auto"/>
          <w:highlight w:val="none"/>
        </w:rPr>
      </w:pPr>
      <w:r>
        <w:rPr>
          <w:rFonts w:hint="eastAsia" w:ascii="仿宋" w:hAnsi="仿宋" w:eastAsia="仿宋"/>
          <w:b/>
          <w:color w:val="auto"/>
          <w:highlight w:val="none"/>
        </w:rPr>
        <w:t>（1）项目资金安排落实、总投入等情况分析</w:t>
      </w:r>
    </w:p>
    <w:p w14:paraId="23032790">
      <w:pPr>
        <w:ind w:firstLine="560"/>
        <w:rPr>
          <w:color w:val="auto"/>
          <w:highlight w:val="none"/>
        </w:rPr>
      </w:pPr>
      <w:r>
        <w:rPr>
          <w:rFonts w:hint="eastAsia" w:ascii="仿宋_GB2312" w:hAnsi="仿宋_GB2312" w:cs="Times New Roman"/>
          <w:b w:val="0"/>
          <w:bCs w:val="0"/>
          <w:color w:val="auto"/>
          <w:kern w:val="0"/>
          <w:sz w:val="28"/>
          <w:szCs w:val="32"/>
          <w:highlight w:val="none"/>
          <w:lang w:val="en-US" w:eastAsia="zh-CN" w:bidi="ar-SA"/>
        </w:rPr>
        <w:t>2023年学前教育幼儿资助县级配套</w:t>
      </w:r>
      <w:r>
        <w:rPr>
          <w:color w:val="auto"/>
          <w:highlight w:val="none"/>
        </w:rPr>
        <w:t>预算安排总额为</w:t>
      </w:r>
      <w:r>
        <w:rPr>
          <w:rFonts w:hint="eastAsia"/>
          <w:color w:val="auto"/>
          <w:highlight w:val="none"/>
          <w:lang w:val="en-US" w:eastAsia="zh-CN"/>
        </w:rPr>
        <w:t>83.87</w:t>
      </w:r>
      <w:r>
        <w:rPr>
          <w:color w:val="auto"/>
          <w:highlight w:val="none"/>
        </w:rPr>
        <w:t>万元，其中财政资金</w:t>
      </w:r>
      <w:r>
        <w:rPr>
          <w:rFonts w:hint="eastAsia"/>
          <w:color w:val="auto"/>
          <w:highlight w:val="none"/>
          <w:lang w:val="en-US" w:eastAsia="zh-CN"/>
        </w:rPr>
        <w:t>83.87</w:t>
      </w:r>
      <w:r>
        <w:rPr>
          <w:color w:val="auto"/>
          <w:highlight w:val="none"/>
        </w:rPr>
        <w:t>万元，其他资金</w:t>
      </w:r>
      <w:r>
        <w:rPr>
          <w:rFonts w:hint="eastAsia"/>
          <w:color w:val="auto"/>
          <w:highlight w:val="none"/>
          <w:lang w:val="en-US" w:eastAsia="zh-CN"/>
        </w:rPr>
        <w:t>0</w:t>
      </w:r>
      <w:r>
        <w:rPr>
          <w:color w:val="auto"/>
          <w:highlight w:val="none"/>
        </w:rPr>
        <w:t>万元，20</w:t>
      </w:r>
      <w:r>
        <w:rPr>
          <w:rFonts w:hint="eastAsia"/>
          <w:color w:val="auto"/>
          <w:highlight w:val="none"/>
        </w:rPr>
        <w:t>2</w:t>
      </w:r>
      <w:r>
        <w:rPr>
          <w:rFonts w:hint="eastAsia"/>
          <w:color w:val="auto"/>
          <w:highlight w:val="none"/>
          <w:lang w:val="en-US" w:eastAsia="zh-CN"/>
        </w:rPr>
        <w:t>3</w:t>
      </w:r>
      <w:r>
        <w:rPr>
          <w:color w:val="auto"/>
          <w:highlight w:val="none"/>
        </w:rPr>
        <w:t>年实际收到预算资金</w:t>
      </w:r>
      <w:r>
        <w:rPr>
          <w:rFonts w:hint="eastAsia"/>
          <w:color w:val="auto"/>
          <w:highlight w:val="none"/>
          <w:lang w:val="en-US" w:eastAsia="zh-CN"/>
        </w:rPr>
        <w:t>83.87</w:t>
      </w:r>
      <w:r>
        <w:rPr>
          <w:color w:val="auto"/>
          <w:highlight w:val="none"/>
        </w:rPr>
        <w:t>万元，预算资金到位率为</w:t>
      </w:r>
      <w:r>
        <w:rPr>
          <w:rFonts w:hint="eastAsia"/>
          <w:color w:val="auto"/>
          <w:highlight w:val="none"/>
          <w:lang w:val="en-US" w:eastAsia="zh-CN"/>
        </w:rPr>
        <w:t>100</w:t>
      </w:r>
      <w:r>
        <w:rPr>
          <w:color w:val="auto"/>
          <w:highlight w:val="none"/>
        </w:rPr>
        <w:t>%。</w:t>
      </w:r>
    </w:p>
    <w:p w14:paraId="662F31E3">
      <w:pPr>
        <w:ind w:firstLine="562"/>
        <w:rPr>
          <w:rFonts w:ascii="仿宋" w:hAnsi="仿宋" w:eastAsia="仿宋"/>
          <w:b/>
          <w:color w:val="auto"/>
          <w:highlight w:val="none"/>
        </w:rPr>
      </w:pPr>
      <w:r>
        <w:rPr>
          <w:rFonts w:hint="eastAsia" w:ascii="仿宋" w:hAnsi="仿宋" w:eastAsia="仿宋"/>
          <w:b/>
          <w:color w:val="auto"/>
          <w:highlight w:val="none"/>
        </w:rPr>
        <w:t>（2）</w:t>
      </w:r>
      <w:r>
        <w:rPr>
          <w:rFonts w:hint="eastAsia" w:ascii="仿宋" w:hAnsi="仿宋" w:eastAsia="仿宋"/>
          <w:b/>
          <w:bCs/>
          <w:color w:val="auto"/>
          <w:spacing w:val="-4"/>
          <w:highlight w:val="none"/>
        </w:rPr>
        <w:t>项目资金实际使用情况分析</w:t>
      </w:r>
    </w:p>
    <w:p w14:paraId="6E20D39E">
      <w:pPr>
        <w:ind w:firstLine="560"/>
        <w:rPr>
          <w:rFonts w:hint="default" w:eastAsia="仿宋_GB2312"/>
          <w:b w:val="0"/>
          <w:bCs w:val="0"/>
          <w:color w:val="auto"/>
          <w:highlight w:val="none"/>
          <w:lang w:val="en-US" w:eastAsia="zh-CN"/>
        </w:rPr>
      </w:pPr>
      <w:r>
        <w:rPr>
          <w:rFonts w:hint="eastAsia"/>
          <w:color w:val="auto"/>
          <w:highlight w:val="none"/>
          <w:lang w:eastAsia="zh-CN"/>
        </w:rPr>
        <w:t>截止到</w:t>
      </w:r>
      <w:r>
        <w:rPr>
          <w:rFonts w:hint="eastAsia"/>
          <w:color w:val="auto"/>
          <w:highlight w:val="none"/>
          <w:lang w:val="en-US" w:eastAsia="zh-CN"/>
        </w:rPr>
        <w:t>2023年12月31日，</w:t>
      </w:r>
      <w:r>
        <w:rPr>
          <w:rFonts w:hint="eastAsia"/>
          <w:color w:val="auto"/>
          <w:highlight w:val="none"/>
        </w:rPr>
        <w:t>本项目实际支付资金</w:t>
      </w:r>
      <w:r>
        <w:rPr>
          <w:rFonts w:hint="eastAsia"/>
          <w:color w:val="auto"/>
          <w:highlight w:val="none"/>
          <w:lang w:val="en-US" w:eastAsia="zh-CN"/>
        </w:rPr>
        <w:t>80.5</w:t>
      </w:r>
      <w:r>
        <w:rPr>
          <w:rFonts w:hint="eastAsia"/>
          <w:color w:val="auto"/>
          <w:highlight w:val="none"/>
        </w:rPr>
        <w:t>万元，预算执行率</w:t>
      </w:r>
      <w:r>
        <w:rPr>
          <w:rFonts w:hint="eastAsia"/>
          <w:color w:val="auto"/>
          <w:highlight w:val="none"/>
          <w:lang w:val="en-US" w:eastAsia="zh-CN"/>
        </w:rPr>
        <w:t>96</w:t>
      </w:r>
      <w:r>
        <w:rPr>
          <w:color w:val="auto"/>
          <w:highlight w:val="none"/>
        </w:rPr>
        <w:t>%</w:t>
      </w:r>
      <w:r>
        <w:rPr>
          <w:rFonts w:hint="eastAsia"/>
          <w:color w:val="auto"/>
          <w:highlight w:val="none"/>
          <w:lang w:eastAsia="zh-CN"/>
        </w:rPr>
        <w:t>，结余资金指标额度已由县财政收回。</w:t>
      </w:r>
      <w:r>
        <w:rPr>
          <w:rFonts w:hint="eastAsia"/>
          <w:color w:val="auto"/>
          <w:highlight w:val="none"/>
        </w:rPr>
        <w:t>项目资金主要用于</w:t>
      </w:r>
      <w:r>
        <w:rPr>
          <w:rFonts w:hint="eastAsia"/>
          <w:color w:val="auto"/>
          <w:highlight w:val="none"/>
          <w:lang w:val="en-US" w:eastAsia="zh-CN"/>
        </w:rPr>
        <w:t>支付办公费9.62万元、水费0.5万元、电费17.03万元、邮电费2.71万元、取暖费7.63万元、维修费4.67万元、培训费0.13万元、劳务费1.38万元、其他商品和服务支出10.02万元、助学金26.81万元。</w:t>
      </w:r>
    </w:p>
    <w:p w14:paraId="7D458AB1">
      <w:pPr>
        <w:pStyle w:val="5"/>
        <w:ind w:firstLine="643"/>
        <w:rPr>
          <w:color w:val="auto"/>
          <w:highlight w:val="none"/>
        </w:rPr>
      </w:pPr>
      <w:r>
        <w:rPr>
          <w:rFonts w:hint="eastAsia"/>
          <w:color w:val="auto"/>
          <w:highlight w:val="none"/>
        </w:rPr>
        <w:t>（</w:t>
      </w:r>
      <w:r>
        <w:rPr>
          <w:rFonts w:hint="eastAsia"/>
          <w:color w:val="auto"/>
          <w:highlight w:val="none"/>
          <w:lang w:val="en-US" w:eastAsia="zh-CN"/>
        </w:rPr>
        <w:t>二</w:t>
      </w:r>
      <w:r>
        <w:rPr>
          <w:rFonts w:hint="eastAsia"/>
          <w:color w:val="auto"/>
          <w:highlight w:val="none"/>
        </w:rPr>
        <w:t>）项目绩效目标</w:t>
      </w:r>
    </w:p>
    <w:p w14:paraId="3EFF5D25">
      <w:pPr>
        <w:pStyle w:val="6"/>
        <w:bidi w:val="0"/>
        <w:rPr>
          <w:color w:val="auto"/>
          <w:highlight w:val="none"/>
        </w:rPr>
      </w:pPr>
      <w:r>
        <w:rPr>
          <w:rFonts w:hint="eastAsia"/>
          <w:color w:val="auto"/>
          <w:highlight w:val="none"/>
        </w:rPr>
        <w:t>1.总体目标</w:t>
      </w:r>
    </w:p>
    <w:p w14:paraId="21BC8E8B">
      <w:pPr>
        <w:ind w:firstLine="56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保障夏乡学区683名农村在园幼儿免费接受学前三年教育,提高我学区农村学前国语教育覆盖率，完善学前教育体系，持续推进学前教育事业发展。</w:t>
      </w:r>
    </w:p>
    <w:p w14:paraId="1F988E2B">
      <w:pPr>
        <w:pStyle w:val="6"/>
        <w:ind w:firstLine="562"/>
        <w:rPr>
          <w:color w:val="auto"/>
          <w:highlight w:val="none"/>
        </w:rPr>
      </w:pPr>
      <w:r>
        <w:rPr>
          <w:rFonts w:hint="eastAsia"/>
          <w:color w:val="auto"/>
          <w:highlight w:val="none"/>
        </w:rPr>
        <w:t>2.阶段性目标</w:t>
      </w:r>
    </w:p>
    <w:p w14:paraId="553BCAB5">
      <w:pPr>
        <w:ind w:firstLine="560"/>
        <w:rPr>
          <w:rFonts w:hint="eastAsia" w:hAnsi="Arial" w:cs="宋体"/>
          <w:bCs/>
          <w:color w:val="auto"/>
          <w:highlight w:val="none"/>
        </w:rPr>
      </w:pPr>
      <w:r>
        <w:rPr>
          <w:rFonts w:hint="eastAsia" w:hAnsi="Arial" w:cs="宋体"/>
          <w:bCs/>
          <w:color w:val="auto"/>
          <w:highlight w:val="none"/>
        </w:rPr>
        <w:t>根据《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（新财预〔2018〕189号）等文件要求和</w:t>
      </w:r>
      <w:r>
        <w:rPr>
          <w:rFonts w:hint="eastAsia" w:hAnsi="Arial" w:cs="宋体"/>
          <w:bCs/>
          <w:color w:val="auto"/>
          <w:highlight w:val="none"/>
        </w:rPr>
        <w:t>规定，结合项目实施单位的规章制度以及财务相关资料，评价小组对项目绩效目标进行了进一步的完善，完善后绩效目标如下：</w:t>
      </w:r>
    </w:p>
    <w:p w14:paraId="68328A49">
      <w:pPr>
        <w:ind w:firstLine="562"/>
        <w:rPr>
          <w:rFonts w:hAnsi="Arial" w:cs="宋体"/>
          <w:b/>
          <w:bCs/>
          <w:color w:val="auto"/>
          <w:highlight w:val="none"/>
        </w:rPr>
      </w:pPr>
      <w:r>
        <w:rPr>
          <w:rFonts w:hint="eastAsia" w:hAnsi="Arial" w:cs="宋体"/>
          <w:b/>
          <w:bCs/>
          <w:color w:val="auto"/>
          <w:highlight w:val="none"/>
        </w:rPr>
        <w:t>（1）</w:t>
      </w:r>
      <w:r>
        <w:rPr>
          <w:rFonts w:hint="eastAsia"/>
          <w:b/>
          <w:color w:val="auto"/>
          <w:highlight w:val="none"/>
        </w:rPr>
        <w:t>项目产出目标</w:t>
      </w:r>
    </w:p>
    <w:p w14:paraId="7AC0B035">
      <w:pPr>
        <w:ind w:firstLine="560"/>
        <w:rPr>
          <w:color w:val="auto"/>
          <w:highlight w:val="none"/>
        </w:rPr>
      </w:pPr>
      <w:r>
        <w:rPr>
          <w:rFonts w:hint="eastAsia"/>
          <w:color w:val="auto"/>
          <w:highlight w:val="none"/>
        </w:rPr>
        <w:t>①数量指标</w:t>
      </w:r>
    </w:p>
    <w:p w14:paraId="52AF2433">
      <w:pPr>
        <w:ind w:firstLine="560"/>
        <w:rPr>
          <w:color w:val="auto"/>
          <w:highlight w:val="none"/>
        </w:rPr>
      </w:pPr>
      <w:r>
        <w:rPr>
          <w:rFonts w:hint="eastAsia"/>
          <w:color w:val="auto"/>
          <w:highlight w:val="none"/>
        </w:rPr>
        <w:t>“享受学前教育资助的幼儿园数量”指标，预期指标值</w:t>
      </w:r>
      <w:r>
        <w:rPr>
          <w:rFonts w:hint="eastAsia"/>
          <w:color w:val="auto"/>
          <w:highlight w:val="none"/>
          <w:lang w:eastAsia="zh-CN"/>
        </w:rPr>
        <w:t>大于等于</w:t>
      </w:r>
      <w:r>
        <w:rPr>
          <w:rFonts w:hint="eastAsia"/>
          <w:color w:val="auto"/>
          <w:highlight w:val="none"/>
          <w:lang w:val="en-US" w:eastAsia="zh-CN"/>
        </w:rPr>
        <w:t>10所</w:t>
      </w:r>
      <w:r>
        <w:rPr>
          <w:rFonts w:hint="eastAsia"/>
          <w:color w:val="auto"/>
          <w:highlight w:val="none"/>
        </w:rPr>
        <w:t>；</w:t>
      </w:r>
    </w:p>
    <w:p w14:paraId="3CF4B5E5">
      <w:pPr>
        <w:ind w:firstLine="560"/>
        <w:rPr>
          <w:rFonts w:hint="eastAsia"/>
          <w:color w:val="auto"/>
          <w:highlight w:val="none"/>
        </w:rPr>
      </w:pPr>
      <w:r>
        <w:rPr>
          <w:rFonts w:hint="eastAsia"/>
          <w:color w:val="auto"/>
          <w:highlight w:val="none"/>
        </w:rPr>
        <w:t>“享受学前教育资助的幼儿人数”指标，预期指标值</w:t>
      </w:r>
      <w:r>
        <w:rPr>
          <w:rFonts w:hint="eastAsia"/>
          <w:color w:val="auto"/>
          <w:highlight w:val="none"/>
          <w:lang w:eastAsia="zh-CN"/>
        </w:rPr>
        <w:t>大于等于</w:t>
      </w:r>
      <w:r>
        <w:rPr>
          <w:rFonts w:hint="eastAsia"/>
          <w:color w:val="auto"/>
          <w:highlight w:val="none"/>
          <w:lang w:val="en-US" w:eastAsia="zh-CN"/>
        </w:rPr>
        <w:t>683人</w:t>
      </w:r>
      <w:r>
        <w:rPr>
          <w:rFonts w:hint="eastAsia"/>
          <w:color w:val="auto"/>
          <w:highlight w:val="none"/>
        </w:rPr>
        <w:t>。</w:t>
      </w:r>
    </w:p>
    <w:p w14:paraId="6A71BADE">
      <w:pPr>
        <w:ind w:firstLine="560"/>
        <w:rPr>
          <w:rFonts w:hint="eastAsia"/>
          <w:color w:val="auto"/>
          <w:highlight w:val="none"/>
        </w:rPr>
      </w:pPr>
      <w:r>
        <w:rPr>
          <w:rFonts w:hint="eastAsia"/>
          <w:color w:val="auto"/>
          <w:highlight w:val="none"/>
        </w:rPr>
        <w:t>“普惠性学前教育资源覆盖率”指标，预期指标值</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14:paraId="5DC38695">
      <w:pPr>
        <w:ind w:firstLine="560"/>
        <w:rPr>
          <w:rFonts w:hint="eastAsia"/>
          <w:color w:val="auto"/>
          <w:highlight w:val="none"/>
        </w:rPr>
      </w:pPr>
      <w:r>
        <w:rPr>
          <w:rFonts w:hint="eastAsia"/>
          <w:color w:val="auto"/>
          <w:highlight w:val="none"/>
        </w:rPr>
        <w:t>“公办园在园幼儿占比”指标，预期指标值</w:t>
      </w:r>
      <w:r>
        <w:rPr>
          <w:rFonts w:hint="eastAsia"/>
          <w:color w:val="auto"/>
          <w:highlight w:val="none"/>
          <w:lang w:eastAsia="zh-CN"/>
        </w:rPr>
        <w:t>大于等于</w:t>
      </w:r>
      <w:r>
        <w:rPr>
          <w:rFonts w:hint="eastAsia"/>
          <w:color w:val="auto"/>
          <w:highlight w:val="none"/>
          <w:lang w:val="en-US" w:eastAsia="zh-CN"/>
        </w:rPr>
        <w:t>95%</w:t>
      </w:r>
      <w:r>
        <w:rPr>
          <w:rFonts w:hint="eastAsia"/>
          <w:color w:val="auto"/>
          <w:highlight w:val="none"/>
        </w:rPr>
        <w:t>。</w:t>
      </w:r>
    </w:p>
    <w:p w14:paraId="4AA46E59">
      <w:pPr>
        <w:ind w:firstLine="560"/>
        <w:rPr>
          <w:color w:val="auto"/>
          <w:highlight w:val="none"/>
        </w:rPr>
      </w:pPr>
      <w:r>
        <w:rPr>
          <w:rFonts w:hint="eastAsia"/>
          <w:color w:val="auto"/>
          <w:highlight w:val="none"/>
        </w:rPr>
        <w:t>②质量指标</w:t>
      </w:r>
    </w:p>
    <w:p w14:paraId="501DDDF9">
      <w:pPr>
        <w:ind w:firstLine="560"/>
        <w:rPr>
          <w:color w:val="auto"/>
          <w:highlight w:val="none"/>
        </w:rPr>
      </w:pPr>
      <w:r>
        <w:rPr>
          <w:rFonts w:hint="eastAsia"/>
          <w:color w:val="auto"/>
          <w:highlight w:val="none"/>
        </w:rPr>
        <w:t>“农村学前国语教育覆盖率”指标，预期指标值为</w:t>
      </w:r>
      <w:r>
        <w:rPr>
          <w:rFonts w:hint="eastAsia"/>
          <w:color w:val="auto"/>
          <w:highlight w:val="none"/>
          <w:lang w:val="en-US" w:eastAsia="zh-CN"/>
        </w:rPr>
        <w:t>100%</w:t>
      </w:r>
      <w:r>
        <w:rPr>
          <w:rFonts w:hint="eastAsia"/>
          <w:color w:val="auto"/>
          <w:highlight w:val="none"/>
        </w:rPr>
        <w:t>；</w:t>
      </w:r>
    </w:p>
    <w:p w14:paraId="0B43F36A">
      <w:pPr>
        <w:ind w:firstLine="560"/>
        <w:rPr>
          <w:color w:val="auto"/>
          <w:highlight w:val="none"/>
        </w:rPr>
      </w:pPr>
      <w:r>
        <w:rPr>
          <w:rFonts w:hint="eastAsia"/>
          <w:color w:val="auto"/>
          <w:highlight w:val="none"/>
        </w:rPr>
        <w:t>“专业幼师上岗率”指标，预期指标值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299A673B">
      <w:pPr>
        <w:ind w:firstLine="560"/>
        <w:rPr>
          <w:color w:val="auto"/>
          <w:highlight w:val="none"/>
        </w:rPr>
      </w:pPr>
      <w:r>
        <w:rPr>
          <w:rFonts w:hint="eastAsia"/>
          <w:color w:val="auto"/>
          <w:highlight w:val="none"/>
        </w:rPr>
        <w:t>③</w:t>
      </w:r>
      <w:r>
        <w:rPr>
          <w:rFonts w:hint="eastAsia"/>
          <w:color w:val="auto"/>
          <w:highlight w:val="none"/>
          <w:lang w:eastAsia="zh-CN"/>
        </w:rPr>
        <w:t>时效</w:t>
      </w:r>
      <w:r>
        <w:rPr>
          <w:rFonts w:hint="eastAsia"/>
          <w:color w:val="auto"/>
          <w:highlight w:val="none"/>
        </w:rPr>
        <w:t>指标</w:t>
      </w:r>
    </w:p>
    <w:p w14:paraId="5B827BF3">
      <w:pPr>
        <w:ind w:firstLine="560"/>
        <w:rPr>
          <w:rFonts w:hint="eastAsia"/>
          <w:color w:val="auto"/>
          <w:highlight w:val="none"/>
        </w:rPr>
      </w:pPr>
      <w:r>
        <w:rPr>
          <w:rFonts w:hint="eastAsia"/>
          <w:color w:val="auto"/>
          <w:highlight w:val="none"/>
        </w:rPr>
        <w:t>“资金拨付及时率”指标，预期指标值</w:t>
      </w:r>
      <w:r>
        <w:rPr>
          <w:rFonts w:hint="eastAsia"/>
          <w:color w:val="auto"/>
          <w:highlight w:val="none"/>
          <w:lang w:eastAsia="zh-CN"/>
        </w:rPr>
        <w:t>为</w:t>
      </w:r>
      <w:r>
        <w:rPr>
          <w:rFonts w:hint="eastAsia"/>
          <w:color w:val="auto"/>
          <w:highlight w:val="none"/>
          <w:lang w:val="en-US" w:eastAsia="zh-CN"/>
        </w:rPr>
        <w:t>100%</w:t>
      </w:r>
      <w:r>
        <w:rPr>
          <w:rFonts w:hint="eastAsia"/>
          <w:color w:val="auto"/>
          <w:highlight w:val="none"/>
        </w:rPr>
        <w:t>；</w:t>
      </w:r>
    </w:p>
    <w:p w14:paraId="4E03EEE0">
      <w:pPr>
        <w:ind w:firstLine="562"/>
        <w:rPr>
          <w:color w:val="auto"/>
          <w:highlight w:val="none"/>
        </w:rPr>
      </w:pPr>
      <w:r>
        <w:rPr>
          <w:rFonts w:hint="eastAsia" w:hAnsi="Arial" w:cs="宋体"/>
          <w:b/>
          <w:bCs/>
          <w:color w:val="auto"/>
          <w:highlight w:val="none"/>
        </w:rPr>
        <w:t>（</w:t>
      </w:r>
      <w:r>
        <w:rPr>
          <w:rFonts w:hint="eastAsia" w:hAnsi="Arial" w:cs="宋体"/>
          <w:b/>
          <w:bCs/>
          <w:color w:val="auto"/>
          <w:highlight w:val="none"/>
          <w:lang w:val="en-US" w:eastAsia="zh-CN"/>
        </w:rPr>
        <w:t>2</w:t>
      </w:r>
      <w:r>
        <w:rPr>
          <w:rFonts w:hint="eastAsia" w:hAnsi="Arial" w:cs="宋体"/>
          <w:b/>
          <w:bCs/>
          <w:color w:val="auto"/>
          <w:highlight w:val="none"/>
        </w:rPr>
        <w:t>）</w:t>
      </w:r>
      <w:r>
        <w:rPr>
          <w:rFonts w:hint="eastAsia" w:hAnsi="Arial" w:cs="宋体"/>
          <w:b/>
          <w:bCs/>
          <w:color w:val="auto"/>
          <w:highlight w:val="none"/>
          <w:lang w:val="en-US" w:eastAsia="zh-CN"/>
        </w:rPr>
        <w:t>项目</w:t>
      </w:r>
      <w:r>
        <w:rPr>
          <w:rFonts w:hint="eastAsia"/>
          <w:b/>
          <w:color w:val="auto"/>
          <w:highlight w:val="none"/>
          <w:lang w:val="en-US" w:eastAsia="zh-CN"/>
        </w:rPr>
        <w:t>成本</w:t>
      </w:r>
      <w:r>
        <w:rPr>
          <w:rFonts w:hint="eastAsia"/>
          <w:b/>
          <w:color w:val="auto"/>
          <w:highlight w:val="none"/>
        </w:rPr>
        <w:t>目标</w:t>
      </w:r>
    </w:p>
    <w:p w14:paraId="2A4A66F1">
      <w:pPr>
        <w:ind w:firstLine="560"/>
        <w:rPr>
          <w:rFonts w:hint="eastAsia"/>
          <w:color w:val="auto"/>
          <w:highlight w:val="none"/>
        </w:rPr>
      </w:pPr>
      <w:r>
        <w:rPr>
          <w:rFonts w:hint="eastAsia"/>
          <w:color w:val="auto"/>
          <w:highlight w:val="none"/>
        </w:rPr>
        <w:t>①</w:t>
      </w:r>
      <w:r>
        <w:rPr>
          <w:rFonts w:hint="eastAsia"/>
          <w:color w:val="auto"/>
          <w:highlight w:val="none"/>
          <w:lang w:val="en-US" w:eastAsia="zh-CN"/>
        </w:rPr>
        <w:t>经济</w:t>
      </w:r>
      <w:r>
        <w:rPr>
          <w:rFonts w:hint="eastAsia"/>
          <w:color w:val="auto"/>
          <w:highlight w:val="none"/>
        </w:rPr>
        <w:t>成本指标</w:t>
      </w:r>
    </w:p>
    <w:p w14:paraId="3E2697E1">
      <w:pPr>
        <w:ind w:firstLine="560"/>
        <w:rPr>
          <w:rFonts w:hint="eastAsia"/>
          <w:color w:val="auto"/>
          <w:highlight w:val="none"/>
        </w:rPr>
      </w:pPr>
      <w:r>
        <w:rPr>
          <w:rFonts w:hint="eastAsia"/>
          <w:color w:val="auto"/>
          <w:highlight w:val="none"/>
        </w:rPr>
        <w:t>“学前教育资助经费平均发放标准”指标，预期指标值</w:t>
      </w:r>
      <w:r>
        <w:rPr>
          <w:rFonts w:hint="eastAsia"/>
          <w:color w:val="auto"/>
          <w:highlight w:val="none"/>
          <w:lang w:eastAsia="zh-CN"/>
        </w:rPr>
        <w:t>为小于等于</w:t>
      </w:r>
      <w:r>
        <w:rPr>
          <w:rFonts w:hint="eastAsia"/>
          <w:color w:val="auto"/>
          <w:highlight w:val="none"/>
          <w:lang w:val="en-US" w:eastAsia="zh-CN"/>
        </w:rPr>
        <w:t>1227.8元/人/学年</w:t>
      </w:r>
      <w:r>
        <w:rPr>
          <w:rFonts w:hint="eastAsia"/>
          <w:color w:val="auto"/>
          <w:highlight w:val="none"/>
        </w:rPr>
        <w:t>；</w:t>
      </w:r>
    </w:p>
    <w:p w14:paraId="2B281F3A">
      <w:pPr>
        <w:ind w:firstLine="560"/>
        <w:rPr>
          <w:rFonts w:hint="eastAsia"/>
          <w:color w:val="auto"/>
          <w:highlight w:val="none"/>
          <w:lang w:val="en-US" w:eastAsia="zh-CN"/>
        </w:rPr>
      </w:pPr>
      <w:r>
        <w:rPr>
          <w:rFonts w:hint="eastAsia"/>
          <w:color w:val="auto"/>
          <w:highlight w:val="none"/>
        </w:rPr>
        <w:t>②</w:t>
      </w:r>
      <w:r>
        <w:rPr>
          <w:rFonts w:hint="eastAsia"/>
          <w:color w:val="auto"/>
          <w:highlight w:val="none"/>
          <w:lang w:val="en-US" w:eastAsia="zh-CN"/>
        </w:rPr>
        <w:t>社会成本指标</w:t>
      </w:r>
    </w:p>
    <w:p w14:paraId="299F8961">
      <w:pPr>
        <w:ind w:firstLine="560"/>
        <w:rPr>
          <w:rFonts w:hint="eastAsia"/>
          <w:color w:val="auto"/>
          <w:highlight w:val="none"/>
          <w:lang w:val="en-US" w:eastAsia="zh-CN"/>
        </w:rPr>
      </w:pPr>
      <w:r>
        <w:rPr>
          <w:rFonts w:hint="eastAsia"/>
          <w:color w:val="auto"/>
          <w:highlight w:val="none"/>
          <w:lang w:val="en-US" w:eastAsia="zh-CN"/>
        </w:rPr>
        <w:t>无；</w:t>
      </w:r>
    </w:p>
    <w:p w14:paraId="6D31C093">
      <w:pPr>
        <w:ind w:firstLine="560"/>
        <w:rPr>
          <w:rFonts w:hint="eastAsia"/>
          <w:color w:val="auto"/>
          <w:highlight w:val="none"/>
          <w:lang w:val="en-US" w:eastAsia="zh-CN"/>
        </w:rPr>
      </w:pPr>
      <w:r>
        <w:rPr>
          <w:rFonts w:hint="eastAsia"/>
          <w:color w:val="auto"/>
          <w:highlight w:val="none"/>
        </w:rPr>
        <w:t>③</w:t>
      </w:r>
      <w:r>
        <w:rPr>
          <w:rFonts w:hint="eastAsia"/>
          <w:color w:val="auto"/>
          <w:highlight w:val="none"/>
          <w:lang w:val="en-US" w:eastAsia="zh-CN"/>
        </w:rPr>
        <w:t>生态环境成本指标</w:t>
      </w:r>
    </w:p>
    <w:p w14:paraId="616226B9">
      <w:pPr>
        <w:ind w:firstLine="560"/>
        <w:rPr>
          <w:rFonts w:hint="default"/>
          <w:color w:val="auto"/>
          <w:highlight w:val="none"/>
          <w:lang w:val="en-US" w:eastAsia="zh-CN"/>
        </w:rPr>
      </w:pPr>
      <w:r>
        <w:rPr>
          <w:rFonts w:hint="eastAsia"/>
          <w:color w:val="auto"/>
          <w:highlight w:val="none"/>
          <w:lang w:val="en-US" w:eastAsia="zh-CN"/>
        </w:rPr>
        <w:t>无；</w:t>
      </w:r>
    </w:p>
    <w:p w14:paraId="3211499D">
      <w:pPr>
        <w:ind w:firstLine="562"/>
        <w:rPr>
          <w:rFonts w:ascii="仿宋" w:hAnsi="仿宋" w:eastAsia="仿宋"/>
          <w:b/>
          <w:color w:val="auto"/>
          <w:highlight w:val="none"/>
        </w:rPr>
      </w:pPr>
      <w:r>
        <w:rPr>
          <w:rFonts w:hint="eastAsia" w:ascii="仿宋" w:hAnsi="仿宋" w:eastAsia="仿宋"/>
          <w:b/>
          <w:color w:val="auto"/>
          <w:highlight w:val="none"/>
        </w:rPr>
        <w:t>（</w:t>
      </w:r>
      <w:r>
        <w:rPr>
          <w:rFonts w:hint="eastAsia" w:ascii="仿宋" w:hAnsi="仿宋" w:eastAsia="仿宋"/>
          <w:b/>
          <w:color w:val="auto"/>
          <w:highlight w:val="none"/>
          <w:lang w:val="en-US" w:eastAsia="zh-CN"/>
        </w:rPr>
        <w:t>3</w:t>
      </w:r>
      <w:r>
        <w:rPr>
          <w:rFonts w:hint="eastAsia" w:ascii="仿宋" w:hAnsi="仿宋" w:eastAsia="仿宋"/>
          <w:b/>
          <w:color w:val="auto"/>
          <w:highlight w:val="none"/>
        </w:rPr>
        <w:t>）项目效益目标</w:t>
      </w:r>
    </w:p>
    <w:p w14:paraId="31E4BEC3">
      <w:pPr>
        <w:ind w:firstLine="560"/>
        <w:rPr>
          <w:rFonts w:hint="default" w:eastAsia="仿宋_GB2312"/>
          <w:color w:val="auto"/>
          <w:highlight w:val="none"/>
          <w:lang w:val="en-US" w:eastAsia="zh-CN"/>
        </w:rPr>
      </w:pPr>
      <w:r>
        <w:rPr>
          <w:rFonts w:hint="eastAsia"/>
          <w:color w:val="auto"/>
          <w:highlight w:val="none"/>
        </w:rPr>
        <w:t>①经济效益指标</w:t>
      </w:r>
      <w:r>
        <w:rPr>
          <w:rFonts w:hint="eastAsia"/>
          <w:color w:val="auto"/>
          <w:highlight w:val="none"/>
          <w:lang w:val="en-US" w:eastAsia="zh-CN"/>
        </w:rPr>
        <w:t xml:space="preserve"> </w:t>
      </w:r>
    </w:p>
    <w:p w14:paraId="70AE0F19">
      <w:pPr>
        <w:ind w:firstLine="560"/>
        <w:rPr>
          <w:rFonts w:hint="eastAsia" w:eastAsia="仿宋_GB2312"/>
          <w:color w:val="auto"/>
          <w:highlight w:val="none"/>
          <w:lang w:val="en-US" w:eastAsia="zh-CN"/>
        </w:rPr>
      </w:pPr>
      <w:r>
        <w:rPr>
          <w:rFonts w:hint="eastAsia"/>
          <w:color w:val="auto"/>
          <w:highlight w:val="none"/>
          <w:lang w:val="en-US" w:eastAsia="zh-CN"/>
        </w:rPr>
        <w:t>无</w:t>
      </w:r>
    </w:p>
    <w:p w14:paraId="25F8271F">
      <w:pPr>
        <w:ind w:firstLine="560"/>
        <w:rPr>
          <w:rFonts w:hint="eastAsia"/>
          <w:color w:val="auto"/>
          <w:highlight w:val="none"/>
        </w:rPr>
      </w:pPr>
      <w:r>
        <w:rPr>
          <w:rFonts w:hint="eastAsia"/>
          <w:color w:val="auto"/>
          <w:highlight w:val="none"/>
        </w:rPr>
        <w:t>②社会效益指标</w:t>
      </w:r>
    </w:p>
    <w:p w14:paraId="04D48B9A">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“学前三年毛入率”指标，预期指标值</w:t>
      </w:r>
      <w:r>
        <w:rPr>
          <w:rFonts w:hint="eastAsia" w:ascii="Times New Roman" w:hAnsi="Times New Roman" w:cs="Times New Roman"/>
          <w:color w:val="auto"/>
          <w:highlight w:val="none"/>
          <w:lang w:eastAsia="zh-CN"/>
        </w:rPr>
        <w:t>大于等于</w:t>
      </w:r>
      <w:r>
        <w:rPr>
          <w:rFonts w:hint="eastAsia" w:ascii="Times New Roman" w:hAnsi="Times New Roman" w:cs="Times New Roman"/>
          <w:color w:val="auto"/>
          <w:highlight w:val="none"/>
          <w:lang w:val="en-US" w:eastAsia="zh-CN"/>
        </w:rPr>
        <w:t>100%</w:t>
      </w:r>
      <w:r>
        <w:rPr>
          <w:rFonts w:hint="eastAsia" w:ascii="Times New Roman" w:hAnsi="Times New Roman" w:cs="Times New Roman"/>
          <w:color w:val="auto"/>
          <w:highlight w:val="none"/>
        </w:rPr>
        <w:t>；</w:t>
      </w:r>
    </w:p>
    <w:p w14:paraId="0BE415F6">
      <w:pPr>
        <w:ind w:firstLine="560"/>
        <w:rPr>
          <w:rFonts w:hint="eastAsia" w:ascii="Times New Roman" w:hAnsi="Times New Roman" w:cs="Times New Roman"/>
          <w:color w:val="auto"/>
          <w:highlight w:val="none"/>
        </w:rPr>
      </w:pPr>
      <w:r>
        <w:rPr>
          <w:rFonts w:hint="eastAsia" w:ascii="Times New Roman" w:hAnsi="Times New Roman" w:cs="Times New Roman"/>
          <w:color w:val="auto"/>
          <w:highlight w:val="none"/>
        </w:rPr>
        <w:t>“</w:t>
      </w:r>
      <w:r>
        <w:rPr>
          <w:rFonts w:hint="eastAsia" w:ascii="Times New Roman" w:hAnsi="Times New Roman" w:cs="Times New Roman"/>
          <w:color w:val="auto"/>
          <w:highlight w:val="none"/>
          <w:lang w:eastAsia="zh-CN"/>
        </w:rPr>
        <w:t>积极提高学前教育普惠保障水平</w:t>
      </w:r>
      <w:r>
        <w:rPr>
          <w:rFonts w:hint="eastAsia" w:ascii="Times New Roman" w:hAnsi="Times New Roman" w:cs="Times New Roman"/>
          <w:color w:val="auto"/>
          <w:highlight w:val="none"/>
        </w:rPr>
        <w:t>”指标，预期指标值为有效</w:t>
      </w:r>
      <w:r>
        <w:rPr>
          <w:rFonts w:hint="eastAsia" w:ascii="Times New Roman" w:hAnsi="Times New Roman" w:cs="Times New Roman"/>
          <w:color w:val="auto"/>
          <w:highlight w:val="none"/>
          <w:lang w:val="en-US" w:eastAsia="zh-CN"/>
        </w:rPr>
        <w:t>提高</w:t>
      </w:r>
      <w:r>
        <w:rPr>
          <w:rFonts w:hint="eastAsia" w:ascii="Times New Roman" w:hAnsi="Times New Roman" w:cs="Times New Roman"/>
          <w:color w:val="auto"/>
          <w:highlight w:val="none"/>
        </w:rPr>
        <w:t>；</w:t>
      </w:r>
    </w:p>
    <w:p w14:paraId="7E38E536">
      <w:pPr>
        <w:ind w:firstLine="560"/>
        <w:rPr>
          <w:rFonts w:hint="eastAsia"/>
          <w:color w:val="auto"/>
          <w:highlight w:val="none"/>
          <w:lang w:val="en-US" w:eastAsia="zh-CN"/>
        </w:rPr>
      </w:pPr>
      <w:r>
        <w:rPr>
          <w:rFonts w:hint="eastAsia"/>
          <w:color w:val="auto"/>
          <w:highlight w:val="none"/>
        </w:rPr>
        <w:t>③生态效益指标</w:t>
      </w:r>
      <w:r>
        <w:rPr>
          <w:rFonts w:hint="eastAsia"/>
          <w:color w:val="auto"/>
          <w:highlight w:val="none"/>
          <w:lang w:val="en-US" w:eastAsia="zh-CN"/>
        </w:rPr>
        <w:t xml:space="preserve"> </w:t>
      </w:r>
    </w:p>
    <w:p w14:paraId="1E0606C0">
      <w:pPr>
        <w:ind w:firstLine="560"/>
        <w:rPr>
          <w:color w:val="auto"/>
          <w:highlight w:val="none"/>
        </w:rPr>
      </w:pPr>
      <w:r>
        <w:rPr>
          <w:rFonts w:hint="eastAsia"/>
          <w:color w:val="auto"/>
          <w:highlight w:val="none"/>
          <w:lang w:val="en-US" w:eastAsia="zh-CN"/>
        </w:rPr>
        <w:t>无。</w:t>
      </w:r>
    </w:p>
    <w:p w14:paraId="19DB0695">
      <w:pPr>
        <w:ind w:firstLine="562"/>
        <w:rPr>
          <w:rFonts w:ascii="仿宋" w:hAnsi="仿宋" w:eastAsia="仿宋"/>
          <w:b/>
          <w:color w:val="auto"/>
          <w:highlight w:val="none"/>
        </w:rPr>
      </w:pPr>
      <w:r>
        <w:rPr>
          <w:rFonts w:hint="eastAsia" w:ascii="仿宋" w:hAnsi="仿宋" w:eastAsia="仿宋"/>
          <w:b/>
          <w:color w:val="auto"/>
          <w:highlight w:val="none"/>
        </w:rPr>
        <w:t>（3）</w:t>
      </w:r>
      <w:r>
        <w:rPr>
          <w:rFonts w:hint="eastAsia" w:ascii="仿宋" w:hAnsi="仿宋" w:eastAsia="仿宋"/>
          <w:b/>
          <w:color w:val="auto"/>
          <w:highlight w:val="none"/>
          <w:lang w:val="en-US" w:eastAsia="zh-CN"/>
        </w:rPr>
        <w:t>项目</w:t>
      </w:r>
      <w:r>
        <w:rPr>
          <w:rFonts w:hint="eastAsia" w:ascii="仿宋" w:hAnsi="仿宋" w:eastAsia="仿宋"/>
          <w:b/>
          <w:color w:val="auto"/>
          <w:highlight w:val="none"/>
        </w:rPr>
        <w:t>满意度目标</w:t>
      </w:r>
    </w:p>
    <w:p w14:paraId="1E76DF66">
      <w:pPr>
        <w:ind w:firstLine="560"/>
        <w:rPr>
          <w:color w:val="auto"/>
          <w:highlight w:val="none"/>
        </w:rPr>
      </w:pPr>
      <w:r>
        <w:rPr>
          <w:rFonts w:hint="eastAsia"/>
          <w:color w:val="auto"/>
          <w:highlight w:val="none"/>
        </w:rPr>
        <w:t>①满意度指标</w:t>
      </w:r>
    </w:p>
    <w:p w14:paraId="3DBA4AF3">
      <w:pPr>
        <w:ind w:firstLine="560"/>
        <w:rPr>
          <w:color w:val="auto"/>
          <w:highlight w:val="none"/>
        </w:rPr>
      </w:pPr>
      <w:r>
        <w:rPr>
          <w:rFonts w:hint="eastAsia"/>
          <w:color w:val="auto"/>
          <w:highlight w:val="none"/>
        </w:rPr>
        <w:t>“受益幼儿家长满意度”指标，预期指标值</w:t>
      </w:r>
      <w:r>
        <w:rPr>
          <w:rFonts w:hint="eastAsia"/>
          <w:color w:val="auto"/>
          <w:highlight w:val="none"/>
          <w:lang w:eastAsia="zh-CN"/>
        </w:rPr>
        <w:t>大于等于</w:t>
      </w:r>
      <w:r>
        <w:rPr>
          <w:rFonts w:hint="eastAsia"/>
          <w:color w:val="auto"/>
          <w:highlight w:val="none"/>
        </w:rPr>
        <w:t>9</w:t>
      </w:r>
      <w:r>
        <w:rPr>
          <w:rFonts w:hint="eastAsia"/>
          <w:color w:val="auto"/>
          <w:highlight w:val="none"/>
          <w:lang w:val="en-US" w:eastAsia="zh-CN"/>
        </w:rPr>
        <w:t>0</w:t>
      </w:r>
      <w:r>
        <w:rPr>
          <w:rFonts w:hint="eastAsia"/>
          <w:color w:val="auto"/>
          <w:highlight w:val="none"/>
        </w:rPr>
        <w:t>%；</w:t>
      </w:r>
    </w:p>
    <w:p w14:paraId="774E115E">
      <w:pPr>
        <w:pStyle w:val="4"/>
        <w:ind w:firstLine="640"/>
        <w:rPr>
          <w:color w:val="auto"/>
          <w:highlight w:val="none"/>
        </w:rPr>
      </w:pPr>
      <w:r>
        <w:rPr>
          <w:rFonts w:hint="eastAsia"/>
          <w:color w:val="auto"/>
          <w:highlight w:val="none"/>
        </w:rPr>
        <w:t>二、绩效评价工作开展情况</w:t>
      </w:r>
    </w:p>
    <w:p w14:paraId="02FB40F4">
      <w:pPr>
        <w:pStyle w:val="5"/>
        <w:numPr>
          <w:ilvl w:val="0"/>
          <w:numId w:val="1"/>
        </w:numPr>
        <w:ind w:firstLine="643"/>
        <w:rPr>
          <w:rFonts w:ascii="楷体" w:hAnsi="楷体" w:cs="楷体"/>
          <w:color w:val="auto"/>
          <w:szCs w:val="32"/>
          <w:highlight w:val="none"/>
        </w:rPr>
      </w:pPr>
      <w:bookmarkStart w:id="0" w:name="_Toc12868"/>
      <w:bookmarkStart w:id="1" w:name="_Toc480473081"/>
      <w:bookmarkStart w:id="2" w:name="_Toc21664"/>
      <w:bookmarkStart w:id="3" w:name="_Toc22922"/>
      <w:bookmarkStart w:id="4" w:name="_Toc26632"/>
      <w:bookmarkStart w:id="5" w:name="_Toc5258"/>
      <w:bookmarkStart w:id="6" w:name="_Toc5462343"/>
      <w:bookmarkStart w:id="7" w:name="_Toc22169_WPSOffice_Level2"/>
      <w:r>
        <w:rPr>
          <w:rFonts w:hint="eastAsia" w:ascii="楷体" w:hAnsi="楷体" w:cs="楷体"/>
          <w:color w:val="auto"/>
          <w:szCs w:val="32"/>
          <w:highlight w:val="none"/>
        </w:rPr>
        <w:t>绩效评价的目的</w:t>
      </w:r>
      <w:bookmarkEnd w:id="0"/>
      <w:bookmarkEnd w:id="1"/>
      <w:bookmarkEnd w:id="2"/>
      <w:bookmarkEnd w:id="3"/>
      <w:bookmarkEnd w:id="4"/>
      <w:bookmarkEnd w:id="5"/>
      <w:bookmarkEnd w:id="6"/>
      <w:bookmarkEnd w:id="7"/>
      <w:r>
        <w:rPr>
          <w:rFonts w:hint="eastAsia" w:ascii="楷体" w:hAnsi="楷体" w:cs="楷体"/>
          <w:color w:val="auto"/>
          <w:szCs w:val="32"/>
          <w:highlight w:val="none"/>
        </w:rPr>
        <w:t>、对象和范围</w:t>
      </w:r>
    </w:p>
    <w:p w14:paraId="2046DC45">
      <w:pPr>
        <w:pStyle w:val="6"/>
        <w:ind w:firstLine="562"/>
        <w:rPr>
          <w:rFonts w:hint="eastAsia"/>
          <w:color w:val="auto"/>
          <w:highlight w:val="none"/>
        </w:rPr>
      </w:pPr>
      <w:r>
        <w:rPr>
          <w:rFonts w:hint="eastAsia"/>
          <w:color w:val="auto"/>
          <w:highlight w:val="none"/>
        </w:rPr>
        <w:t>1.绩效评价的目的</w:t>
      </w:r>
    </w:p>
    <w:p w14:paraId="6DC6F7E0">
      <w:pPr>
        <w:ind w:firstLine="560"/>
        <w:rPr>
          <w:color w:val="auto"/>
          <w:highlight w:val="none"/>
        </w:rPr>
      </w:pPr>
      <w:r>
        <w:rPr>
          <w:rFonts w:hint="eastAsia"/>
          <w:color w:val="auto"/>
          <w:highlight w:val="none"/>
        </w:rPr>
        <w:t>为全面实施预算绩效管理，建立科学、合理的项目支出绩效评价管理体系，提高财政资源配置效率和使用效益，根据</w:t>
      </w:r>
      <w:r>
        <w:rPr>
          <w:rFonts w:hint="eastAsia"/>
          <w:color w:val="auto"/>
          <w:highlight w:val="none"/>
          <w:lang w:val="en-US" w:eastAsia="zh-CN"/>
        </w:rPr>
        <w:t>财政部《项目支出绩效评价管理办法》（财预〔2020〕10号）和自治区财政厅《自治区财政支出绩效评价管理暂行办法》（新财预〔2018〕189号）等相关文件精神，</w:t>
      </w:r>
      <w:r>
        <w:rPr>
          <w:rFonts w:hint="eastAsia"/>
          <w:color w:val="auto"/>
          <w:highlight w:val="none"/>
          <w:lang w:eastAsia="zh-CN"/>
        </w:rPr>
        <w:t>我</w:t>
      </w:r>
      <w:r>
        <w:rPr>
          <w:rFonts w:hint="eastAsia"/>
          <w:color w:val="auto"/>
          <w:highlight w:val="none"/>
        </w:rPr>
        <w:t>单位针对</w:t>
      </w:r>
      <w:r>
        <w:rPr>
          <w:rFonts w:hint="eastAsia"/>
          <w:color w:val="auto"/>
          <w:highlight w:val="none"/>
          <w:lang w:val="en-US" w:eastAsia="zh-CN"/>
        </w:rPr>
        <w:t>该</w:t>
      </w:r>
      <w:r>
        <w:rPr>
          <w:rFonts w:hint="eastAsia"/>
          <w:color w:val="auto"/>
          <w:highlight w:val="none"/>
        </w:rPr>
        <w:t>项目开展本次部门项目支出绩效评价工作。通过绩效评价，促进本单位发现问题、总结经验、改进工作</w:t>
      </w:r>
      <w:r>
        <w:rPr>
          <w:rFonts w:hint="eastAsia"/>
          <w:color w:val="auto"/>
          <w:highlight w:val="none"/>
          <w:lang w:eastAsia="zh-CN"/>
        </w:rPr>
        <w:t>。</w:t>
      </w:r>
      <w:r>
        <w:rPr>
          <w:rFonts w:hint="eastAsia"/>
          <w:color w:val="auto"/>
          <w:highlight w:val="none"/>
          <w:lang w:val="en-US" w:eastAsia="zh-CN"/>
        </w:rPr>
        <w:t>绩效评价</w:t>
      </w:r>
      <w:r>
        <w:rPr>
          <w:rFonts w:hint="eastAsia"/>
          <w:color w:val="auto"/>
          <w:highlight w:val="none"/>
        </w:rPr>
        <w:t>旨在评价</w:t>
      </w:r>
      <w:r>
        <w:rPr>
          <w:rFonts w:hint="eastAsia"/>
          <w:color w:val="auto"/>
          <w:highlight w:val="none"/>
          <w:lang w:eastAsia="zh-CN"/>
        </w:rPr>
        <w:t>本</w:t>
      </w:r>
      <w:r>
        <w:rPr>
          <w:rFonts w:hint="eastAsia"/>
          <w:color w:val="auto"/>
          <w:highlight w:val="none"/>
        </w:rPr>
        <w:t>项目前期审批、实施过程及实施效果，促进预算管理不断完善，加快绩效目标的实现，保证财政资金有效、合理使用，具体绩效评价的目的细分如下：</w:t>
      </w:r>
    </w:p>
    <w:p w14:paraId="74D3E40D">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color w:val="auto"/>
          <w:highlight w:val="none"/>
          <w:lang w:eastAsia="zh-CN"/>
        </w:rPr>
        <w:t>，</w:t>
      </w:r>
      <w:r>
        <w:rPr>
          <w:rFonts w:hint="eastAsia"/>
          <w:color w:val="auto"/>
          <w:highlight w:val="none"/>
        </w:rPr>
        <w:t>提升财政资金的使用效能。</w:t>
      </w:r>
    </w:p>
    <w:p w14:paraId="7DBD18CB">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5A13A400">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7109C804">
      <w:pPr>
        <w:spacing w:line="600" w:lineRule="exact"/>
        <w:ind w:firstLine="560"/>
        <w:rPr>
          <w:rFonts w:hint="eastAsia"/>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6F1EB3E6">
      <w:pPr>
        <w:pStyle w:val="6"/>
        <w:ind w:firstLine="562"/>
        <w:rPr>
          <w:rFonts w:hint="eastAsia"/>
          <w:color w:val="auto"/>
          <w:highlight w:val="none"/>
        </w:rPr>
      </w:pPr>
      <w:r>
        <w:rPr>
          <w:rFonts w:hint="eastAsia"/>
          <w:color w:val="auto"/>
          <w:highlight w:val="none"/>
        </w:rPr>
        <w:t>2.绩效评价对象</w:t>
      </w:r>
    </w:p>
    <w:p w14:paraId="2CB8F0B7">
      <w:pPr>
        <w:ind w:firstLine="560"/>
        <w:rPr>
          <w:rFonts w:ascii="Times New Roman" w:hAnsi="Times New Roman" w:cs="Times New Roman"/>
          <w:color w:val="auto"/>
          <w:highlight w:val="none"/>
        </w:rPr>
      </w:pPr>
      <w:r>
        <w:rPr>
          <w:rFonts w:hint="eastAsia" w:ascii="Times New Roman" w:hAnsi="Times New Roman" w:cs="Times New Roman"/>
          <w:color w:val="auto"/>
          <w:highlight w:val="none"/>
        </w:rPr>
        <w:t>此次我单位根据《财政支出绩效评价管理暂行办法》（财预〔2020〕10号）文件要求实施评价工作，本次评价对象为</w:t>
      </w:r>
      <w:r>
        <w:rPr>
          <w:rFonts w:hint="default" w:ascii="Times New Roman" w:hAnsi="Times New Roman" w:cs="Times New Roman"/>
          <w:color w:val="auto"/>
          <w:highlight w:val="none"/>
        </w:rPr>
        <w:t>2023年学前教育幼儿资助县级配套</w:t>
      </w:r>
      <w:r>
        <w:rPr>
          <w:rFonts w:hint="eastAsia" w:ascii="Times New Roman" w:hAnsi="Times New Roman" w:cs="Times New Roman"/>
          <w:color w:val="auto"/>
          <w:highlight w:val="none"/>
          <w:lang w:eastAsia="zh-CN"/>
        </w:rPr>
        <w:t>项目</w:t>
      </w:r>
      <w:r>
        <w:rPr>
          <w:rFonts w:hint="eastAsia" w:ascii="Times New Roman" w:hAnsi="Times New Roman" w:cs="Times New Roman"/>
          <w:color w:val="auto"/>
          <w:highlight w:val="none"/>
        </w:rPr>
        <w:t>，评价核心为项目</w:t>
      </w:r>
      <w:r>
        <w:rPr>
          <w:rFonts w:hint="eastAsia" w:ascii="Times New Roman" w:hAnsi="Times New Roman" w:cs="Times New Roman"/>
          <w:color w:val="auto"/>
          <w:highlight w:val="none"/>
          <w:lang w:val="en-US" w:eastAsia="zh-CN"/>
        </w:rPr>
        <w:t>的资金投入、产出及效益</w:t>
      </w:r>
      <w:r>
        <w:rPr>
          <w:rFonts w:hint="eastAsia" w:ascii="Times New Roman" w:hAnsi="Times New Roman" w:cs="Times New Roman"/>
          <w:color w:val="auto"/>
          <w:highlight w:val="none"/>
        </w:rPr>
        <w:t>。</w:t>
      </w:r>
    </w:p>
    <w:p w14:paraId="2F48F571">
      <w:pPr>
        <w:pStyle w:val="6"/>
        <w:ind w:firstLine="562"/>
        <w:rPr>
          <w:rFonts w:hint="eastAsia"/>
          <w:color w:val="auto"/>
          <w:highlight w:val="none"/>
        </w:rPr>
      </w:pPr>
      <w:r>
        <w:rPr>
          <w:rFonts w:hint="eastAsia"/>
          <w:color w:val="auto"/>
          <w:highlight w:val="none"/>
        </w:rPr>
        <w:t>3.绩效评价范围</w:t>
      </w:r>
    </w:p>
    <w:p w14:paraId="57CA5293">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14EF2D7F">
      <w:pPr>
        <w:pStyle w:val="5"/>
        <w:numPr>
          <w:ilvl w:val="0"/>
          <w:numId w:val="1"/>
        </w:numPr>
        <w:ind w:firstLine="643"/>
        <w:rPr>
          <w:color w:val="auto"/>
          <w:highlight w:val="none"/>
        </w:rPr>
      </w:pPr>
      <w:r>
        <w:rPr>
          <w:rFonts w:hint="eastAsia"/>
          <w:color w:val="auto"/>
          <w:highlight w:val="none"/>
        </w:rPr>
        <w:t>绩效评价原则、评价指标体系、评价方法评价标准</w:t>
      </w:r>
    </w:p>
    <w:p w14:paraId="7156053F">
      <w:pPr>
        <w:pStyle w:val="6"/>
        <w:ind w:firstLine="562"/>
        <w:rPr>
          <w:color w:val="auto"/>
          <w:highlight w:val="none"/>
        </w:rPr>
      </w:pPr>
      <w:r>
        <w:rPr>
          <w:rFonts w:hint="eastAsia"/>
          <w:color w:val="auto"/>
          <w:highlight w:val="none"/>
        </w:rPr>
        <w:t>1.绩效评价原则</w:t>
      </w:r>
    </w:p>
    <w:p w14:paraId="3E1ADC5A">
      <w:pPr>
        <w:ind w:firstLine="560"/>
        <w:rPr>
          <w:color w:val="auto"/>
          <w:highlight w:val="none"/>
        </w:rPr>
      </w:pPr>
      <w:r>
        <w:rPr>
          <w:rFonts w:hint="eastAsia"/>
          <w:color w:val="auto"/>
          <w:highlight w:val="none"/>
        </w:rPr>
        <w:t>依据《中华人民共和国预算法》《中共 中央国务院关于全面实施预算绩效管理的意见》（中发〔2018〕34号）《项目支出绩效评价管理办法》（财预〔2020〕10号</w:t>
      </w:r>
      <w:r>
        <w:rPr>
          <w:rFonts w:hint="eastAsia"/>
          <w:color w:val="auto"/>
          <w:highlight w:val="none"/>
          <w:lang w:eastAsia="zh-CN"/>
        </w:rPr>
        <w:t>）</w:t>
      </w:r>
      <w:r>
        <w:rPr>
          <w:rFonts w:hint="eastAsia"/>
          <w:color w:val="auto"/>
          <w:highlight w:val="none"/>
        </w:rPr>
        <w:t>《自治区党委自治区人民政府关于全面实施预算绩效管理的实施意见》（新党发〔2018〕30号）《自治区财政支出绩效评价管理暂行办法》（新财预〔2018〕189号）等要求，绩效评价应遵循如下原则：</w:t>
      </w:r>
    </w:p>
    <w:p w14:paraId="7E421317">
      <w:pPr>
        <w:ind w:firstLine="560"/>
        <w:rPr>
          <w:color w:val="auto"/>
          <w:highlight w:val="none"/>
        </w:rPr>
      </w:pPr>
      <w:r>
        <w:rPr>
          <w:rFonts w:hint="eastAsia"/>
          <w:color w:val="auto"/>
          <w:highlight w:val="none"/>
        </w:rPr>
        <w:t>（1）科学公正。绩效评价应当运用科学合理的方法，按照规范的程序，对项目绩效进行客观、公正的反映。</w:t>
      </w:r>
    </w:p>
    <w:p w14:paraId="1EDC7964">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1F3BF38">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53C07923">
      <w:pPr>
        <w:snapToGrid w:val="0"/>
        <w:ind w:firstLine="560"/>
        <w:rPr>
          <w:color w:val="auto"/>
          <w:highlight w:val="none"/>
        </w:rPr>
      </w:pPr>
      <w:r>
        <w:rPr>
          <w:rFonts w:hint="eastAsia"/>
          <w:color w:val="auto"/>
          <w:highlight w:val="none"/>
        </w:rPr>
        <w:t>（4）公开透明。绩效评价结果应依法依规公开，并自觉接受社会监督。</w:t>
      </w:r>
    </w:p>
    <w:p w14:paraId="774A71F8">
      <w:pPr>
        <w:snapToGrid w:val="0"/>
        <w:ind w:firstLine="560"/>
        <w:rPr>
          <w:color w:val="auto"/>
          <w:highlight w:val="none"/>
        </w:rPr>
      </w:pPr>
      <w:r>
        <w:rPr>
          <w:rFonts w:hint="eastAsia"/>
          <w:color w:val="auto"/>
          <w:highlight w:val="none"/>
        </w:rPr>
        <w:t>根据以上原则</w:t>
      </w:r>
      <w:r>
        <w:rPr>
          <w:rFonts w:hint="eastAsia"/>
          <w:color w:val="auto"/>
          <w:highlight w:val="none"/>
          <w:lang w:eastAsia="zh-CN"/>
        </w:rPr>
        <w:t>，</w:t>
      </w:r>
      <w:r>
        <w:rPr>
          <w:rFonts w:hint="eastAsia"/>
          <w:color w:val="auto"/>
          <w:highlight w:val="none"/>
        </w:rPr>
        <w:t>绩效评价应遵循如下要求:</w:t>
      </w:r>
    </w:p>
    <w:p w14:paraId="77B7D122">
      <w:pPr>
        <w:snapToGrid w:val="0"/>
        <w:ind w:firstLine="560"/>
        <w:rPr>
          <w:color w:val="auto"/>
          <w:highlight w:val="none"/>
        </w:rPr>
      </w:pPr>
      <w:r>
        <w:rPr>
          <w:rFonts w:hint="eastAsia"/>
          <w:color w:val="auto"/>
          <w:highlight w:val="none"/>
        </w:rPr>
        <w:t>（1）在数据采集时</w:t>
      </w:r>
      <w:r>
        <w:rPr>
          <w:rFonts w:hint="eastAsia"/>
          <w:color w:val="auto"/>
          <w:highlight w:val="none"/>
          <w:lang w:eastAsia="zh-CN"/>
        </w:rPr>
        <w:t>，</w:t>
      </w:r>
      <w:r>
        <w:rPr>
          <w:rFonts w:hint="eastAsia"/>
          <w:color w:val="auto"/>
          <w:highlight w:val="none"/>
        </w:rPr>
        <w:t>采取客观数据</w:t>
      </w:r>
      <w:r>
        <w:rPr>
          <w:rFonts w:hint="eastAsia"/>
          <w:color w:val="auto"/>
          <w:highlight w:val="none"/>
          <w:lang w:eastAsia="zh-CN"/>
        </w:rPr>
        <w:t>，</w:t>
      </w:r>
      <w:r>
        <w:rPr>
          <w:rFonts w:hint="eastAsia"/>
          <w:color w:val="auto"/>
          <w:highlight w:val="none"/>
        </w:rPr>
        <w:t>主管部门审查、社会中介组织复查</w:t>
      </w:r>
      <w:r>
        <w:rPr>
          <w:rFonts w:hint="eastAsia"/>
          <w:color w:val="auto"/>
          <w:highlight w:val="none"/>
          <w:lang w:eastAsia="zh-CN"/>
        </w:rPr>
        <w:t>，</w:t>
      </w:r>
      <w:r>
        <w:rPr>
          <w:rFonts w:hint="eastAsia"/>
          <w:color w:val="auto"/>
          <w:highlight w:val="none"/>
        </w:rPr>
        <w:t>与问卷调查相结合的形式</w:t>
      </w:r>
      <w:r>
        <w:rPr>
          <w:rFonts w:hint="eastAsia"/>
          <w:color w:val="auto"/>
          <w:highlight w:val="none"/>
          <w:lang w:eastAsia="zh-CN"/>
        </w:rPr>
        <w:t>，</w:t>
      </w:r>
      <w:r>
        <w:rPr>
          <w:rFonts w:hint="eastAsia"/>
          <w:color w:val="auto"/>
          <w:highlight w:val="none"/>
        </w:rPr>
        <w:t>以保证各项指标的真实性。</w:t>
      </w:r>
    </w:p>
    <w:p w14:paraId="5B34C2E2">
      <w:pPr>
        <w:snapToGrid w:val="0"/>
        <w:ind w:firstLine="560"/>
        <w:rPr>
          <w:color w:val="auto"/>
          <w:highlight w:val="none"/>
        </w:rPr>
      </w:pPr>
      <w:r>
        <w:rPr>
          <w:rFonts w:hint="eastAsia"/>
          <w:color w:val="auto"/>
          <w:highlight w:val="none"/>
        </w:rPr>
        <w:t>（2）保证评价结果的真实性、公正性</w:t>
      </w:r>
      <w:r>
        <w:rPr>
          <w:rFonts w:hint="eastAsia"/>
          <w:color w:val="auto"/>
          <w:highlight w:val="none"/>
          <w:lang w:eastAsia="zh-CN"/>
        </w:rPr>
        <w:t>，</w:t>
      </w:r>
      <w:r>
        <w:rPr>
          <w:rFonts w:hint="eastAsia"/>
          <w:color w:val="auto"/>
          <w:highlight w:val="none"/>
        </w:rPr>
        <w:t>提高评价报告的公信力。</w:t>
      </w:r>
    </w:p>
    <w:p w14:paraId="66E33A9E">
      <w:pPr>
        <w:spacing w:line="600" w:lineRule="exact"/>
        <w:ind w:firstLine="560"/>
        <w:rPr>
          <w:color w:val="auto"/>
          <w:highlight w:val="none"/>
        </w:rPr>
      </w:pPr>
      <w:r>
        <w:rPr>
          <w:rFonts w:hint="eastAsia"/>
          <w:color w:val="auto"/>
          <w:highlight w:val="none"/>
        </w:rPr>
        <w:t>（3）</w:t>
      </w:r>
      <w:r>
        <w:rPr>
          <w:rFonts w:hint="eastAsia"/>
          <w:color w:val="auto"/>
          <w:highlight w:val="none"/>
          <w:lang w:val="en-US" w:eastAsia="zh-CN"/>
        </w:rPr>
        <w:t>绩效</w:t>
      </w:r>
      <w:r>
        <w:rPr>
          <w:rFonts w:hint="eastAsia"/>
          <w:color w:val="auto"/>
          <w:highlight w:val="none"/>
        </w:rPr>
        <w:t>评价报告应当简明扼要</w:t>
      </w:r>
      <w:r>
        <w:rPr>
          <w:rFonts w:hint="eastAsia"/>
          <w:color w:val="auto"/>
          <w:highlight w:val="none"/>
          <w:lang w:eastAsia="zh-CN"/>
        </w:rPr>
        <w:t>，</w:t>
      </w:r>
      <w:r>
        <w:rPr>
          <w:rFonts w:hint="eastAsia"/>
          <w:color w:val="auto"/>
          <w:highlight w:val="none"/>
        </w:rPr>
        <w:t>除了对绩效评价的过程、结果描述外</w:t>
      </w:r>
      <w:r>
        <w:rPr>
          <w:rFonts w:hint="eastAsia"/>
          <w:color w:val="auto"/>
          <w:highlight w:val="none"/>
          <w:lang w:eastAsia="zh-CN"/>
        </w:rPr>
        <w:t>，</w:t>
      </w:r>
      <w:r>
        <w:rPr>
          <w:rFonts w:hint="eastAsia"/>
          <w:color w:val="auto"/>
          <w:highlight w:val="none"/>
        </w:rPr>
        <w:t>还应总结经验</w:t>
      </w:r>
      <w:r>
        <w:rPr>
          <w:rFonts w:hint="eastAsia"/>
          <w:color w:val="auto"/>
          <w:highlight w:val="none"/>
          <w:lang w:eastAsia="zh-CN"/>
        </w:rPr>
        <w:t>，</w:t>
      </w:r>
      <w:r>
        <w:rPr>
          <w:rFonts w:hint="eastAsia"/>
          <w:color w:val="auto"/>
          <w:highlight w:val="none"/>
        </w:rPr>
        <w:t>指出问题</w:t>
      </w:r>
      <w:r>
        <w:rPr>
          <w:rFonts w:hint="eastAsia"/>
          <w:color w:val="auto"/>
          <w:highlight w:val="none"/>
          <w:lang w:eastAsia="zh-CN"/>
        </w:rPr>
        <w:t>，</w:t>
      </w:r>
      <w:r>
        <w:rPr>
          <w:rFonts w:hint="eastAsia"/>
          <w:color w:val="auto"/>
          <w:highlight w:val="none"/>
        </w:rPr>
        <w:t>并就共性问题提出可操作性改进建议。评价工作组本着科学规范、公平公正、绩效相关的原则，采用全面、重点、现场和非现场相结合的方式进行评价。</w:t>
      </w:r>
    </w:p>
    <w:p w14:paraId="3BAD773B">
      <w:pPr>
        <w:pStyle w:val="6"/>
        <w:ind w:firstLine="562"/>
        <w:rPr>
          <w:color w:val="auto"/>
          <w:highlight w:val="none"/>
        </w:rPr>
      </w:pPr>
      <w:bookmarkStart w:id="8" w:name="_Toc26131"/>
      <w:bookmarkStart w:id="9" w:name="_Toc428278230"/>
      <w:bookmarkStart w:id="10" w:name="_Toc1913"/>
      <w:bookmarkStart w:id="11" w:name="_Toc419984722"/>
      <w:r>
        <w:rPr>
          <w:rFonts w:hint="eastAsia"/>
          <w:color w:val="auto"/>
          <w:highlight w:val="none"/>
        </w:rPr>
        <w:t>2.绩效评价指标体系</w:t>
      </w:r>
      <w:bookmarkEnd w:id="8"/>
      <w:bookmarkEnd w:id="9"/>
      <w:bookmarkEnd w:id="10"/>
      <w:bookmarkEnd w:id="11"/>
    </w:p>
    <w:p w14:paraId="3E4263E1">
      <w:pPr>
        <w:ind w:firstLine="560"/>
        <w:rPr>
          <w:rFonts w:hint="eastAsia"/>
          <w:color w:val="auto"/>
          <w:highlight w:val="none"/>
          <w:lang w:eastAsia="zh-CN"/>
        </w:rPr>
      </w:pPr>
      <w:r>
        <w:rPr>
          <w:rFonts w:hint="eastAsia"/>
          <w:color w:val="auto"/>
          <w:highlight w:val="none"/>
        </w:rPr>
        <w:t>我单位</w:t>
      </w:r>
      <w:r>
        <w:rPr>
          <w:rFonts w:hint="eastAsia"/>
          <w:color w:val="auto"/>
          <w:highlight w:val="none"/>
          <w:lang w:val="zh-TW" w:eastAsia="zh-TW"/>
        </w:rPr>
        <w:t>根据项目的</w:t>
      </w:r>
      <w:r>
        <w:rPr>
          <w:rFonts w:hint="eastAsia"/>
          <w:color w:val="auto"/>
          <w:highlight w:val="none"/>
        </w:rPr>
        <w:t>实施</w:t>
      </w:r>
      <w:r>
        <w:rPr>
          <w:rFonts w:hint="eastAsia"/>
          <w:color w:val="auto"/>
          <w:highlight w:val="none"/>
          <w:lang w:val="zh-TW" w:eastAsia="zh-TW"/>
        </w:rPr>
        <w:t>资料研读及前期调研，结合项目的实际开展情况，按照《项目支出绩效评价管理办法》（财预〔2020〕10号）文件要求</w:t>
      </w:r>
      <w:r>
        <w:rPr>
          <w:rFonts w:hint="eastAsia"/>
          <w:color w:val="auto"/>
          <w:highlight w:val="none"/>
          <w:lang w:val="zh-TW" w:eastAsia="zh-CN"/>
        </w:rPr>
        <w:t>，</w:t>
      </w:r>
      <w:r>
        <w:rPr>
          <w:rFonts w:hint="eastAsia"/>
          <w:color w:val="auto"/>
          <w:highlight w:val="none"/>
        </w:rPr>
        <w:t>结合项目特点，经与专家组充分协商，设置指标体系结构如下</w:t>
      </w:r>
      <w:r>
        <w:rPr>
          <w:rFonts w:hint="eastAsia"/>
          <w:color w:val="auto"/>
          <w:highlight w:val="none"/>
          <w:lang w:val="zh-TW" w:eastAsia="zh-TW"/>
        </w:rPr>
        <w:t>：设置一级指标共</w:t>
      </w:r>
      <w:r>
        <w:rPr>
          <w:rFonts w:hint="eastAsia"/>
          <w:color w:val="auto"/>
          <w:highlight w:val="none"/>
          <w:lang w:val="en-US" w:eastAsia="zh-CN"/>
        </w:rPr>
        <w:t>5</w:t>
      </w:r>
      <w:r>
        <w:rPr>
          <w:rFonts w:hint="eastAsia"/>
          <w:color w:val="auto"/>
          <w:highlight w:val="none"/>
          <w:lang w:val="zh-TW" w:eastAsia="zh-TW"/>
        </w:rPr>
        <w:t>个，包括：决策指标（2</w:t>
      </w:r>
      <w:r>
        <w:rPr>
          <w:rFonts w:hint="eastAsia"/>
          <w:color w:val="auto"/>
          <w:highlight w:val="none"/>
          <w:lang w:val="en-US" w:eastAsia="zh-CN"/>
        </w:rPr>
        <w:t>0分</w:t>
      </w:r>
      <w:r>
        <w:rPr>
          <w:rFonts w:hint="eastAsia"/>
          <w:color w:val="auto"/>
          <w:highlight w:val="none"/>
          <w:lang w:val="zh-TW" w:eastAsia="zh-TW"/>
        </w:rPr>
        <w:t>）、过程指标（</w:t>
      </w:r>
      <w:r>
        <w:rPr>
          <w:rFonts w:hint="eastAsia"/>
          <w:color w:val="auto"/>
          <w:highlight w:val="none"/>
          <w:lang w:val="en-US" w:eastAsia="zh-CN"/>
        </w:rPr>
        <w:t>20分</w:t>
      </w:r>
      <w:r>
        <w:rPr>
          <w:rFonts w:hint="eastAsia"/>
          <w:color w:val="auto"/>
          <w:highlight w:val="none"/>
          <w:lang w:val="zh-TW" w:eastAsia="zh-TW"/>
        </w:rPr>
        <w:t>）、产出指标（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en-US" w:eastAsia="zh-CN"/>
        </w:rPr>
        <w:t>成本指标（12分）、</w:t>
      </w:r>
      <w:r>
        <w:rPr>
          <w:rFonts w:hint="eastAsia"/>
          <w:color w:val="auto"/>
          <w:highlight w:val="none"/>
          <w:lang w:val="zh-TW" w:eastAsia="zh-TW"/>
        </w:rPr>
        <w:t>效益指标（</w:t>
      </w:r>
      <w:r>
        <w:rPr>
          <w:rFonts w:hint="eastAsia"/>
          <w:color w:val="auto"/>
          <w:highlight w:val="none"/>
          <w:lang w:val="en-US" w:eastAsia="zh-CN"/>
        </w:rPr>
        <w:t>24分</w:t>
      </w:r>
      <w:r>
        <w:rPr>
          <w:rFonts w:hint="eastAsia"/>
          <w:color w:val="auto"/>
          <w:highlight w:val="none"/>
          <w:lang w:val="zh-TW" w:eastAsia="zh-TW"/>
        </w:rPr>
        <w:t>）</w:t>
      </w:r>
      <w:r>
        <w:rPr>
          <w:rFonts w:hint="eastAsia"/>
          <w:color w:val="auto"/>
          <w:highlight w:val="none"/>
          <w:lang w:val="zh-TW" w:eastAsia="zh-CN"/>
        </w:rPr>
        <w:t>，</w:t>
      </w:r>
      <w:r>
        <w:rPr>
          <w:rFonts w:hint="eastAsia"/>
          <w:color w:val="auto"/>
          <w:highlight w:val="none"/>
        </w:rPr>
        <w:t>主要围绕资金使用、项目管理、资源配置等方面，客观分析项目的产出</w:t>
      </w:r>
      <w:r>
        <w:rPr>
          <w:rFonts w:hint="eastAsia"/>
          <w:color w:val="auto"/>
          <w:highlight w:val="none"/>
          <w:lang w:eastAsia="zh-CN"/>
        </w:rPr>
        <w:t>、</w:t>
      </w:r>
      <w:r>
        <w:rPr>
          <w:rFonts w:hint="eastAsia"/>
          <w:color w:val="auto"/>
          <w:highlight w:val="none"/>
        </w:rPr>
        <w:t>效果，从而考察项目预算定额标准的合理性，进而提出完善意见。整个评价框架构成体现从投入、过程到产出、效果和影响的绩效逻辑路径。详细指标体系见“附件</w:t>
      </w:r>
      <w:r>
        <w:rPr>
          <w:rFonts w:hint="eastAsia"/>
          <w:color w:val="auto"/>
          <w:highlight w:val="none"/>
          <w:lang w:val="en-US" w:eastAsia="zh-CN"/>
        </w:rPr>
        <w:t>1</w:t>
      </w:r>
      <w:r>
        <w:rPr>
          <w:rFonts w:hint="eastAsia"/>
          <w:color w:val="auto"/>
          <w:highlight w:val="none"/>
        </w:rPr>
        <w:t>：项目支出绩效评价</w:t>
      </w:r>
      <w:r>
        <w:rPr>
          <w:rFonts w:hint="eastAsia"/>
          <w:color w:val="auto"/>
          <w:highlight w:val="none"/>
          <w:lang w:val="en-US" w:eastAsia="zh-CN"/>
        </w:rPr>
        <w:t>指标</w:t>
      </w:r>
      <w:r>
        <w:rPr>
          <w:rFonts w:hint="eastAsia"/>
          <w:color w:val="auto"/>
          <w:highlight w:val="none"/>
        </w:rPr>
        <w:t>体系</w:t>
      </w:r>
      <w:r>
        <w:rPr>
          <w:rFonts w:hint="eastAsia"/>
          <w:color w:val="auto"/>
          <w:highlight w:val="none"/>
          <w:lang w:val="en-US" w:eastAsia="zh-CN"/>
        </w:rPr>
        <w:t>表</w:t>
      </w:r>
      <w:r>
        <w:rPr>
          <w:rFonts w:hint="eastAsia"/>
          <w:color w:val="auto"/>
          <w:highlight w:val="none"/>
        </w:rPr>
        <w:t>和项目综合得分表”。</w:t>
      </w:r>
    </w:p>
    <w:p w14:paraId="5CCAA6A9">
      <w:pPr>
        <w:pStyle w:val="6"/>
        <w:ind w:firstLine="562"/>
        <w:rPr>
          <w:color w:val="auto"/>
          <w:highlight w:val="none"/>
        </w:rPr>
      </w:pPr>
      <w:r>
        <w:rPr>
          <w:rFonts w:hint="eastAsia"/>
          <w:color w:val="auto"/>
          <w:highlight w:val="none"/>
        </w:rPr>
        <w:t>3.评价方法</w:t>
      </w:r>
    </w:p>
    <w:p w14:paraId="16A26B1F">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21587EE">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22946F1E">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36570FD">
      <w:pPr>
        <w:ind w:firstLine="560"/>
        <w:rPr>
          <w:rFonts w:hint="eastAsia"/>
          <w:color w:val="auto"/>
          <w:highlight w:val="none"/>
          <w:lang w:val="en-US" w:eastAsia="zh-CN"/>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hint="eastAsia"/>
          <w:color w:val="auto"/>
          <w:highlight w:val="none"/>
          <w:lang w:val="en-US" w:eastAsia="zh-CN"/>
        </w:rPr>
        <w:t>:</w:t>
      </w:r>
    </w:p>
    <w:p w14:paraId="5C8F0AD8">
      <w:pPr>
        <w:bidi w:val="0"/>
        <w:rPr>
          <w:rFonts w:hint="eastAsia"/>
          <w:color w:val="auto"/>
          <w:highlight w:val="none"/>
          <w:lang w:val="en-US" w:eastAsia="zh-CN"/>
        </w:rPr>
      </w:pPr>
      <w:r>
        <w:rPr>
          <w:rFonts w:hint="eastAsia"/>
          <w:color w:val="auto"/>
          <w:highlight w:val="none"/>
        </w:rPr>
        <w:t>立项依据充分性</w:t>
      </w:r>
      <w:r>
        <w:rPr>
          <w:rFonts w:hint="eastAsia"/>
          <w:color w:val="auto"/>
          <w:highlight w:val="none"/>
          <w:lang w:eastAsia="zh-CN"/>
        </w:rPr>
        <w:t>：</w:t>
      </w:r>
      <w:r>
        <w:rPr>
          <w:rFonts w:hint="eastAsia"/>
          <w:color w:val="auto"/>
          <w:highlight w:val="none"/>
        </w:rPr>
        <w:t>比较法、文献法</w:t>
      </w:r>
      <w:r>
        <w:rPr>
          <w:rFonts w:hint="eastAsia"/>
          <w:color w:val="auto"/>
          <w:highlight w:val="none"/>
          <w:lang w:eastAsia="zh-CN"/>
        </w:rPr>
        <w:t>，</w:t>
      </w:r>
      <w:r>
        <w:rPr>
          <w:rFonts w:hint="eastAsia"/>
          <w:color w:val="auto"/>
          <w:highlight w:val="none"/>
        </w:rPr>
        <w:t>查找法律法规政策以及规划，对比实际执行内容和政策支持内容是否匹配。</w:t>
      </w:r>
    </w:p>
    <w:p w14:paraId="68B43801">
      <w:pPr>
        <w:pStyle w:val="2"/>
        <w:rPr>
          <w:rFonts w:hint="eastAsia"/>
          <w:color w:val="auto"/>
          <w:highlight w:val="none"/>
          <w:lang w:val="en-US" w:eastAsia="zh-CN"/>
        </w:rPr>
      </w:pPr>
      <w:r>
        <w:rPr>
          <w:rFonts w:hint="eastAsia"/>
          <w:color w:val="auto"/>
          <w:highlight w:val="none"/>
          <w:lang w:val="en-US" w:eastAsia="zh-CN"/>
        </w:rPr>
        <w:t>立项程序规范性：比较法、文献法，查找相关项目设立的政策和文件要求，对比分析实际执行程序是否按照政策及文件要求执行，分析立项程序的规范性。</w:t>
      </w:r>
    </w:p>
    <w:p w14:paraId="56DC0506">
      <w:pPr>
        <w:pStyle w:val="2"/>
        <w:rPr>
          <w:rFonts w:hint="eastAsia"/>
          <w:color w:val="auto"/>
          <w:highlight w:val="none"/>
          <w:lang w:val="en-US" w:eastAsia="zh-CN"/>
        </w:rPr>
      </w:pPr>
      <w:r>
        <w:rPr>
          <w:rFonts w:hint="eastAsia"/>
          <w:color w:val="auto"/>
          <w:highlight w:val="none"/>
          <w:lang w:val="en-US" w:eastAsia="zh-CN"/>
        </w:rPr>
        <w:t>绩效目标合理性：比较法，对比分析年初编制项目支出绩效目标表与项目内容的相关性、资金的匹配性等。</w:t>
      </w:r>
    </w:p>
    <w:p w14:paraId="7A64E302">
      <w:pPr>
        <w:pStyle w:val="2"/>
        <w:rPr>
          <w:rFonts w:hint="eastAsia"/>
          <w:color w:val="auto"/>
          <w:highlight w:val="none"/>
          <w:lang w:val="en-US" w:eastAsia="zh-CN"/>
        </w:rPr>
      </w:pPr>
      <w:r>
        <w:rPr>
          <w:rFonts w:hint="eastAsia"/>
          <w:color w:val="auto"/>
          <w:highlight w:val="none"/>
          <w:lang w:val="en-US" w:eastAsia="zh-CN"/>
        </w:rPr>
        <w:t>绩效指标明确性：比较法，比较分析年初编制项目支出绩效目标表是否符合双七原则，是否可衡量。</w:t>
      </w:r>
    </w:p>
    <w:p w14:paraId="520493F9">
      <w:pPr>
        <w:pStyle w:val="2"/>
        <w:rPr>
          <w:rFonts w:hint="eastAsia"/>
          <w:color w:val="auto"/>
          <w:highlight w:val="none"/>
          <w:lang w:val="en-US" w:eastAsia="zh-CN"/>
        </w:rPr>
      </w:pPr>
      <w:r>
        <w:rPr>
          <w:rFonts w:hint="eastAsia"/>
          <w:color w:val="auto"/>
          <w:highlight w:val="none"/>
          <w:lang w:val="en-US" w:eastAsia="zh-CN"/>
        </w:rPr>
        <w:t>预算编制科学性：成本效益分析法，分析在产出一定的情况下，成本取值是否有依据，是否经过询价，是否按照市场最低成本编制。</w:t>
      </w:r>
    </w:p>
    <w:p w14:paraId="750EDEB4">
      <w:pPr>
        <w:pStyle w:val="2"/>
        <w:rPr>
          <w:rFonts w:hint="eastAsia"/>
          <w:color w:val="auto"/>
          <w:highlight w:val="none"/>
          <w:lang w:val="en-US" w:eastAsia="zh-CN"/>
        </w:rPr>
      </w:pPr>
      <w:r>
        <w:rPr>
          <w:rFonts w:hint="eastAsia"/>
          <w:color w:val="auto"/>
          <w:highlight w:val="none"/>
          <w:lang w:val="en-US" w:eastAsia="zh-CN"/>
        </w:rPr>
        <w:t>资金分配合理性：因素分析法，综合分析资金的分配依据是否充分，分配金额是否与项目实施单位需求金额一致，</w:t>
      </w:r>
    </w:p>
    <w:p w14:paraId="4CA2ED8A">
      <w:pPr>
        <w:pStyle w:val="2"/>
        <w:rPr>
          <w:rFonts w:hint="eastAsia"/>
          <w:color w:val="auto"/>
          <w:highlight w:val="none"/>
          <w:lang w:val="en-US" w:eastAsia="zh-CN"/>
        </w:rPr>
      </w:pPr>
      <w:r>
        <w:rPr>
          <w:rFonts w:hint="eastAsia"/>
          <w:color w:val="auto"/>
          <w:highlight w:val="none"/>
          <w:lang w:val="en-US" w:eastAsia="zh-CN"/>
        </w:rPr>
        <w:t>资金到位率：比较法，资金到位率预期指标值应为100%，通过实际计算，分析实际完成值和预期指标值之间的差距和原因。</w:t>
      </w:r>
    </w:p>
    <w:p w14:paraId="08558BE9">
      <w:pPr>
        <w:pStyle w:val="2"/>
        <w:rPr>
          <w:rFonts w:hint="eastAsia"/>
          <w:color w:val="auto"/>
          <w:highlight w:val="none"/>
          <w:lang w:val="en-US" w:eastAsia="zh-CN"/>
        </w:rPr>
      </w:pPr>
      <w:r>
        <w:rPr>
          <w:rFonts w:hint="eastAsia"/>
          <w:color w:val="auto"/>
          <w:highlight w:val="none"/>
          <w:lang w:val="en-US" w:eastAsia="zh-CN"/>
        </w:rPr>
        <w:t>预算执行率：比较法，预算执行率预期指标值应为100%，通过实际计算，分析实际完成值和预期指标值之间的差距和原因。</w:t>
      </w:r>
    </w:p>
    <w:p w14:paraId="59128DF9">
      <w:pPr>
        <w:pStyle w:val="2"/>
        <w:rPr>
          <w:rFonts w:hint="eastAsia"/>
          <w:color w:val="auto"/>
          <w:highlight w:val="none"/>
          <w:lang w:val="en-US" w:eastAsia="zh-CN"/>
        </w:rPr>
      </w:pPr>
      <w:r>
        <w:rPr>
          <w:rFonts w:hint="eastAsia"/>
          <w:color w:val="auto"/>
          <w:highlight w:val="none"/>
          <w:lang w:val="en-US" w:eastAsia="zh-CN"/>
        </w:rPr>
        <w:t>资金使用合规性：文献法、实地勘察法，一是查找资金管理办法，包括专项资金管理办法和单位自有资金管理办法；二是通过查账了解具体开支情况，是否专用，是否按照标准支出。</w:t>
      </w:r>
    </w:p>
    <w:p w14:paraId="6762AAC9">
      <w:pPr>
        <w:pStyle w:val="2"/>
        <w:rPr>
          <w:rFonts w:hint="eastAsia"/>
          <w:color w:val="auto"/>
          <w:highlight w:val="none"/>
          <w:lang w:val="en-US" w:eastAsia="zh-CN"/>
        </w:rPr>
      </w:pPr>
      <w:r>
        <w:rPr>
          <w:rFonts w:hint="eastAsia"/>
          <w:color w:val="auto"/>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14:paraId="1C9F0AB7">
      <w:pPr>
        <w:pStyle w:val="2"/>
        <w:rPr>
          <w:rFonts w:hint="eastAsia"/>
          <w:color w:val="auto"/>
          <w:highlight w:val="none"/>
          <w:lang w:val="en-US" w:eastAsia="zh-CN"/>
        </w:rPr>
      </w:pPr>
      <w:r>
        <w:rPr>
          <w:rFonts w:hint="eastAsia"/>
          <w:color w:val="auto"/>
          <w:highlight w:val="none"/>
          <w:lang w:val="en-US" w:eastAsia="zh-CN"/>
        </w:rPr>
        <w:t>制度执行有效性：比较法，结合项目实际实施过程性文件，根据已建设的财务管理制度和项目管理制度综合分析制度执行的有效性。</w:t>
      </w:r>
    </w:p>
    <w:p w14:paraId="4FE1A0CE">
      <w:pPr>
        <w:pStyle w:val="2"/>
        <w:rPr>
          <w:rFonts w:hint="eastAsia"/>
          <w:color w:val="auto"/>
          <w:highlight w:val="none"/>
          <w:lang w:val="en-US" w:eastAsia="zh-CN"/>
        </w:rPr>
      </w:pPr>
      <w:r>
        <w:rPr>
          <w:rFonts w:hint="eastAsia"/>
          <w:color w:val="auto"/>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72397F6E">
      <w:pPr>
        <w:bidi w:val="0"/>
        <w:rPr>
          <w:rFonts w:hint="eastAsia"/>
          <w:color w:val="auto"/>
          <w:highlight w:val="none"/>
        </w:rPr>
      </w:pPr>
      <w:r>
        <w:rPr>
          <w:rFonts w:hint="eastAsia"/>
          <w:color w:val="auto"/>
          <w:highlight w:val="none"/>
          <w:lang w:val="en-US" w:eastAsia="zh-CN"/>
        </w:rPr>
        <w:t>定性指标：公众评判法，通过问卷及抽样调查等方式评价本项目实施后社会公众对于其实施效果的满意程度。</w:t>
      </w:r>
    </w:p>
    <w:p w14:paraId="79D0118B">
      <w:pPr>
        <w:pStyle w:val="6"/>
        <w:ind w:firstLine="562"/>
        <w:rPr>
          <w:color w:val="auto"/>
          <w:highlight w:val="none"/>
        </w:rPr>
      </w:pPr>
      <w:r>
        <w:rPr>
          <w:rFonts w:hint="eastAsia"/>
          <w:color w:val="auto"/>
          <w:highlight w:val="none"/>
        </w:rPr>
        <w:t>4.评价标准</w:t>
      </w:r>
    </w:p>
    <w:p w14:paraId="74460275">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8A5E07B">
      <w:pPr>
        <w:pStyle w:val="5"/>
        <w:numPr>
          <w:ilvl w:val="0"/>
          <w:numId w:val="1"/>
        </w:numPr>
        <w:ind w:firstLine="643"/>
        <w:rPr>
          <w:color w:val="auto"/>
          <w:highlight w:val="none"/>
        </w:rPr>
      </w:pPr>
      <w:r>
        <w:rPr>
          <w:rFonts w:hint="eastAsia"/>
          <w:color w:val="auto"/>
          <w:highlight w:val="none"/>
        </w:rPr>
        <w:t>绩效评价工作过程</w:t>
      </w:r>
    </w:p>
    <w:p w14:paraId="20077101">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1.前期准备</w:t>
      </w:r>
    </w:p>
    <w:p w14:paraId="26DDFEEE">
      <w:pPr>
        <w:rPr>
          <w:rFonts w:hint="eastAsia" w:ascii="Times New Roman" w:hAnsi="Times New Roman" w:cs="Times New Roman"/>
          <w:color w:val="auto"/>
          <w:highlight w:val="none"/>
          <w:lang w:val="zh-TW" w:eastAsia="zh-TW"/>
        </w:rPr>
      </w:pPr>
      <w:r>
        <w:rPr>
          <w:rFonts w:hint="eastAsia" w:ascii="Times New Roman" w:hAnsi="Times New Roman" w:cs="Times New Roman"/>
          <w:color w:val="auto"/>
          <w:highlight w:val="none"/>
          <w:lang w:val="en-US" w:eastAsia="zh-CN"/>
        </w:rPr>
        <w:t>为确保该项目绩效评价的顺利实施，本次评价成立了绩效评价项目小组，主要负责建立联络制度、明确评价责任人、制定评价方案、实施具体评价等工作</w:t>
      </w:r>
      <w:r>
        <w:rPr>
          <w:rFonts w:hint="eastAsia" w:cs="Times New Roman"/>
          <w:color w:val="auto"/>
          <w:highlight w:val="none"/>
          <w:lang w:val="en-US" w:eastAsia="zh-CN"/>
        </w:rPr>
        <w:t>。</w:t>
      </w:r>
      <w:r>
        <w:rPr>
          <w:rFonts w:hint="eastAsia"/>
          <w:color w:val="auto"/>
          <w:highlight w:val="none"/>
          <w:lang w:val="en-US" w:eastAsia="zh-CN"/>
        </w:rPr>
        <w:t>2024年3月1日，</w:t>
      </w:r>
      <w:r>
        <w:rPr>
          <w:rFonts w:hint="eastAsia" w:ascii="Times New Roman" w:hAnsi="Times New Roman" w:cs="Times New Roman"/>
          <w:color w:val="auto"/>
          <w:highlight w:val="none"/>
          <w:lang w:val="en-US" w:eastAsia="zh-CN"/>
        </w:rPr>
        <w:t>绩效评价项目小组</w:t>
      </w:r>
      <w:r>
        <w:rPr>
          <w:rFonts w:hint="eastAsia" w:cs="Times New Roman"/>
          <w:color w:val="auto"/>
          <w:highlight w:val="none"/>
          <w:lang w:val="en-US" w:eastAsia="zh-CN"/>
        </w:rPr>
        <w:t>成员</w:t>
      </w:r>
      <w:r>
        <w:rPr>
          <w:rFonts w:hint="eastAsia" w:ascii="Times New Roman" w:hAnsi="Times New Roman" w:cs="Times New Roman"/>
          <w:color w:val="auto"/>
          <w:highlight w:val="none"/>
          <w:lang w:val="en-US" w:eastAsia="zh-CN"/>
        </w:rPr>
        <w:t>对</w:t>
      </w:r>
      <w:r>
        <w:rPr>
          <w:rFonts w:hint="eastAsia" w:cs="Times New Roman"/>
          <w:color w:val="auto"/>
          <w:highlight w:val="none"/>
          <w:lang w:val="en-US" w:eastAsia="zh-CN"/>
        </w:rPr>
        <w:t>本</w:t>
      </w:r>
      <w:r>
        <w:rPr>
          <w:rFonts w:hint="eastAsia" w:ascii="Times New Roman" w:hAnsi="Times New Roman" w:cs="Times New Roman"/>
          <w:color w:val="auto"/>
          <w:highlight w:val="none"/>
          <w:lang w:val="en-US" w:eastAsia="zh-CN"/>
        </w:rPr>
        <w:t>项目</w:t>
      </w:r>
      <w:r>
        <w:rPr>
          <w:rFonts w:hint="eastAsia" w:cs="Times New Roman"/>
          <w:color w:val="auto"/>
          <w:highlight w:val="none"/>
          <w:lang w:val="en-US" w:eastAsia="zh-CN"/>
        </w:rPr>
        <w:t>开展</w:t>
      </w:r>
      <w:r>
        <w:rPr>
          <w:rFonts w:hint="eastAsia" w:ascii="Times New Roman" w:hAnsi="Times New Roman" w:cs="Times New Roman"/>
          <w:color w:val="auto"/>
          <w:highlight w:val="none"/>
          <w:lang w:val="en-US" w:eastAsia="zh-CN"/>
        </w:rPr>
        <w:t>前期调研。</w:t>
      </w:r>
      <w:r>
        <w:rPr>
          <w:rFonts w:hint="eastAsia"/>
          <w:color w:val="auto"/>
          <w:highlight w:val="none"/>
          <w:lang w:val="en-US" w:eastAsia="zh-CN"/>
        </w:rPr>
        <w:t>通过前期调研，确定了评价的目的、方法以及评价的原则，根据项目的内容和特征制定了评价指标体系及评价标准</w:t>
      </w:r>
      <w:r>
        <w:rPr>
          <w:rFonts w:hint="eastAsia" w:ascii="Times New Roman" w:hAnsi="Times New Roman" w:cs="Times New Roman"/>
          <w:color w:val="auto"/>
          <w:highlight w:val="none"/>
          <w:lang w:val="en-US" w:eastAsia="zh-CN"/>
        </w:rPr>
        <w:t>。</w:t>
      </w:r>
      <w:r>
        <w:rPr>
          <w:rFonts w:hint="eastAsia" w:cs="Times New Roman"/>
          <w:color w:val="auto"/>
          <w:highlight w:val="none"/>
          <w:lang w:val="en-US" w:eastAsia="zh-CN"/>
        </w:rPr>
        <w:t>绩效评价小组</w:t>
      </w:r>
      <w:r>
        <w:rPr>
          <w:rFonts w:hint="eastAsia" w:ascii="Times New Roman" w:hAnsi="Times New Roman" w:cs="Times New Roman"/>
          <w:color w:val="auto"/>
          <w:highlight w:val="none"/>
          <w:lang w:val="en-US" w:eastAsia="zh-CN"/>
        </w:rPr>
        <w:t>成员和职责如下：</w:t>
      </w:r>
    </w:p>
    <w:p w14:paraId="60A4F0FC">
      <w:pPr>
        <w:ind w:firstLine="560"/>
        <w:rPr>
          <w:rFonts w:hint="default"/>
          <w:color w:val="auto"/>
          <w:highlight w:val="none"/>
          <w:lang w:val="en-US" w:eastAsia="zh-CN"/>
        </w:rPr>
      </w:pPr>
      <w:r>
        <w:rPr>
          <w:rFonts w:hint="eastAsia"/>
          <w:color w:val="auto"/>
          <w:highlight w:val="none"/>
          <w:lang w:val="en-US" w:eastAsia="zh-CN"/>
        </w:rPr>
        <w:t>（1）评价组组长：刘茂珍，</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val="en-US" w:eastAsia="zh-CN"/>
        </w:rPr>
        <w:t>。</w:t>
      </w:r>
    </w:p>
    <w:p w14:paraId="6005075B">
      <w:pPr>
        <w:ind w:firstLine="560"/>
        <w:rPr>
          <w:rFonts w:hint="eastAsia"/>
          <w:color w:val="auto"/>
          <w:highlight w:val="none"/>
          <w:lang w:val="en-US" w:eastAsia="zh-CN"/>
        </w:rPr>
      </w:pPr>
      <w:r>
        <w:rPr>
          <w:rFonts w:hint="eastAsia"/>
          <w:color w:val="auto"/>
          <w:highlight w:val="none"/>
          <w:lang w:val="en-US" w:eastAsia="zh-CN"/>
        </w:rPr>
        <w:t>（2）评价组成员：徐生荣、吾斯曼·皮达依，</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lang w:val="en-US" w:eastAsia="zh-CN"/>
        </w:rPr>
        <w:t>。</w:t>
      </w:r>
    </w:p>
    <w:p w14:paraId="284019DF">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（3）评价组成员：玛尔江古丽·买买提、托合提·阿布力米提，</w:t>
      </w:r>
      <w:r>
        <w:rPr>
          <w:rFonts w:hint="eastAsia"/>
          <w:color w:val="auto"/>
          <w:highlight w:val="none"/>
        </w:rPr>
        <w:t>主要负责现场调研工作，完成收集整理资料、审核数据、填报绩效评价内容等工作</w:t>
      </w:r>
      <w:r>
        <w:rPr>
          <w:rFonts w:hint="eastAsia"/>
          <w:color w:val="auto"/>
          <w:highlight w:val="none"/>
          <w:lang w:val="en-US" w:eastAsia="zh-CN"/>
        </w:rPr>
        <w:t>。</w:t>
      </w:r>
    </w:p>
    <w:p w14:paraId="7DC671C2">
      <w:pPr>
        <w:rPr>
          <w:rFonts w:hint="eastAsia"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2.</w:t>
      </w:r>
      <w:r>
        <w:rPr>
          <w:rFonts w:hint="eastAsia" w:cs="Times New Roman"/>
          <w:b/>
          <w:bCs/>
          <w:color w:val="auto"/>
          <w:highlight w:val="none"/>
          <w:lang w:val="en-US" w:eastAsia="zh-CN"/>
        </w:rPr>
        <w:t>组织</w:t>
      </w:r>
      <w:r>
        <w:rPr>
          <w:rFonts w:hint="eastAsia" w:ascii="Times New Roman" w:hAnsi="Times New Roman" w:cs="Times New Roman"/>
          <w:b/>
          <w:bCs/>
          <w:color w:val="auto"/>
          <w:highlight w:val="none"/>
          <w:lang w:val="en-US" w:eastAsia="zh-CN"/>
        </w:rPr>
        <w:t>实施</w:t>
      </w:r>
    </w:p>
    <w:p w14:paraId="3E22E500">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2</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8</w:t>
      </w:r>
      <w:r>
        <w:rPr>
          <w:rFonts w:hint="eastAsia"/>
          <w:color w:val="auto"/>
          <w:highlight w:val="none"/>
          <w:lang w:eastAsia="zh-CN"/>
        </w:rPr>
        <w:t>日，评价工作进入实施阶段。</w:t>
      </w:r>
      <w:r>
        <w:rPr>
          <w:rFonts w:hint="eastAsia"/>
          <w:color w:val="auto"/>
          <w:highlight w:val="none"/>
        </w:rPr>
        <w:t>经评价组通过</w:t>
      </w:r>
      <w:r>
        <w:rPr>
          <w:rFonts w:hint="eastAsia"/>
          <w:color w:val="auto"/>
          <w:highlight w:val="none"/>
          <w:lang w:eastAsia="zh-CN"/>
        </w:rPr>
        <w:t>整理单位前期提交的资料，与项目实施负责人沟通，了解资金的内容、操作流程、管理机制、资金使用方向等情况，进行信息采集，了解项目设置背景及资金使用等情况，</w:t>
      </w:r>
      <w:r>
        <w:rPr>
          <w:rFonts w:hint="eastAsia"/>
          <w:color w:val="auto"/>
          <w:highlight w:val="none"/>
        </w:rPr>
        <w:t>采用综合分析法对项目的决策、管理、绩效进行的综合评价分析。</w:t>
      </w:r>
    </w:p>
    <w:p w14:paraId="1136BC4B">
      <w:pPr>
        <w:rPr>
          <w:rFonts w:hint="default" w:ascii="Times New Roman" w:hAnsi="Times New Roman" w:cs="Times New Roman"/>
          <w:b/>
          <w:bCs/>
          <w:color w:val="auto"/>
          <w:highlight w:val="none"/>
          <w:lang w:val="en-US" w:eastAsia="zh-CN"/>
        </w:rPr>
      </w:pPr>
      <w:r>
        <w:rPr>
          <w:rFonts w:hint="eastAsia" w:ascii="Times New Roman" w:hAnsi="Times New Roman" w:cs="Times New Roman"/>
          <w:b/>
          <w:bCs/>
          <w:color w:val="auto"/>
          <w:highlight w:val="none"/>
          <w:lang w:val="en-US" w:eastAsia="zh-CN"/>
        </w:rPr>
        <w:t>3.分析评价和撰写报告</w:t>
      </w:r>
    </w:p>
    <w:p w14:paraId="64FD018F">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（1）综合分析评价</w:t>
      </w:r>
    </w:p>
    <w:p w14:paraId="2A7131FF">
      <w:pPr>
        <w:bidi w:val="0"/>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9</w:t>
      </w:r>
      <w:r>
        <w:rPr>
          <w:rFonts w:hint="eastAsia"/>
          <w:color w:val="auto"/>
          <w:highlight w:val="none"/>
          <w:lang w:eastAsia="zh-CN"/>
        </w:rPr>
        <w:t>日-</w:t>
      </w:r>
      <w:r>
        <w:rPr>
          <w:rFonts w:hint="eastAsia"/>
          <w:color w:val="auto"/>
          <w:highlight w:val="none"/>
          <w:lang w:val="en-US" w:eastAsia="zh-CN"/>
        </w:rPr>
        <w:t>3</w:t>
      </w:r>
      <w:r>
        <w:rPr>
          <w:rFonts w:hint="eastAsia"/>
          <w:color w:val="auto"/>
          <w:highlight w:val="none"/>
          <w:lang w:eastAsia="zh-CN"/>
        </w:rPr>
        <w:t>月</w:t>
      </w:r>
      <w:r>
        <w:rPr>
          <w:rFonts w:hint="eastAsia"/>
          <w:color w:val="auto"/>
          <w:highlight w:val="none"/>
          <w:lang w:val="en-US" w:eastAsia="zh-CN"/>
        </w:rPr>
        <w:t>16</w:t>
      </w:r>
      <w:r>
        <w:rPr>
          <w:rFonts w:hint="eastAsia"/>
          <w:color w:val="auto"/>
          <w:highlight w:val="none"/>
          <w:lang w:eastAsia="zh-CN"/>
        </w:rPr>
        <w:t>日，评价小组按照绩效评价的原则和规范，对取得的资料进行审查核实，对采集的数据进行分析，按照绩效评价指标评分表逐项进行打分、分析，汇总各方评价结果，综合分析并形成评价结论</w:t>
      </w:r>
      <w:r>
        <w:rPr>
          <w:rFonts w:hint="eastAsia"/>
          <w:color w:val="auto"/>
          <w:highlight w:val="none"/>
        </w:rPr>
        <w:t>首先按照指标体系进行定量、定性分析。</w:t>
      </w:r>
    </w:p>
    <w:p w14:paraId="1D3AF1A8">
      <w:pPr>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（2）撰写报告</w:t>
      </w:r>
    </w:p>
    <w:p w14:paraId="62456EBC">
      <w:pPr>
        <w:rPr>
          <w:rFonts w:hint="eastAsia" w:ascii="Times New Roman" w:hAnsi="Times New Roman" w:cs="Times New Roman"/>
          <w:color w:val="auto"/>
          <w:highlight w:val="none"/>
          <w:lang w:val="en-US" w:eastAsia="zh-CN"/>
        </w:rPr>
      </w:pPr>
      <w:r>
        <w:rPr>
          <w:rFonts w:hint="eastAsia"/>
          <w:color w:val="auto"/>
          <w:highlight w:val="none"/>
          <w:lang w:eastAsia="zh-CN"/>
        </w:rPr>
        <w:t>202</w:t>
      </w:r>
      <w:r>
        <w:rPr>
          <w:rFonts w:hint="eastAsia"/>
          <w:color w:val="auto"/>
          <w:highlight w:val="none"/>
          <w:lang w:val="en-US" w:eastAsia="zh-CN"/>
        </w:rPr>
        <w:t>4</w:t>
      </w:r>
      <w:r>
        <w:rPr>
          <w:rFonts w:hint="eastAsia"/>
          <w:color w:val="auto"/>
          <w:highlight w:val="none"/>
          <w:lang w:eastAsia="zh-CN"/>
        </w:rPr>
        <w:t>年</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r>
        <w:rPr>
          <w:rFonts w:hint="eastAsia"/>
          <w:color w:val="auto"/>
          <w:highlight w:val="none"/>
          <w:lang w:val="en-US" w:eastAsia="zh-CN"/>
        </w:rPr>
        <w:t>3</w:t>
      </w:r>
      <w:r>
        <w:rPr>
          <w:rFonts w:hint="eastAsia"/>
          <w:color w:val="auto"/>
          <w:highlight w:val="none"/>
        </w:rPr>
        <w:t>月</w:t>
      </w:r>
      <w:r>
        <w:rPr>
          <w:rFonts w:hint="eastAsia"/>
          <w:color w:val="auto"/>
          <w:highlight w:val="none"/>
          <w:lang w:val="en-US" w:eastAsia="zh-CN"/>
        </w:rPr>
        <w:t>31</w:t>
      </w:r>
      <w:r>
        <w:rPr>
          <w:rFonts w:hint="eastAsia"/>
          <w:color w:val="auto"/>
          <w:highlight w:val="none"/>
        </w:rPr>
        <w:t>日</w:t>
      </w:r>
      <w:r>
        <w:rPr>
          <w:rFonts w:hint="eastAsia"/>
          <w:color w:val="auto"/>
          <w:highlight w:val="none"/>
          <w:lang w:eastAsia="zh-CN"/>
        </w:rPr>
        <w:t>，</w:t>
      </w:r>
      <w:r>
        <w:rPr>
          <w:rFonts w:hint="eastAsia" w:ascii="Times New Roman" w:hAnsi="Times New Roman" w:cs="Times New Roman"/>
          <w:color w:val="auto"/>
          <w:highlight w:val="none"/>
          <w:lang w:val="en-US" w:eastAsia="zh-CN"/>
        </w:rPr>
        <w:t>绩效评价项目小组依照整理、分析后的项目材料、数据资料，依据评价形成的初步结论，按照</w:t>
      </w:r>
      <w:r>
        <w:rPr>
          <w:rFonts w:hint="eastAsia" w:cs="Times New Roman"/>
          <w:color w:val="auto"/>
          <w:highlight w:val="none"/>
          <w:lang w:val="en-US" w:eastAsia="zh-CN"/>
        </w:rPr>
        <w:t>绩效系统中统一</w:t>
      </w:r>
      <w:r>
        <w:rPr>
          <w:rFonts w:hint="eastAsia" w:ascii="Times New Roman" w:hAnsi="Times New Roman" w:cs="Times New Roman"/>
          <w:color w:val="auto"/>
          <w:highlight w:val="none"/>
          <w:lang w:val="en-US" w:eastAsia="zh-CN"/>
        </w:rPr>
        <w:t>的格式和内容要求撰写绩效评价初步报告，最终形成评价结果。</w:t>
      </w:r>
    </w:p>
    <w:p w14:paraId="4E000237">
      <w:pPr>
        <w:pStyle w:val="6"/>
        <w:ind w:firstLine="562"/>
        <w:rPr>
          <w:rFonts w:hint="eastAsia"/>
          <w:color w:val="auto"/>
          <w:highlight w:val="none"/>
        </w:rPr>
      </w:pPr>
      <w:bookmarkStart w:id="12" w:name="_Toc5055"/>
      <w:r>
        <w:rPr>
          <w:rFonts w:hint="eastAsia"/>
          <w:color w:val="auto"/>
          <w:highlight w:val="none"/>
          <w:lang w:val="en-US" w:eastAsia="zh-CN"/>
        </w:rPr>
        <w:t>4.</w:t>
      </w:r>
      <w:r>
        <w:rPr>
          <w:rFonts w:hint="eastAsia"/>
          <w:color w:val="auto"/>
          <w:highlight w:val="none"/>
        </w:rPr>
        <w:t>问题整改</w:t>
      </w:r>
    </w:p>
    <w:p w14:paraId="796DCC4B">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76A84836">
      <w:pPr>
        <w:pStyle w:val="6"/>
        <w:bidi w:val="0"/>
        <w:rPr>
          <w:rFonts w:hint="eastAsia"/>
          <w:color w:val="auto"/>
          <w:highlight w:val="none"/>
          <w:lang w:val="en-US" w:eastAsia="zh-CN"/>
        </w:rPr>
      </w:pPr>
      <w:r>
        <w:rPr>
          <w:rFonts w:hint="eastAsia"/>
          <w:color w:val="auto"/>
          <w:highlight w:val="none"/>
          <w:lang w:val="en-US" w:eastAsia="zh-CN"/>
        </w:rPr>
        <w:t>5.归集档案</w:t>
      </w:r>
      <w:bookmarkEnd w:id="12"/>
    </w:p>
    <w:p w14:paraId="2DD8D61C">
      <w:pPr>
        <w:bidi w:val="0"/>
        <w:rPr>
          <w:color w:val="auto"/>
          <w:highlight w:val="none"/>
        </w:rPr>
      </w:pPr>
      <w:r>
        <w:rPr>
          <w:rFonts w:hint="eastAsia"/>
          <w:color w:val="auto"/>
          <w:highlight w:val="none"/>
          <w:lang w:val="en-US" w:eastAsia="zh-CN"/>
        </w:rPr>
        <w:t>我单位项目负责人</w:t>
      </w:r>
      <w:r>
        <w:rPr>
          <w:rFonts w:hint="eastAsia"/>
          <w:color w:val="auto"/>
          <w:highlight w:val="none"/>
        </w:rPr>
        <w:t>落实档案管理制度，将项目相关资料存档，包括但不限于：评价项目基本情况和相关文件、评价实施方案、项目支付资料等相关档案。</w:t>
      </w:r>
    </w:p>
    <w:p w14:paraId="74758C68">
      <w:pPr>
        <w:pStyle w:val="4"/>
        <w:numPr>
          <w:ilvl w:val="0"/>
          <w:numId w:val="2"/>
        </w:numPr>
        <w:ind w:firstLine="640"/>
        <w:rPr>
          <w:color w:val="auto"/>
          <w:highlight w:val="none"/>
        </w:rPr>
      </w:pPr>
      <w:r>
        <w:rPr>
          <w:rFonts w:hint="eastAsia"/>
          <w:color w:val="auto"/>
          <w:highlight w:val="none"/>
        </w:rPr>
        <w:t>综合评价情况及评价结论</w:t>
      </w:r>
    </w:p>
    <w:p w14:paraId="45B80CE8">
      <w:pPr>
        <w:pStyle w:val="5"/>
        <w:bidi w:val="0"/>
        <w:rPr>
          <w:rFonts w:hint="eastAsia" w:ascii="仿宋_GB2312" w:hAnsi="仿宋_GB2312" w:cs="仿宋_GB2312"/>
          <w:color w:val="auto"/>
          <w:sz w:val="32"/>
          <w:highlight w:val="none"/>
        </w:rPr>
      </w:pPr>
      <w:bookmarkStart w:id="13" w:name="_Toc68364665"/>
      <w:r>
        <w:rPr>
          <w:rFonts w:hint="eastAsia" w:ascii="仿宋_GB2312" w:hAnsi="仿宋_GB2312" w:cs="仿宋_GB2312"/>
          <w:color w:val="auto"/>
          <w:sz w:val="32"/>
          <w:highlight w:val="none"/>
        </w:rPr>
        <w:t>（一）综合评价情况</w:t>
      </w:r>
      <w:bookmarkEnd w:id="13"/>
    </w:p>
    <w:p w14:paraId="040858D0">
      <w:pPr>
        <w:pageBreakBefore w:val="0"/>
        <w:kinsoku/>
        <w:wordWrap/>
        <w:topLinePunct w:val="0"/>
        <w:autoSpaceDE/>
        <w:autoSpaceDN/>
        <w:bidi w:val="0"/>
        <w:spacing w:line="560" w:lineRule="exact"/>
        <w:ind w:right="0" w:rightChars="0" w:firstLine="643"/>
        <w:rPr>
          <w:rFonts w:hint="eastAsia" w:ascii="Times New Roman" w:hAnsi="Times New Roman" w:cs="Times New Roman"/>
          <w:color w:val="auto"/>
          <w:highlight w:val="none"/>
          <w:lang w:val="en-US" w:eastAsia="zh-CN"/>
        </w:rPr>
      </w:pPr>
      <w:bookmarkStart w:id="14" w:name="_Toc68364666"/>
      <w:r>
        <w:rPr>
          <w:rFonts w:hint="eastAsia"/>
          <w:color w:val="auto"/>
          <w:highlight w:val="none"/>
          <w:lang w:eastAsia="zh-CN"/>
        </w:rPr>
        <w:t>经评价，本项目达到了年初设立的绩效目标，</w:t>
      </w:r>
      <w:r>
        <w:rPr>
          <w:rFonts w:hint="eastAsia"/>
          <w:color w:val="auto"/>
          <w:highlight w:val="none"/>
        </w:rPr>
        <w:t>项目总体组织规范，完成了工作目标，</w:t>
      </w:r>
      <w:r>
        <w:rPr>
          <w:rFonts w:hint="eastAsia"/>
          <w:color w:val="auto"/>
          <w:highlight w:val="none"/>
          <w:lang w:eastAsia="zh-CN"/>
        </w:rPr>
        <w:t>在</w:t>
      </w:r>
      <w:r>
        <w:rPr>
          <w:rFonts w:hint="eastAsia" w:ascii="Times New Roman" w:hAnsi="Times New Roman" w:cs="Times New Roman"/>
          <w:color w:val="auto"/>
          <w:highlight w:val="none"/>
          <w:lang w:val="en-US" w:eastAsia="zh-CN"/>
        </w:rPr>
        <w:t>实施过程中取得了良好的成效，具体表现在以下几个方面：</w:t>
      </w:r>
    </w:p>
    <w:p w14:paraId="01656632">
      <w:pPr>
        <w:pageBreakBefore w:val="0"/>
        <w:kinsoku/>
        <w:wordWrap/>
        <w:topLinePunct w:val="0"/>
        <w:autoSpaceDE/>
        <w:autoSpaceDN/>
        <w:bidi w:val="0"/>
        <w:spacing w:line="560" w:lineRule="exact"/>
        <w:ind w:right="0" w:rightChars="0" w:firstLine="643"/>
        <w:rPr>
          <w:rFonts w:hint="eastAsia"/>
          <w:color w:val="auto"/>
          <w:highlight w:val="none"/>
        </w:rPr>
      </w:pPr>
      <w:r>
        <w:rPr>
          <w:rFonts w:hint="eastAsia" w:ascii="Times New Roman" w:hAnsi="Times New Roman" w:cs="Times New Roman"/>
          <w:color w:val="auto"/>
          <w:highlight w:val="none"/>
          <w:lang w:val="en-US" w:eastAsia="zh-CN"/>
        </w:rPr>
        <w:t>1、项目决策方面：根据项目立项符合《国务院关于当前发展学前教育的若干意见》《国家中长期教育改革和发展规划纲要》《关于实施学前教育三年行动计划的意见》等相关法律法规及文件意见，本项目立项依据充分；本项目为</w:t>
      </w:r>
      <w:r>
        <w:rPr>
          <w:rFonts w:hint="default" w:ascii="Times New Roman" w:hAnsi="Times New Roman" w:cs="Times New Roman"/>
          <w:color w:val="auto"/>
          <w:highlight w:val="none"/>
          <w:lang w:val="en-US" w:eastAsia="zh-CN"/>
        </w:rPr>
        <w:t>2023年学前教育幼儿资助</w:t>
      </w:r>
      <w:r>
        <w:rPr>
          <w:rFonts w:hint="eastAsia" w:ascii="Times New Roman" w:hAnsi="Times New Roman" w:cs="Times New Roman"/>
          <w:color w:val="auto"/>
          <w:highlight w:val="none"/>
          <w:lang w:val="en-US" w:eastAsia="zh-CN"/>
        </w:rPr>
        <w:t>的</w:t>
      </w:r>
      <w:r>
        <w:rPr>
          <w:rFonts w:hint="default" w:ascii="Times New Roman" w:hAnsi="Times New Roman" w:cs="Times New Roman"/>
          <w:color w:val="auto"/>
          <w:highlight w:val="none"/>
          <w:lang w:val="en-US" w:eastAsia="zh-CN"/>
        </w:rPr>
        <w:t>县级配套</w:t>
      </w:r>
      <w:r>
        <w:rPr>
          <w:rFonts w:hint="eastAsia" w:ascii="Times New Roman" w:hAnsi="Times New Roman" w:cs="Times New Roman"/>
          <w:color w:val="auto"/>
          <w:highlight w:val="none"/>
          <w:lang w:val="en-US" w:eastAsia="zh-CN"/>
        </w:rPr>
        <w:t>资金，为年初下达预算资金，立项程序规范；绩效目标按照2023年项目实际开展的工</w:t>
      </w:r>
      <w:r>
        <w:rPr>
          <w:rFonts w:hint="eastAsia"/>
          <w:color w:val="auto"/>
          <w:highlight w:val="none"/>
          <w:lang w:val="en-US" w:eastAsia="zh-CN"/>
        </w:rPr>
        <w:t>作任务设定，目标合理，与工作任务相匹配</w:t>
      </w:r>
      <w:r>
        <w:rPr>
          <w:rFonts w:hint="eastAsia"/>
          <w:color w:val="auto"/>
          <w:highlight w:val="none"/>
        </w:rPr>
        <w:t>。</w:t>
      </w:r>
    </w:p>
    <w:p w14:paraId="52C2B537">
      <w:pPr>
        <w:bidi w:val="0"/>
        <w:rPr>
          <w:rFonts w:hint="eastAsia"/>
          <w:color w:val="auto"/>
          <w:highlight w:val="none"/>
        </w:rPr>
      </w:pPr>
      <w:r>
        <w:rPr>
          <w:rFonts w:hint="eastAsia"/>
          <w:color w:val="auto"/>
          <w:highlight w:val="none"/>
          <w:lang w:val="en-US" w:eastAsia="zh-CN"/>
        </w:rPr>
        <w:t>2、</w:t>
      </w:r>
      <w:r>
        <w:rPr>
          <w:rFonts w:hint="eastAsia"/>
          <w:color w:val="auto"/>
          <w:highlight w:val="none"/>
        </w:rPr>
        <w:t>项目管理方面</w:t>
      </w:r>
      <w:r>
        <w:rPr>
          <w:rFonts w:hint="eastAsia"/>
          <w:color w:val="auto"/>
          <w:highlight w:val="none"/>
          <w:lang w:eastAsia="zh-CN"/>
        </w:rPr>
        <w:t>：</w:t>
      </w:r>
      <w:r>
        <w:rPr>
          <w:rFonts w:hint="eastAsia"/>
          <w:color w:val="auto"/>
          <w:highlight w:val="none"/>
          <w:lang w:val="en-US" w:eastAsia="zh-CN"/>
        </w:rPr>
        <w:t>项目在实施过程中严格按照预算支付资金，主要用于保障幼儿园的用电、取暖、助学金以及学校日常运行的办公经费、其它商品服务和支出等，资金使用符合国家相关财经法规和学校的财务管理制度，符合项目预算批复内容，不存在截留挤占、挪用、虚列支出等情况。通过完善的内部控制管理制度，有效落实各项规章制度，确保了各项工作有序开展。</w:t>
      </w:r>
    </w:p>
    <w:p w14:paraId="3AE12463">
      <w:pPr>
        <w:ind w:firstLine="560"/>
        <w:rPr>
          <w:rFonts w:hint="eastAsia" w:ascii="Times New Roman" w:hAnsi="Times New Roman" w:cs="Times New Roman"/>
          <w:color w:val="auto"/>
          <w:highlight w:val="none"/>
          <w:lang w:val="en-US" w:eastAsia="zh-CN"/>
        </w:rPr>
      </w:pPr>
      <w:r>
        <w:rPr>
          <w:rFonts w:hint="eastAsia"/>
          <w:color w:val="auto"/>
          <w:highlight w:val="none"/>
          <w:lang w:val="en-US" w:eastAsia="zh-CN"/>
        </w:rPr>
        <w:t>3、</w:t>
      </w:r>
      <w:r>
        <w:rPr>
          <w:rFonts w:hint="eastAsia"/>
          <w:color w:val="auto"/>
          <w:highlight w:val="none"/>
          <w:lang w:eastAsia="zh-CN"/>
        </w:rPr>
        <w:t>项目产</w:t>
      </w:r>
      <w:r>
        <w:rPr>
          <w:rFonts w:hint="eastAsia" w:ascii="Times New Roman" w:hAnsi="Times New Roman" w:cs="Times New Roman"/>
          <w:color w:val="auto"/>
          <w:highlight w:val="none"/>
          <w:lang w:val="en-US" w:eastAsia="zh-CN"/>
        </w:rPr>
        <w:t>出和效益方面：2023年保障了夏镇10所幼儿园655名幼儿享受学前三年教育，确保了学前教育教育保障机制政策按规定得到落实，积极提高了学前教育普惠保障水平和我县农村学前国语教育覆盖率，完善了学前教育体系，持续推进了学前教育事业发展。</w:t>
      </w:r>
    </w:p>
    <w:p w14:paraId="6B7E5914">
      <w:pPr>
        <w:ind w:firstLine="560"/>
        <w:rPr>
          <w:rFonts w:hint="eastAsia" w:ascii="仿宋_GB2312" w:hAnsi="仿宋_GB2312" w:eastAsia="仿宋_GB2312" w:cs="仿宋_GB2312"/>
          <w:color w:val="auto"/>
          <w:sz w:val="28"/>
          <w:szCs w:val="28"/>
          <w:highlight w:val="none"/>
          <w:lang w:val="en-US" w:eastAsia="zh-CN"/>
        </w:rPr>
      </w:pPr>
      <w:r>
        <w:rPr>
          <w:rFonts w:hint="eastAsia" w:ascii="Times New Roman" w:hAnsi="Times New Roman" w:cs="Times New Roman"/>
          <w:color w:val="auto"/>
          <w:highlight w:val="none"/>
          <w:lang w:val="en-US" w:eastAsia="zh-CN"/>
        </w:rPr>
        <w:t>4、本项目各项工作虽然按规定完成，但在预算绩效管理方面仍然存在问题。一是项目成本指标设置不规范不明确，未有效反映项目预算支出计划，导致难以衡量成本指标支出控制情况；二是</w:t>
      </w:r>
      <w:r>
        <w:rPr>
          <w:rFonts w:hint="default" w:ascii="Times New Roman" w:hAnsi="Times New Roman" w:cs="Times New Roman"/>
          <w:color w:val="auto"/>
          <w:highlight w:val="none"/>
          <w:lang w:val="en-US" w:eastAsia="zh-CN"/>
        </w:rPr>
        <w:t>学前教育幼儿资助</w:t>
      </w:r>
      <w:r>
        <w:rPr>
          <w:rFonts w:hint="eastAsia" w:ascii="Times New Roman" w:hAnsi="Times New Roman" w:cs="Times New Roman"/>
          <w:color w:val="auto"/>
          <w:highlight w:val="none"/>
          <w:lang w:val="en-US" w:eastAsia="zh-CN"/>
        </w:rPr>
        <w:t>资金每年按照上一年度事业统计报表数据的在园幼儿提前下达，县财政局按照规定比例配套资金，由于每年在园幼儿人数会</w:t>
      </w:r>
      <w:r>
        <w:rPr>
          <w:rFonts w:hint="eastAsia"/>
          <w:color w:val="auto"/>
          <w:highlight w:val="none"/>
          <w:lang w:val="en-US" w:eastAsia="zh-CN"/>
        </w:rPr>
        <w:t>发生变化，导致每年在园幼儿数与实际分配下达的资金数不一致；三是该项目的预算资金来源于中央专项、自治区专项以及县级配套资金，虽然资金来源不同，但用于同一用途同一受益对象，绩效目标设置时按照资金来源分别设置了绩效目标表，导致对县级配套资金支出的印证材料难以单独证明，对项目整体情况难以全面评价。</w:t>
      </w:r>
    </w:p>
    <w:p w14:paraId="7BBA3FD9">
      <w:pPr>
        <w:pStyle w:val="5"/>
        <w:bidi w:val="0"/>
        <w:rPr>
          <w:rFonts w:hint="eastAsia"/>
          <w:color w:val="auto"/>
          <w:highlight w:val="none"/>
        </w:rPr>
      </w:pPr>
      <w:r>
        <w:rPr>
          <w:rFonts w:hint="eastAsia"/>
          <w:color w:val="auto"/>
          <w:highlight w:val="none"/>
        </w:rPr>
        <w:t>（二）综合评价结论</w:t>
      </w:r>
    </w:p>
    <w:bookmarkEnd w:id="14"/>
    <w:p w14:paraId="782530E8">
      <w:pPr>
        <w:bidi w:val="0"/>
        <w:rPr>
          <w:rFonts w:hint="eastAsia"/>
          <w:color w:val="auto"/>
          <w:highlight w:val="none"/>
          <w:lang w:val="en-US" w:eastAsia="zh-CN"/>
        </w:rPr>
      </w:pPr>
      <w:r>
        <w:rPr>
          <w:rFonts w:hint="eastAsia"/>
          <w:color w:val="auto"/>
          <w:highlight w:val="none"/>
          <w:lang w:val="en-US" w:eastAsia="zh-CN"/>
        </w:rPr>
        <w:t>此次绩效评价通过绩效评价小组论证的评价指标体系及评分标准，采用比较法、公众评判法、因素分析法等对本项目绩效进行客观评价，最终评分结果：总分为97.55分，绩效评级为“优秀”。综合评价结论如下：本项目决策指标共设置6个，满分20分，得分率90%；项目过程指标共设置5个，满分20分，得分率99%；项目产出指标共设置7个，满分24分，得分率98.96%；项目成本指标共设置1个，满分12分，得分率100%;项目效益指标共设置3个，满分24分，得分率100%。</w:t>
      </w:r>
    </w:p>
    <w:p w14:paraId="25D94DA8">
      <w:pPr>
        <w:pStyle w:val="4"/>
        <w:numPr>
          <w:ilvl w:val="0"/>
          <w:numId w:val="0"/>
        </w:numPr>
        <w:ind w:firstLine="640" w:firstLineChars="200"/>
        <w:rPr>
          <w:rFonts w:hint="eastAsia"/>
          <w:color w:val="auto"/>
          <w:highlight w:val="none"/>
        </w:rPr>
      </w:pPr>
      <w:r>
        <w:rPr>
          <w:rFonts w:hint="eastAsia"/>
          <w:color w:val="auto"/>
          <w:highlight w:val="none"/>
          <w:lang w:val="en-US" w:eastAsia="zh-CN"/>
        </w:rPr>
        <w:t>四、</w:t>
      </w:r>
      <w:r>
        <w:rPr>
          <w:rFonts w:hint="eastAsia"/>
          <w:color w:val="auto"/>
          <w:highlight w:val="none"/>
        </w:rPr>
        <w:t>绩效评价指标分析</w:t>
      </w:r>
    </w:p>
    <w:p w14:paraId="0FE4CDC7">
      <w:pPr>
        <w:pStyle w:val="5"/>
        <w:bidi w:val="0"/>
        <w:rPr>
          <w:rFonts w:hint="eastAsia" w:ascii="仿宋_GB2312" w:hAnsi="仿宋_GB2312" w:cs="仿宋_GB2312"/>
          <w:color w:val="auto"/>
          <w:sz w:val="32"/>
          <w:highlight w:val="none"/>
          <w:lang w:val="en-US" w:eastAsia="zh-CN"/>
        </w:rPr>
      </w:pPr>
      <w:bookmarkStart w:id="15" w:name="_Toc68364668"/>
      <w:r>
        <w:rPr>
          <w:rFonts w:hint="eastAsia" w:ascii="仿宋_GB2312" w:hAnsi="仿宋_GB2312" w:cs="仿宋_GB2312"/>
          <w:color w:val="auto"/>
          <w:sz w:val="32"/>
          <w:highlight w:val="none"/>
          <w:lang w:val="en-US" w:eastAsia="zh-CN"/>
        </w:rPr>
        <w:t>（一）项目决策情况</w:t>
      </w:r>
    </w:p>
    <w:p w14:paraId="4FFCCD45">
      <w:pPr>
        <w:pageBreakBefore w:val="0"/>
        <w:kinsoku/>
        <w:wordWrap/>
        <w:overflowPunct w:val="0"/>
        <w:topLinePunct w:val="0"/>
        <w:autoSpaceDE/>
        <w:autoSpaceDN/>
        <w:bidi w:val="0"/>
        <w:spacing w:line="560" w:lineRule="exact"/>
        <w:ind w:right="0" w:rightChars="0" w:firstLine="640"/>
        <w:contextualSpacing/>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项目决策类指标包括项目立项、绩效目标和资金投入三方面的内容，由</w:t>
      </w:r>
      <w:r>
        <w:rPr>
          <w:rFonts w:hint="eastAsia"/>
          <w:color w:val="auto"/>
          <w:highlight w:val="none"/>
          <w:lang w:eastAsia="zh-CN"/>
        </w:rPr>
        <w:t>3个二级指标和6个三级指标构成</w:t>
      </w:r>
      <w:r>
        <w:rPr>
          <w:rFonts w:hint="eastAsia" w:ascii="仿宋_GB2312" w:hAnsi="仿宋_GB2312" w:cs="仿宋_GB2312"/>
          <w:color w:val="auto"/>
          <w:sz w:val="28"/>
          <w:szCs w:val="28"/>
          <w:highlight w:val="none"/>
        </w:rPr>
        <w:t>，权重分为2</w:t>
      </w:r>
      <w:r>
        <w:rPr>
          <w:rFonts w:hint="eastAsia" w:ascii="仿宋_GB2312" w:hAnsi="仿宋_GB2312" w:cs="仿宋_GB2312"/>
          <w:color w:val="auto"/>
          <w:sz w:val="28"/>
          <w:szCs w:val="28"/>
          <w:highlight w:val="none"/>
          <w:lang w:val="en-US" w:eastAsia="zh-CN"/>
        </w:rPr>
        <w:t>0</w:t>
      </w:r>
      <w:r>
        <w:rPr>
          <w:rFonts w:hint="eastAsia" w:ascii="仿宋_GB2312" w:hAnsi="仿宋_GB2312" w:cs="仿宋_GB2312"/>
          <w:color w:val="auto"/>
          <w:sz w:val="28"/>
          <w:szCs w:val="28"/>
          <w:highlight w:val="none"/>
        </w:rPr>
        <w:t>分，实际得分</w:t>
      </w:r>
      <w:r>
        <w:rPr>
          <w:rFonts w:hint="eastAsia" w:ascii="仿宋_GB2312" w:hAnsi="仿宋_GB2312" w:cs="仿宋_GB2312"/>
          <w:color w:val="auto"/>
          <w:sz w:val="28"/>
          <w:szCs w:val="28"/>
          <w:highlight w:val="none"/>
          <w:lang w:val="en-US" w:eastAsia="zh-CN"/>
        </w:rPr>
        <w:t>20</w:t>
      </w:r>
      <w:r>
        <w:rPr>
          <w:rFonts w:hint="eastAsia" w:ascii="仿宋_GB2312" w:hAnsi="仿宋_GB2312" w:cs="仿宋_GB2312"/>
          <w:color w:val="auto"/>
          <w:sz w:val="28"/>
          <w:szCs w:val="28"/>
          <w:highlight w:val="none"/>
        </w:rPr>
        <w:t>分，得分率为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p>
    <w:p w14:paraId="1AB414D2">
      <w:pPr>
        <w:pStyle w:val="6"/>
        <w:bidi w:val="0"/>
        <w:rPr>
          <w:rFonts w:hint="eastAsia"/>
          <w:color w:val="auto"/>
          <w:highlight w:val="none"/>
          <w:lang w:val="en-US" w:eastAsia="zh-CN"/>
        </w:rPr>
      </w:pPr>
      <w:r>
        <w:rPr>
          <w:rFonts w:hint="eastAsia"/>
          <w:color w:val="auto"/>
          <w:highlight w:val="none"/>
          <w:lang w:val="en-US" w:eastAsia="zh-CN"/>
        </w:rPr>
        <w:t>1.项目立项情况分析</w:t>
      </w:r>
    </w:p>
    <w:p w14:paraId="71CF951A">
      <w:pPr>
        <w:bidi w:val="0"/>
        <w:rPr>
          <w:rFonts w:hint="eastAsia"/>
          <w:b/>
          <w:bCs/>
          <w:color w:val="auto"/>
          <w:highlight w:val="none"/>
        </w:rPr>
      </w:pPr>
      <w:r>
        <w:rPr>
          <w:rFonts w:hint="eastAsia"/>
          <w:b/>
          <w:bCs/>
          <w:color w:val="auto"/>
          <w:highlight w:val="none"/>
        </w:rPr>
        <w:t>（1）立项依据充分性：</w:t>
      </w:r>
    </w:p>
    <w:p w14:paraId="3F4E824D">
      <w:pPr>
        <w:bidi w:val="0"/>
        <w:rPr>
          <w:rFonts w:hint="eastAsia"/>
          <w:color w:val="auto"/>
          <w:highlight w:val="none"/>
        </w:rPr>
      </w:pPr>
      <w:r>
        <w:rPr>
          <w:rFonts w:hint="eastAsia"/>
          <w:color w:val="auto"/>
          <w:highlight w:val="none"/>
        </w:rPr>
        <w:t>项目立项符合</w:t>
      </w:r>
      <w:r>
        <w:rPr>
          <w:rFonts w:hint="eastAsia" w:ascii="Times New Roman" w:hAnsi="Times New Roman" w:cs="Times New Roman"/>
          <w:color w:val="auto"/>
          <w:highlight w:val="none"/>
          <w:lang w:val="en-US" w:eastAsia="zh-CN"/>
        </w:rPr>
        <w:t>《国务院关于当前发展学前教育的若干意见》《国家中长期教育改革和发展规划纲要》《关于实施学前教育三年行动计划的意见》</w:t>
      </w:r>
      <w:r>
        <w:rPr>
          <w:rFonts w:hint="eastAsia"/>
          <w:color w:val="auto"/>
          <w:highlight w:val="none"/>
        </w:rPr>
        <w:t>等国家法律法规</w:t>
      </w:r>
      <w:r>
        <w:rPr>
          <w:rFonts w:hint="eastAsia"/>
          <w:color w:val="auto"/>
          <w:highlight w:val="none"/>
          <w:lang w:eastAsia="zh-CN"/>
        </w:rPr>
        <w:t>以及</w:t>
      </w:r>
      <w:r>
        <w:rPr>
          <w:rFonts w:hint="eastAsia"/>
          <w:color w:val="auto"/>
          <w:highlight w:val="none"/>
        </w:rPr>
        <w:t>相关政策</w:t>
      </w:r>
      <w:r>
        <w:rPr>
          <w:rFonts w:hint="eastAsia"/>
          <w:color w:val="auto"/>
          <w:highlight w:val="none"/>
          <w:lang w:eastAsia="zh-CN"/>
        </w:rPr>
        <w:t>；</w:t>
      </w:r>
      <w:r>
        <w:rPr>
          <w:rFonts w:hint="eastAsia"/>
          <w:color w:val="auto"/>
          <w:highlight w:val="none"/>
        </w:rPr>
        <w:t>项目立项与</w:t>
      </w:r>
      <w:r>
        <w:rPr>
          <w:rFonts w:hint="eastAsia" w:ascii="Times New Roman" w:hAnsi="Times New Roman" w:cs="Times New Roman"/>
          <w:color w:val="auto"/>
          <w:highlight w:val="none"/>
          <w:lang w:val="en-US" w:eastAsia="zh-CN"/>
        </w:rPr>
        <w:t>我单位开展</w:t>
      </w:r>
      <w:r>
        <w:rPr>
          <w:rFonts w:hint="eastAsia" w:ascii="仿宋_GB2312" w:hAnsi="Times New Roman" w:eastAsia="仿宋_GB2312" w:cs="Times New Roman"/>
          <w:b w:val="0"/>
          <w:bCs/>
          <w:color w:val="auto"/>
          <w:kern w:val="2"/>
          <w:sz w:val="30"/>
          <w:szCs w:val="30"/>
          <w:highlight w:val="none"/>
          <w:lang w:val="en-US" w:eastAsia="zh-CN" w:bidi="ar-SA"/>
        </w:rPr>
        <w:t>教育</w:t>
      </w:r>
      <w:r>
        <w:rPr>
          <w:rFonts w:hint="eastAsia" w:ascii="仿宋_GB2312" w:cs="Times New Roman"/>
          <w:b w:val="0"/>
          <w:bCs/>
          <w:color w:val="auto"/>
          <w:kern w:val="2"/>
          <w:sz w:val="30"/>
          <w:szCs w:val="30"/>
          <w:highlight w:val="none"/>
          <w:lang w:val="en-US" w:eastAsia="zh-CN" w:bidi="ar-SA"/>
        </w:rPr>
        <w:t>教学</w:t>
      </w:r>
      <w:r>
        <w:rPr>
          <w:rFonts w:hint="eastAsia" w:ascii="Times New Roman" w:hAnsi="Times New Roman" w:cs="Times New Roman"/>
          <w:color w:val="auto"/>
          <w:highlight w:val="none"/>
          <w:lang w:eastAsia="zh-CN"/>
        </w:rPr>
        <w:t>管理这一部门职责范围相符</w:t>
      </w:r>
      <w:r>
        <w:rPr>
          <w:rFonts w:hint="eastAsia"/>
          <w:color w:val="auto"/>
          <w:highlight w:val="none"/>
        </w:rPr>
        <w:t>，属于部门履职所需；根据《财政资金直接支付申请书》，功能分类</w:t>
      </w:r>
      <w:r>
        <w:rPr>
          <w:rFonts w:hint="eastAsia"/>
          <w:color w:val="auto"/>
          <w:highlight w:val="none"/>
          <w:lang w:val="en-US" w:eastAsia="zh-CN"/>
        </w:rPr>
        <w:t>分别为2050201</w:t>
      </w:r>
      <w:r>
        <w:rPr>
          <w:rFonts w:hint="eastAsia"/>
          <w:color w:val="auto"/>
          <w:highlight w:val="none"/>
          <w:lang w:eastAsia="zh-CN"/>
        </w:rPr>
        <w:t>，</w:t>
      </w:r>
      <w:r>
        <w:rPr>
          <w:rFonts w:hint="eastAsia"/>
          <w:color w:val="auto"/>
          <w:highlight w:val="none"/>
        </w:rPr>
        <w:t>经济分类为</w:t>
      </w:r>
      <w:r>
        <w:rPr>
          <w:rFonts w:hint="eastAsia"/>
          <w:color w:val="auto"/>
          <w:highlight w:val="none"/>
          <w:lang w:val="en-US" w:eastAsia="zh-CN"/>
        </w:rPr>
        <w:t>商品和服务支出</w:t>
      </w:r>
      <w:r>
        <w:rPr>
          <w:rFonts w:hint="eastAsia"/>
          <w:color w:val="auto"/>
          <w:highlight w:val="none"/>
        </w:rPr>
        <w:t>支出</w:t>
      </w:r>
      <w:r>
        <w:rPr>
          <w:rFonts w:hint="eastAsia"/>
          <w:color w:val="auto"/>
          <w:highlight w:val="none"/>
          <w:lang w:eastAsia="zh-CN"/>
        </w:rPr>
        <w:t>，</w:t>
      </w:r>
      <w:r>
        <w:rPr>
          <w:rFonts w:hint="eastAsia"/>
          <w:color w:val="auto"/>
          <w:highlight w:val="none"/>
        </w:rPr>
        <w:t>根据《</w:t>
      </w:r>
      <w:r>
        <w:rPr>
          <w:rFonts w:hint="eastAsia"/>
          <w:color w:val="auto"/>
          <w:highlight w:val="none"/>
          <w:lang w:val="en-US" w:eastAsia="zh-CN"/>
        </w:rPr>
        <w:t>中华人民共和国</w:t>
      </w:r>
      <w:r>
        <w:rPr>
          <w:rFonts w:hint="eastAsia"/>
          <w:color w:val="auto"/>
          <w:highlight w:val="none"/>
        </w:rPr>
        <w:t>预算法》属于公共财政支持范围，符合中央、地方事权支出责任划分原则；经检查财政项目指标大平台，本项目不存在重复。</w:t>
      </w:r>
    </w:p>
    <w:p w14:paraId="0CA1E494">
      <w:pPr>
        <w:bidi w:val="0"/>
        <w:rPr>
          <w:rFonts w:hint="eastAsia"/>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w:t>
      </w:r>
      <w:r>
        <w:rPr>
          <w:rFonts w:hint="eastAsia"/>
          <w:color w:val="auto"/>
          <w:highlight w:val="none"/>
          <w:lang w:eastAsia="zh-CN"/>
        </w:rPr>
        <w:t>，本项目立项依据充分</w:t>
      </w:r>
      <w:r>
        <w:rPr>
          <w:rFonts w:hint="eastAsia"/>
          <w:color w:val="auto"/>
          <w:highlight w:val="none"/>
        </w:rPr>
        <w:t>。</w:t>
      </w:r>
    </w:p>
    <w:p w14:paraId="65C17298">
      <w:pPr>
        <w:pageBreakBefore w:val="0"/>
        <w:kinsoku/>
        <w:wordWrap/>
        <w:topLinePunct w:val="0"/>
        <w:autoSpaceDE/>
        <w:autoSpaceDN/>
        <w:bidi w:val="0"/>
        <w:spacing w:line="560" w:lineRule="exact"/>
        <w:ind w:right="0" w:rightChars="0" w:firstLine="643"/>
        <w:rPr>
          <w:rFonts w:hint="default" w:ascii="仿宋_GB2312" w:eastAsia="仿宋_GB2312" w:cs="仿宋_GB2312"/>
          <w:b/>
          <w:bCs/>
          <w:color w:val="auto"/>
          <w:sz w:val="28"/>
          <w:szCs w:val="28"/>
          <w:highlight w:val="none"/>
          <w:lang w:val="en-US" w:eastAsia="zh-CN"/>
        </w:rPr>
      </w:pPr>
      <w:r>
        <w:rPr>
          <w:rFonts w:hint="eastAsia" w:ascii="仿宋_GB2312" w:cs="仿宋_GB2312"/>
          <w:b/>
          <w:bCs/>
          <w:color w:val="auto"/>
          <w:sz w:val="28"/>
          <w:szCs w:val="28"/>
          <w:highlight w:val="none"/>
        </w:rPr>
        <w:t>（2）立项程序规范性：</w:t>
      </w:r>
    </w:p>
    <w:p w14:paraId="64BDE1C9">
      <w:pPr>
        <w:bidi w:val="0"/>
        <w:rPr>
          <w:rFonts w:hint="eastAsia"/>
          <w:color w:val="auto"/>
          <w:highlight w:val="none"/>
          <w:lang w:eastAsia="zh-CN"/>
        </w:rPr>
      </w:pPr>
      <w:r>
        <w:rPr>
          <w:rFonts w:hint="eastAsia"/>
          <w:color w:val="auto"/>
          <w:highlight w:val="none"/>
          <w:lang w:val="en-US" w:eastAsia="zh-CN"/>
        </w:rPr>
        <w:t>该</w:t>
      </w:r>
      <w:r>
        <w:rPr>
          <w:rFonts w:hint="eastAsia"/>
          <w:color w:val="auto"/>
          <w:highlight w:val="none"/>
        </w:rPr>
        <w:t>项目按照规定的《中华人民共和国预算法》</w:t>
      </w:r>
      <w:r>
        <w:rPr>
          <w:rFonts w:hint="eastAsia"/>
          <w:color w:val="auto"/>
          <w:highlight w:val="none"/>
          <w:lang w:eastAsia="zh-CN"/>
        </w:rPr>
        <w:t>《中华人民共和国预算法实施条例》等</w:t>
      </w:r>
      <w:r>
        <w:rPr>
          <w:rFonts w:hint="eastAsia"/>
          <w:color w:val="auto"/>
          <w:highlight w:val="none"/>
        </w:rPr>
        <w:t>程序申请设立</w:t>
      </w:r>
      <w:r>
        <w:rPr>
          <w:rFonts w:hint="eastAsia"/>
          <w:color w:val="auto"/>
          <w:highlight w:val="none"/>
          <w:lang w:eastAsia="zh-CN"/>
        </w:rPr>
        <w:t>；</w:t>
      </w:r>
      <w:r>
        <w:rPr>
          <w:rFonts w:hint="eastAsia"/>
          <w:color w:val="auto"/>
          <w:highlight w:val="none"/>
        </w:rPr>
        <w:t>事前已经过必要的集体决策</w:t>
      </w:r>
      <w:r>
        <w:rPr>
          <w:rFonts w:hint="eastAsia"/>
          <w:color w:val="auto"/>
          <w:highlight w:val="none"/>
          <w:lang w:eastAsia="zh-CN"/>
        </w:rPr>
        <w:t>；</w:t>
      </w:r>
      <w:r>
        <w:rPr>
          <w:rFonts w:hint="eastAsia"/>
          <w:color w:val="auto"/>
          <w:highlight w:val="none"/>
          <w:lang w:val="en-US" w:eastAsia="zh-CN"/>
        </w:rPr>
        <w:t>单位按照程序向托克逊县人民政府财政局提交了资金申请报告、批复等相关</w:t>
      </w:r>
      <w:r>
        <w:rPr>
          <w:rFonts w:hint="eastAsia"/>
          <w:color w:val="auto"/>
          <w:highlight w:val="none"/>
        </w:rPr>
        <w:t>符合要求</w:t>
      </w:r>
      <w:r>
        <w:rPr>
          <w:rFonts w:hint="eastAsia"/>
          <w:color w:val="auto"/>
          <w:highlight w:val="none"/>
          <w:lang w:val="en-US" w:eastAsia="zh-CN"/>
        </w:rPr>
        <w:t>的申请</w:t>
      </w:r>
      <w:r>
        <w:rPr>
          <w:rFonts w:hint="eastAsia"/>
          <w:color w:val="auto"/>
          <w:highlight w:val="none"/>
        </w:rPr>
        <w:t>材料</w:t>
      </w:r>
      <w:r>
        <w:rPr>
          <w:rFonts w:hint="eastAsia"/>
          <w:color w:val="auto"/>
          <w:highlight w:val="none"/>
          <w:lang w:val="en-US" w:eastAsia="zh-CN"/>
        </w:rPr>
        <w:t>并通过审批</w:t>
      </w:r>
      <w:r>
        <w:rPr>
          <w:rFonts w:hint="eastAsia"/>
          <w:color w:val="auto"/>
          <w:highlight w:val="none"/>
          <w:lang w:eastAsia="zh-CN"/>
        </w:rPr>
        <w:t>。</w:t>
      </w:r>
    </w:p>
    <w:p w14:paraId="53C647DE">
      <w:pPr>
        <w:bidi w:val="0"/>
        <w:rPr>
          <w:color w:val="auto"/>
          <w:highlight w:val="none"/>
        </w:rPr>
      </w:pPr>
      <w:r>
        <w:rPr>
          <w:rFonts w:hint="eastAsia"/>
          <w:color w:val="auto"/>
          <w:highlight w:val="none"/>
        </w:rPr>
        <w:t>综上</w:t>
      </w:r>
      <w:r>
        <w:rPr>
          <w:rFonts w:hint="eastAsia"/>
          <w:color w:val="auto"/>
          <w:highlight w:val="none"/>
          <w:lang w:eastAsia="zh-CN"/>
        </w:rPr>
        <w:t>所述</w:t>
      </w:r>
      <w:r>
        <w:rPr>
          <w:rFonts w:hint="eastAsia"/>
          <w:color w:val="auto"/>
          <w:highlight w:val="none"/>
        </w:rPr>
        <w:t>，该指标满分</w:t>
      </w:r>
      <w:r>
        <w:rPr>
          <w:rFonts w:hint="eastAsia"/>
          <w:color w:val="auto"/>
          <w:highlight w:val="none"/>
          <w:lang w:val="en-US" w:eastAsia="zh-CN"/>
        </w:rPr>
        <w:t>3</w:t>
      </w:r>
      <w:r>
        <w:rPr>
          <w:rFonts w:hint="eastAsia"/>
          <w:color w:val="auto"/>
          <w:highlight w:val="none"/>
        </w:rPr>
        <w:t>分，根据评分标准得</w:t>
      </w:r>
      <w:r>
        <w:rPr>
          <w:rFonts w:hint="eastAsia"/>
          <w:color w:val="auto"/>
          <w:highlight w:val="none"/>
          <w:lang w:val="en-US" w:eastAsia="zh-CN"/>
        </w:rPr>
        <w:t>3</w:t>
      </w:r>
      <w:r>
        <w:rPr>
          <w:rFonts w:hint="eastAsia"/>
          <w:color w:val="auto"/>
          <w:highlight w:val="none"/>
        </w:rPr>
        <w:t>分</w:t>
      </w:r>
      <w:r>
        <w:rPr>
          <w:rFonts w:hint="eastAsia"/>
          <w:color w:val="auto"/>
          <w:highlight w:val="none"/>
          <w:lang w:eastAsia="zh-CN"/>
        </w:rPr>
        <w:t>，本项目立项程序合规</w:t>
      </w:r>
      <w:r>
        <w:rPr>
          <w:rFonts w:hint="eastAsia"/>
          <w:color w:val="auto"/>
          <w:highlight w:val="none"/>
        </w:rPr>
        <w:t>。</w:t>
      </w:r>
    </w:p>
    <w:p w14:paraId="1C3A005D">
      <w:pPr>
        <w:pStyle w:val="6"/>
        <w:bidi w:val="0"/>
        <w:rPr>
          <w:rFonts w:hint="eastAsia"/>
          <w:color w:val="auto"/>
          <w:highlight w:val="none"/>
          <w:lang w:val="en-US" w:eastAsia="zh-CN"/>
        </w:rPr>
      </w:pPr>
      <w:r>
        <w:rPr>
          <w:rFonts w:hint="eastAsia"/>
          <w:color w:val="auto"/>
          <w:highlight w:val="none"/>
          <w:lang w:val="en-US" w:eastAsia="zh-CN"/>
        </w:rPr>
        <w:t>2.绩效目标情况分析</w:t>
      </w:r>
    </w:p>
    <w:p w14:paraId="2F9568B8">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）绩效目标合理性</w:t>
      </w:r>
      <w:r>
        <w:rPr>
          <w:rFonts w:hint="eastAsia" w:ascii="仿宋_GB2312" w:cs="仿宋_GB2312"/>
          <w:color w:val="auto"/>
          <w:sz w:val="28"/>
          <w:szCs w:val="28"/>
          <w:highlight w:val="none"/>
        </w:rPr>
        <w:t>：</w:t>
      </w:r>
    </w:p>
    <w:p w14:paraId="75463589">
      <w:pPr>
        <w:bidi w:val="0"/>
        <w:rPr>
          <w:rFonts w:hint="eastAsia"/>
          <w:color w:val="auto"/>
          <w:highlight w:val="none"/>
          <w:lang w:val="en-US" w:eastAsia="zh-CN"/>
        </w:rPr>
      </w:pPr>
      <w:r>
        <w:rPr>
          <w:rFonts w:hint="eastAsia"/>
          <w:color w:val="auto"/>
          <w:highlight w:val="none"/>
        </w:rPr>
        <w:t>①本项目已设置年度绩效目标，具体内容为</w:t>
      </w:r>
      <w:r>
        <w:rPr>
          <w:rFonts w:hint="eastAsia"/>
          <w:color w:val="auto"/>
          <w:highlight w:val="none"/>
          <w:lang w:eastAsia="zh-CN"/>
        </w:rPr>
        <w:t>：</w:t>
      </w:r>
      <w:r>
        <w:rPr>
          <w:rFonts w:hint="eastAsia"/>
          <w:color w:val="auto"/>
          <w:highlight w:val="none"/>
          <w:lang w:val="en-US" w:eastAsia="zh-CN"/>
        </w:rPr>
        <w:t>保障我片区686名农村在园幼儿免费接受学前三年教育,提高我县农村学前国语教育覆盖率，完善学前教育体系，持续推进学前教育事业发展。</w:t>
      </w:r>
    </w:p>
    <w:p w14:paraId="012F9853">
      <w:pPr>
        <w:bidi w:val="0"/>
        <w:rPr>
          <w:rFonts w:hint="eastAsia"/>
          <w:color w:val="auto"/>
          <w:highlight w:val="none"/>
        </w:rPr>
      </w:pPr>
      <w:r>
        <w:rPr>
          <w:rFonts w:hint="eastAsia"/>
          <w:color w:val="auto"/>
          <w:highlight w:val="none"/>
        </w:rPr>
        <w:t>②本</w:t>
      </w:r>
      <w:r>
        <w:rPr>
          <w:rFonts w:hint="eastAsia"/>
          <w:color w:val="auto"/>
          <w:highlight w:val="none"/>
          <w:lang w:eastAsia="zh-CN"/>
        </w:rPr>
        <w:t>项目绩效目标与实际工作内容具有相关性；</w:t>
      </w:r>
    </w:p>
    <w:p w14:paraId="24F59A32">
      <w:pPr>
        <w:bidi w:val="0"/>
        <w:rPr>
          <w:rFonts w:hint="eastAsia"/>
          <w:color w:val="auto"/>
          <w:highlight w:val="none"/>
        </w:rPr>
      </w:pPr>
      <w:r>
        <w:rPr>
          <w:rFonts w:hint="eastAsia"/>
          <w:color w:val="auto"/>
          <w:highlight w:val="none"/>
        </w:rPr>
        <w:t>③本项目按照绩效目标完成</w:t>
      </w:r>
      <w:r>
        <w:rPr>
          <w:rFonts w:hint="eastAsia"/>
          <w:color w:val="auto"/>
          <w:highlight w:val="none"/>
          <w:lang w:val="en-US" w:eastAsia="zh-CN"/>
        </w:rPr>
        <w:t>了大部分产出指标和效益指标</w:t>
      </w:r>
      <w:r>
        <w:rPr>
          <w:rFonts w:hint="eastAsia"/>
          <w:color w:val="auto"/>
          <w:highlight w:val="none"/>
        </w:rPr>
        <w:t>，预期产出效益和效果符合正常的业绩水平。</w:t>
      </w:r>
    </w:p>
    <w:p w14:paraId="15B94771">
      <w:pPr>
        <w:bidi w:val="0"/>
        <w:rPr>
          <w:rFonts w:hint="eastAsia"/>
          <w:color w:val="auto"/>
          <w:highlight w:val="none"/>
          <w:lang w:val="en-US" w:eastAsia="zh-CN"/>
        </w:rPr>
      </w:pPr>
      <w:r>
        <w:rPr>
          <w:rFonts w:hint="eastAsia"/>
          <w:color w:val="auto"/>
          <w:highlight w:val="none"/>
        </w:rPr>
        <w:t>④</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lang w:val="en-US" w:eastAsia="zh-CN"/>
        </w:rPr>
        <w:t>83.87</w:t>
      </w:r>
      <w:r>
        <w:rPr>
          <w:color w:val="auto"/>
          <w:highlight w:val="none"/>
        </w:rPr>
        <w:t>万元，《财政项目支出绩效目标表</w:t>
      </w:r>
      <w:r>
        <w:rPr>
          <w:rFonts w:hint="eastAsia"/>
          <w:color w:val="auto"/>
          <w:highlight w:val="none"/>
        </w:rPr>
        <w:t>》</w:t>
      </w:r>
      <w:r>
        <w:rPr>
          <w:color w:val="auto"/>
          <w:highlight w:val="none"/>
        </w:rPr>
        <w:t>中预算金额为</w:t>
      </w:r>
      <w:r>
        <w:rPr>
          <w:rFonts w:hint="eastAsia"/>
          <w:color w:val="auto"/>
          <w:highlight w:val="none"/>
          <w:lang w:val="en-US" w:eastAsia="zh-CN"/>
        </w:rPr>
        <w:t>83.87</w:t>
      </w:r>
      <w:r>
        <w:rPr>
          <w:color w:val="auto"/>
          <w:highlight w:val="none"/>
        </w:rPr>
        <w:t>万元，</w:t>
      </w:r>
      <w:r>
        <w:rPr>
          <w:rFonts w:hint="eastAsia"/>
          <w:color w:val="auto"/>
          <w:highlight w:val="none"/>
        </w:rPr>
        <w:t>预算确定的项目资金与预算确定的</w:t>
      </w:r>
      <w:r>
        <w:rPr>
          <w:rFonts w:hint="eastAsia"/>
          <w:color w:val="auto"/>
          <w:highlight w:val="none"/>
          <w:lang w:val="en-US" w:eastAsia="zh-CN"/>
        </w:rPr>
        <w:t>项目投资额相匹配。</w:t>
      </w:r>
    </w:p>
    <w:p w14:paraId="5C70D176">
      <w:pPr>
        <w:bidi w:val="0"/>
        <w:rPr>
          <w:rFonts w:hint="eastAsia"/>
          <w:color w:val="auto"/>
          <w:highlight w:val="none"/>
          <w:lang w:val="en-US" w:eastAsia="zh-CN"/>
        </w:rPr>
      </w:pPr>
      <w:r>
        <w:rPr>
          <w:rFonts w:hint="eastAsia"/>
          <w:color w:val="auto"/>
          <w:highlight w:val="none"/>
          <w:lang w:val="en-US" w:eastAsia="zh-CN"/>
        </w:rPr>
        <w:t>综上所述，该指标满分4分，根据评分标准得4分，绩效目标设置合理。</w:t>
      </w:r>
    </w:p>
    <w:p w14:paraId="786A059C">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）绩效指标明确性：</w:t>
      </w:r>
    </w:p>
    <w:p w14:paraId="1FBA0C87">
      <w:pPr>
        <w:bidi w:val="0"/>
        <w:rPr>
          <w:rFonts w:hint="eastAsia"/>
          <w:color w:val="auto"/>
          <w:highlight w:val="none"/>
          <w:lang w:eastAsia="zh-CN"/>
        </w:rPr>
      </w:pPr>
      <w:r>
        <w:rPr>
          <w:rFonts w:hint="eastAsia"/>
          <w:color w:val="auto"/>
          <w:highlight w:val="none"/>
          <w:lang w:eastAsia="zh-CN"/>
        </w:rPr>
        <w:t>经检查，我单位年初设置的《项目支出绩效目标表》：</w:t>
      </w:r>
    </w:p>
    <w:p w14:paraId="01B4B561">
      <w:pPr>
        <w:bidi w:val="0"/>
        <w:rPr>
          <w:rFonts w:hint="eastAsia"/>
          <w:color w:val="auto"/>
          <w:highlight w:val="none"/>
          <w:lang w:eastAsia="zh-CN"/>
        </w:rPr>
      </w:pPr>
      <w:r>
        <w:rPr>
          <w:rFonts w:hint="eastAsia"/>
          <w:color w:val="auto"/>
          <w:highlight w:val="none"/>
        </w:rPr>
        <w:t>①</w:t>
      </w:r>
      <w:r>
        <w:rPr>
          <w:rFonts w:hint="eastAsia"/>
          <w:color w:val="auto"/>
          <w:highlight w:val="none"/>
          <w:lang w:val="en-US" w:eastAsia="zh-CN"/>
        </w:rPr>
        <w:t>已</w:t>
      </w:r>
      <w:r>
        <w:rPr>
          <w:rFonts w:hint="eastAsia"/>
          <w:color w:val="auto"/>
          <w:highlight w:val="none"/>
          <w:lang w:eastAsia="zh-CN"/>
        </w:rPr>
        <w:t>将项目绩效目标细化分解为具体的绩效指标，</w:t>
      </w:r>
      <w:r>
        <w:rPr>
          <w:rFonts w:hint="eastAsia"/>
          <w:color w:val="auto"/>
          <w:highlight w:val="none"/>
          <w:lang w:val="en-US" w:eastAsia="zh-CN"/>
        </w:rPr>
        <w:t>指标</w:t>
      </w:r>
      <w:r>
        <w:rPr>
          <w:rFonts w:hint="eastAsia"/>
          <w:color w:val="auto"/>
          <w:highlight w:val="none"/>
          <w:lang w:eastAsia="zh-CN"/>
        </w:rPr>
        <w:t>量化率达到</w:t>
      </w:r>
      <w:r>
        <w:rPr>
          <w:rFonts w:hint="eastAsia"/>
          <w:color w:val="auto"/>
          <w:highlight w:val="none"/>
          <w:lang w:val="en-US" w:eastAsia="zh-CN"/>
        </w:rPr>
        <w:t>81.82%</w:t>
      </w:r>
      <w:r>
        <w:rPr>
          <w:rFonts w:hint="eastAsia"/>
          <w:color w:val="auto"/>
          <w:highlight w:val="none"/>
          <w:lang w:eastAsia="zh-CN"/>
        </w:rPr>
        <w:t>；</w:t>
      </w:r>
    </w:p>
    <w:p w14:paraId="74DCCF04">
      <w:pPr>
        <w:bidi w:val="0"/>
        <w:rPr>
          <w:rFonts w:hint="eastAsia" w:cs="Times New Roman"/>
          <w:color w:val="auto"/>
          <w:highlight w:val="none"/>
          <w:lang w:val="en-US" w:eastAsia="zh-CN"/>
        </w:rPr>
      </w:pPr>
      <w:r>
        <w:rPr>
          <w:rFonts w:hint="eastAsia"/>
          <w:color w:val="auto"/>
          <w:highlight w:val="none"/>
        </w:rPr>
        <w:t>②</w:t>
      </w:r>
      <w:r>
        <w:rPr>
          <w:rFonts w:hint="eastAsia"/>
          <w:color w:val="auto"/>
          <w:highlight w:val="none"/>
          <w:lang w:val="en-US" w:eastAsia="zh-CN"/>
        </w:rPr>
        <w:t>根据</w:t>
      </w:r>
      <w:r>
        <w:rPr>
          <w:rFonts w:hint="eastAsia"/>
          <w:color w:val="auto"/>
          <w:highlight w:val="none"/>
          <w:lang w:eastAsia="zh-CN"/>
        </w:rPr>
        <w:t>《项目支出绩效目标表》，发现</w:t>
      </w:r>
      <w:r>
        <w:rPr>
          <w:rFonts w:hint="eastAsia"/>
          <w:color w:val="auto"/>
          <w:highlight w:val="none"/>
          <w:lang w:val="en-US" w:eastAsia="zh-CN"/>
        </w:rPr>
        <w:t>项目绩效指标设置不规范，成本指标设置不明确，未有效反</w:t>
      </w:r>
      <w:r>
        <w:rPr>
          <w:rFonts w:hint="eastAsia" w:ascii="Times New Roman" w:hAnsi="Times New Roman" w:cs="Times New Roman"/>
          <w:color w:val="auto"/>
          <w:highlight w:val="none"/>
          <w:lang w:val="en-US" w:eastAsia="zh-CN"/>
        </w:rPr>
        <w:t>映项目资金支出计划，导致指标业绩值不可衡量，根据评分要点，扣1.2分；改进措施：加强预算绩效管理工作的学习和考核，提高相关人员的预算管理能力，将项目绩效目标按照预算编制情况和资金支出计划合理设置成本指标和指标值</w:t>
      </w:r>
      <w:r>
        <w:rPr>
          <w:rFonts w:hint="eastAsia" w:cs="Times New Roman"/>
          <w:color w:val="auto"/>
          <w:highlight w:val="none"/>
          <w:lang w:val="en-US" w:eastAsia="zh-CN"/>
        </w:rPr>
        <w:t>；</w:t>
      </w:r>
    </w:p>
    <w:p w14:paraId="06655A9C">
      <w:pPr>
        <w:bidi w:val="0"/>
        <w:rPr>
          <w:rFonts w:hint="eastAsia"/>
          <w:color w:val="auto"/>
          <w:highlight w:val="none"/>
          <w:lang w:eastAsia="zh-CN"/>
        </w:rPr>
      </w:pPr>
      <w:r>
        <w:rPr>
          <w:rFonts w:hint="eastAsia"/>
          <w:color w:val="auto"/>
          <w:highlight w:val="none"/>
          <w:lang w:eastAsia="zh-CN"/>
        </w:rPr>
        <w:t>③三级指标的年度指标值与年度绩效目标中任务数一致。</w:t>
      </w:r>
    </w:p>
    <w:p w14:paraId="503C2ACB">
      <w:pPr>
        <w:bidi w:val="0"/>
        <w:rPr>
          <w:rFonts w:hint="eastAsia" w:ascii="仿宋_GB2312" w:cs="仿宋_GB2312"/>
          <w:color w:val="auto"/>
          <w:szCs w:val="28"/>
          <w:highlight w:val="none"/>
        </w:rPr>
      </w:pPr>
      <w:r>
        <w:rPr>
          <w:rFonts w:hint="eastAsia"/>
          <w:color w:val="auto"/>
          <w:highlight w:val="none"/>
          <w:lang w:eastAsia="zh-CN"/>
        </w:rPr>
        <w:t>综上所述，本指标满分为</w:t>
      </w:r>
      <w:r>
        <w:rPr>
          <w:rFonts w:hint="eastAsia"/>
          <w:color w:val="auto"/>
          <w:highlight w:val="none"/>
          <w:lang w:val="en-US" w:eastAsia="zh-CN"/>
        </w:rPr>
        <w:t>3</w:t>
      </w:r>
      <w:r>
        <w:rPr>
          <w:rFonts w:hint="eastAsia"/>
          <w:color w:val="auto"/>
          <w:highlight w:val="none"/>
          <w:lang w:eastAsia="zh-CN"/>
        </w:rPr>
        <w:t>分，根</w:t>
      </w:r>
      <w:r>
        <w:rPr>
          <w:rFonts w:hint="eastAsia" w:ascii="仿宋_GB2312" w:cs="仿宋_GB2312"/>
          <w:color w:val="auto"/>
          <w:szCs w:val="28"/>
          <w:highlight w:val="none"/>
          <w:lang w:eastAsia="zh-CN"/>
        </w:rPr>
        <w:t>据评分标准得</w:t>
      </w:r>
      <w:r>
        <w:rPr>
          <w:rFonts w:hint="eastAsia" w:ascii="仿宋_GB2312" w:cs="仿宋_GB2312"/>
          <w:color w:val="auto"/>
          <w:szCs w:val="28"/>
          <w:highlight w:val="none"/>
          <w:lang w:val="en-US" w:eastAsia="zh-CN"/>
        </w:rPr>
        <w:t>1.8</w:t>
      </w:r>
      <w:r>
        <w:rPr>
          <w:rFonts w:hint="eastAsia" w:ascii="仿宋_GB2312" w:cs="仿宋_GB2312"/>
          <w:color w:val="auto"/>
          <w:szCs w:val="28"/>
          <w:highlight w:val="none"/>
          <w:lang w:eastAsia="zh-CN"/>
        </w:rPr>
        <w:t>分，本项目所设置绩效指标不够明确。</w:t>
      </w:r>
    </w:p>
    <w:p w14:paraId="288E6E96">
      <w:pPr>
        <w:pStyle w:val="6"/>
        <w:bidi w:val="0"/>
        <w:rPr>
          <w:color w:val="auto"/>
          <w:highlight w:val="none"/>
        </w:rPr>
      </w:pPr>
      <w:r>
        <w:rPr>
          <w:rFonts w:hint="eastAsia"/>
          <w:color w:val="auto"/>
          <w:highlight w:val="none"/>
          <w:lang w:val="en-US" w:eastAsia="zh-CN"/>
        </w:rPr>
        <w:t>3.资金投入情况分析</w:t>
      </w:r>
    </w:p>
    <w:p w14:paraId="17DBE44F">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1</w:t>
      </w:r>
      <w:r>
        <w:rPr>
          <w:rFonts w:hint="eastAsia" w:ascii="仿宋_GB2312" w:cs="仿宋_GB2312"/>
          <w:b/>
          <w:bCs/>
          <w:color w:val="auto"/>
          <w:sz w:val="28"/>
          <w:szCs w:val="28"/>
          <w:highlight w:val="none"/>
        </w:rPr>
        <w:t>）预算编制科学性：</w:t>
      </w:r>
      <w:r>
        <w:rPr>
          <w:rFonts w:hint="eastAsia" w:ascii="仿宋_GB2312" w:cs="仿宋_GB2312"/>
          <w:color w:val="auto"/>
          <w:sz w:val="28"/>
          <w:szCs w:val="28"/>
          <w:highlight w:val="none"/>
        </w:rPr>
        <w:t xml:space="preserve"> </w:t>
      </w:r>
    </w:p>
    <w:p w14:paraId="123F64D5">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①本项目预算编制通过前期调研</w:t>
      </w:r>
      <w:r>
        <w:rPr>
          <w:rFonts w:hint="eastAsia" w:ascii="仿宋_GB2312" w:cs="仿宋_GB2312"/>
          <w:color w:val="auto"/>
          <w:sz w:val="28"/>
          <w:szCs w:val="28"/>
          <w:highlight w:val="none"/>
          <w:lang w:val="en-US" w:eastAsia="zh-CN"/>
        </w:rPr>
        <w:t>和类似项目对比分析</w:t>
      </w:r>
      <w:r>
        <w:rPr>
          <w:rFonts w:hint="eastAsia" w:ascii="仿宋_GB2312" w:cs="仿宋_GB2312"/>
          <w:color w:val="auto"/>
          <w:sz w:val="28"/>
          <w:szCs w:val="28"/>
          <w:highlight w:val="none"/>
        </w:rPr>
        <w:t>，预算编制</w:t>
      </w:r>
      <w:r>
        <w:rPr>
          <w:rFonts w:hint="eastAsia" w:ascii="仿宋_GB2312" w:cs="仿宋_GB2312"/>
          <w:color w:val="auto"/>
          <w:sz w:val="28"/>
          <w:szCs w:val="28"/>
          <w:highlight w:val="none"/>
          <w:lang w:eastAsia="zh-CN"/>
        </w:rPr>
        <w:t>经过</w:t>
      </w:r>
      <w:r>
        <w:rPr>
          <w:rFonts w:hint="eastAsia" w:ascii="仿宋_GB2312" w:cs="仿宋_GB2312"/>
          <w:color w:val="auto"/>
          <w:sz w:val="28"/>
          <w:szCs w:val="28"/>
          <w:highlight w:val="none"/>
        </w:rPr>
        <w:t>科学论证</w:t>
      </w:r>
      <w:r>
        <w:rPr>
          <w:rFonts w:hint="eastAsia" w:ascii="仿宋_GB2312" w:cs="仿宋_GB2312"/>
          <w:color w:val="auto"/>
          <w:sz w:val="28"/>
          <w:szCs w:val="28"/>
          <w:highlight w:val="none"/>
          <w:lang w:eastAsia="zh-CN"/>
        </w:rPr>
        <w:t>，且预算内容与项目内容相匹配；</w:t>
      </w:r>
    </w:p>
    <w:p w14:paraId="3C387BB9">
      <w:pPr>
        <w:pageBreakBefore w:val="0"/>
        <w:kinsoku/>
        <w:wordWrap/>
        <w:topLinePunct w:val="0"/>
        <w:autoSpaceDE/>
        <w:autoSpaceDN/>
        <w:bidi w:val="0"/>
        <w:spacing w:line="560" w:lineRule="exact"/>
        <w:ind w:right="0" w:rightChars="0" w:firstLine="643"/>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②</w:t>
      </w:r>
      <w:r>
        <w:rPr>
          <w:rFonts w:hint="eastAsia" w:ascii="仿宋_GB2312" w:cs="仿宋_GB2312"/>
          <w:color w:val="auto"/>
          <w:sz w:val="28"/>
          <w:szCs w:val="28"/>
          <w:highlight w:val="none"/>
          <w:lang w:val="en-US" w:eastAsia="zh-CN"/>
        </w:rPr>
        <w:t>项目全年预算资金</w:t>
      </w:r>
      <w:r>
        <w:rPr>
          <w:rFonts w:hint="eastAsia" w:ascii="仿宋_GB2312" w:cs="仿宋_GB2312"/>
          <w:color w:val="auto"/>
          <w:sz w:val="28"/>
          <w:szCs w:val="28"/>
          <w:highlight w:val="none"/>
        </w:rPr>
        <w:t>为</w:t>
      </w:r>
      <w:r>
        <w:rPr>
          <w:rFonts w:hint="eastAsia" w:ascii="仿宋_GB2312" w:cs="仿宋_GB2312"/>
          <w:color w:val="auto"/>
          <w:sz w:val="28"/>
          <w:szCs w:val="28"/>
          <w:highlight w:val="none"/>
          <w:lang w:val="en-US" w:eastAsia="zh-CN"/>
        </w:rPr>
        <w:t>83.87</w:t>
      </w:r>
      <w:r>
        <w:rPr>
          <w:rFonts w:hint="eastAsia" w:ascii="仿宋_GB2312" w:cs="仿宋_GB2312"/>
          <w:color w:val="auto"/>
          <w:sz w:val="28"/>
          <w:szCs w:val="28"/>
          <w:highlight w:val="none"/>
        </w:rPr>
        <w:t>万元，主要用于</w:t>
      </w:r>
      <w:r>
        <w:rPr>
          <w:rFonts w:hint="eastAsia" w:ascii="仿宋_GB2312" w:cs="仿宋_GB2312"/>
          <w:color w:val="auto"/>
          <w:sz w:val="28"/>
          <w:szCs w:val="28"/>
          <w:highlight w:val="none"/>
          <w:lang w:eastAsia="zh-CN"/>
        </w:rPr>
        <w:t>为在园幼儿提供学前教育而正常发生的日常</w:t>
      </w:r>
      <w:r>
        <w:rPr>
          <w:rFonts w:hint="eastAsia"/>
          <w:color w:val="auto"/>
          <w:highlight w:val="none"/>
          <w:lang w:val="en-US" w:eastAsia="zh-CN"/>
        </w:rPr>
        <w:t>办公费、伙食费、取暖费、电费、维修费、培训费等</w:t>
      </w:r>
      <w:r>
        <w:rPr>
          <w:rFonts w:hint="eastAsia" w:ascii="仿宋_GB2312" w:cs="仿宋_GB2312"/>
          <w:color w:val="auto"/>
          <w:sz w:val="28"/>
          <w:szCs w:val="28"/>
          <w:highlight w:val="none"/>
        </w:rPr>
        <w:t>，</w:t>
      </w:r>
      <w:r>
        <w:rPr>
          <w:rFonts w:hint="eastAsia"/>
          <w:color w:val="auto"/>
          <w:highlight w:val="none"/>
          <w:lang w:eastAsia="zh-CN"/>
        </w:rPr>
        <w:t>预算内容与项目内容匹配；</w:t>
      </w:r>
    </w:p>
    <w:p w14:paraId="04BABCB0">
      <w:pPr>
        <w:pageBreakBefore w:val="0"/>
        <w:kinsoku/>
        <w:wordWrap/>
        <w:topLinePunct w:val="0"/>
        <w:autoSpaceDE/>
        <w:autoSpaceDN/>
        <w:bidi w:val="0"/>
        <w:spacing w:line="560" w:lineRule="exact"/>
        <w:ind w:right="0" w:rightChars="0" w:firstLine="643"/>
        <w:rPr>
          <w:rFonts w:hint="eastAsia"/>
          <w:color w:val="auto"/>
          <w:highlight w:val="none"/>
          <w:lang w:eastAsia="zh-CN"/>
        </w:rPr>
      </w:pPr>
      <w:r>
        <w:rPr>
          <w:rFonts w:hint="eastAsia" w:ascii="仿宋_GB2312" w:cs="仿宋_GB2312"/>
          <w:color w:val="auto"/>
          <w:sz w:val="28"/>
          <w:szCs w:val="28"/>
          <w:highlight w:val="none"/>
        </w:rPr>
        <w:t>③我单位在预算申请中严格按照单位标准和数量进行核算，</w:t>
      </w:r>
      <w:r>
        <w:rPr>
          <w:rFonts w:hint="eastAsia" w:ascii="仿宋_GB2312" w:cs="仿宋_GB2312"/>
          <w:color w:val="auto"/>
          <w:sz w:val="28"/>
          <w:szCs w:val="28"/>
          <w:highlight w:val="none"/>
          <w:lang w:eastAsia="zh-CN"/>
        </w:rPr>
        <w:t>由于</w:t>
      </w:r>
      <w:r>
        <w:rPr>
          <w:rFonts w:hint="eastAsia"/>
          <w:color w:val="auto"/>
          <w:highlight w:val="none"/>
          <w:lang w:eastAsia="zh-CN"/>
        </w:rPr>
        <w:t>成本指标未按照编制的预算支出填报，无法印证测算依据是否充分、标准，根据评分要点，扣0.8分；改进措施：</w:t>
      </w:r>
      <w:r>
        <w:rPr>
          <w:rFonts w:hint="eastAsia" w:ascii="仿宋_GB2312" w:cs="仿宋_GB2312"/>
          <w:color w:val="auto"/>
          <w:sz w:val="28"/>
          <w:szCs w:val="28"/>
          <w:highlight w:val="none"/>
          <w:lang w:val="en-US" w:eastAsia="zh-CN"/>
        </w:rPr>
        <w:t>注重加强预算编制工作的管理。在编报项目预算时要求指定详细的项目推进计划、明确分工、责任到人，以保证专项资金能够保质保量执行到位。</w:t>
      </w:r>
    </w:p>
    <w:p w14:paraId="39627B5D">
      <w:pPr>
        <w:bidi w:val="0"/>
        <w:rPr>
          <w:b w:val="0"/>
          <w:bCs w:val="0"/>
          <w:color w:val="auto"/>
          <w:highlight w:val="none"/>
        </w:rPr>
      </w:pPr>
      <w:r>
        <w:rPr>
          <w:rFonts w:hint="eastAsia"/>
          <w:color w:val="auto"/>
          <w:highlight w:val="none"/>
        </w:rPr>
        <w:t>④</w:t>
      </w:r>
      <w:r>
        <w:rPr>
          <w:rFonts w:hint="eastAsia"/>
          <w:color w:val="auto"/>
          <w:highlight w:val="none"/>
          <w:lang w:eastAsia="zh-CN"/>
        </w:rPr>
        <w:t>本</w:t>
      </w:r>
      <w:r>
        <w:rPr>
          <w:rFonts w:hint="eastAsia"/>
          <w:color w:val="auto"/>
          <w:highlight w:val="none"/>
          <w:lang w:val="en-US" w:eastAsia="zh-CN"/>
        </w:rPr>
        <w:t>项目资金主要用于支付办公费9.62万元、水费0.5万元、电费17.03万元、邮电费2.71万元、取暖费7.63万元、维修费4.67万元、培训费0.13万元、劳务费1.38万元、其他商品和服务支出10.02万元、助学金26.81万元。</w:t>
      </w:r>
    </w:p>
    <w:p w14:paraId="51259D10">
      <w:pPr>
        <w:pageBreakBefore w:val="0"/>
        <w:kinsoku/>
        <w:wordWrap/>
        <w:topLinePunct w:val="0"/>
        <w:autoSpaceDE/>
        <w:autoSpaceDN/>
        <w:bidi w:val="0"/>
        <w:spacing w:line="560" w:lineRule="exact"/>
        <w:ind w:right="0" w:rightChars="0" w:firstLine="643"/>
        <w:rPr>
          <w:rFonts w:ascii="仿宋_GB2312" w:cs="仿宋_GB2312"/>
          <w:color w:val="auto"/>
          <w:sz w:val="28"/>
          <w:szCs w:val="28"/>
          <w:highlight w:val="none"/>
        </w:rPr>
      </w:pPr>
      <w:r>
        <w:rPr>
          <w:rFonts w:hint="eastAsia" w:ascii="仿宋_GB2312" w:cs="仿宋_GB2312"/>
          <w:color w:val="auto"/>
          <w:sz w:val="28"/>
          <w:szCs w:val="28"/>
          <w:highlight w:val="none"/>
          <w:lang w:eastAsia="zh-CN"/>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lang w:eastAsia="zh-CN"/>
        </w:rPr>
        <w:t>分，根据评分标准得</w:t>
      </w:r>
      <w:r>
        <w:rPr>
          <w:rFonts w:hint="eastAsia" w:ascii="仿宋_GB2312" w:cs="仿宋_GB2312"/>
          <w:color w:val="auto"/>
          <w:sz w:val="28"/>
          <w:szCs w:val="28"/>
          <w:highlight w:val="none"/>
          <w:lang w:val="en-US" w:eastAsia="zh-CN"/>
        </w:rPr>
        <w:t>3.2</w:t>
      </w:r>
      <w:r>
        <w:rPr>
          <w:rFonts w:hint="eastAsia" w:ascii="仿宋_GB2312" w:cs="仿宋_GB2312"/>
          <w:color w:val="auto"/>
          <w:sz w:val="28"/>
          <w:szCs w:val="28"/>
          <w:highlight w:val="none"/>
          <w:lang w:eastAsia="zh-CN"/>
        </w:rPr>
        <w:t>分，本项目预算编制不够科学。</w:t>
      </w:r>
    </w:p>
    <w:p w14:paraId="25394387">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w:t>
      </w:r>
      <w:r>
        <w:rPr>
          <w:rFonts w:hint="eastAsia" w:ascii="仿宋_GB2312" w:cs="仿宋_GB2312"/>
          <w:b/>
          <w:bCs/>
          <w:color w:val="auto"/>
          <w:sz w:val="28"/>
          <w:szCs w:val="28"/>
          <w:highlight w:val="none"/>
          <w:lang w:val="en-US" w:eastAsia="zh-CN"/>
        </w:rPr>
        <w:t>2</w:t>
      </w:r>
      <w:r>
        <w:rPr>
          <w:rFonts w:hint="eastAsia" w:ascii="仿宋_GB2312" w:cs="仿宋_GB2312"/>
          <w:b/>
          <w:bCs/>
          <w:color w:val="auto"/>
          <w:sz w:val="28"/>
          <w:szCs w:val="28"/>
          <w:highlight w:val="none"/>
        </w:rPr>
        <w:t>）资金分配合理性：</w:t>
      </w:r>
    </w:p>
    <w:p w14:paraId="13F5DBE9">
      <w:pPr>
        <w:pageBreakBefore w:val="0"/>
        <w:kinsoku/>
        <w:wordWrap/>
        <w:topLinePunct w:val="0"/>
        <w:autoSpaceDE/>
        <w:autoSpaceDN/>
        <w:bidi w:val="0"/>
        <w:spacing w:line="560" w:lineRule="exact"/>
        <w:ind w:right="0" w:rightChars="0" w:firstLine="643"/>
        <w:rPr>
          <w:rFonts w:hint="eastAsia" w:cs="仿宋_GB2312"/>
          <w:color w:val="auto"/>
          <w:sz w:val="28"/>
          <w:szCs w:val="28"/>
          <w:highlight w:val="none"/>
          <w:lang w:eastAsia="zh-CN"/>
        </w:rPr>
      </w:pPr>
      <w:r>
        <w:rPr>
          <w:rFonts w:hint="eastAsia" w:ascii="仿宋_GB2312" w:cs="仿宋_GB2312"/>
          <w:color w:val="auto"/>
          <w:sz w:val="28"/>
          <w:szCs w:val="28"/>
          <w:highlight w:val="none"/>
        </w:rPr>
        <w:t>①本项目实际分配资金以</w:t>
      </w:r>
      <w:r>
        <w:rPr>
          <w:rFonts w:hint="eastAsia" w:ascii="仿宋_GB2312" w:cs="仿宋_GB2312"/>
          <w:color w:val="auto"/>
          <w:sz w:val="28"/>
          <w:szCs w:val="28"/>
          <w:highlight w:val="none"/>
          <w:lang w:val="en-US" w:eastAsia="zh-CN"/>
        </w:rPr>
        <w:t>2023年学前教育幼儿资助县级配套资金（托财预[2023]1号）</w:t>
      </w:r>
      <w:r>
        <w:rPr>
          <w:rFonts w:hint="eastAsia" w:ascii="仿宋_GB2312" w:cs="仿宋_GB2312"/>
          <w:color w:val="auto"/>
          <w:sz w:val="28"/>
          <w:szCs w:val="28"/>
          <w:highlight w:val="none"/>
        </w:rPr>
        <w:t>为依据进行资金分配，预算资金分配依据充分</w:t>
      </w:r>
      <w:r>
        <w:rPr>
          <w:rFonts w:hint="eastAsia" w:cs="仿宋_GB2312"/>
          <w:color w:val="auto"/>
          <w:sz w:val="28"/>
          <w:szCs w:val="28"/>
          <w:highlight w:val="none"/>
          <w:lang w:eastAsia="zh-CN"/>
        </w:rPr>
        <w:t>。</w:t>
      </w:r>
    </w:p>
    <w:p w14:paraId="2AE71452">
      <w:pPr>
        <w:pageBreakBefore w:val="0"/>
        <w:kinsoku/>
        <w:wordWrap/>
        <w:topLinePunct w:val="0"/>
        <w:autoSpaceDE/>
        <w:autoSpaceDN/>
        <w:bidi w:val="0"/>
        <w:spacing w:line="560" w:lineRule="exact"/>
        <w:ind w:right="0" w:rightChars="0" w:firstLine="643"/>
        <w:rPr>
          <w:rFonts w:hint="eastAsia" w:ascii="Times New Roman" w:hAnsi="Times New Roman"/>
          <w:color w:val="auto"/>
          <w:sz w:val="28"/>
          <w:szCs w:val="28"/>
          <w:highlight w:val="none"/>
          <w:lang w:val="en-US" w:eastAsia="zh-CN"/>
        </w:rPr>
      </w:pPr>
      <w:r>
        <w:rPr>
          <w:rFonts w:hint="eastAsia" w:ascii="仿宋_GB2312" w:cs="仿宋_GB2312"/>
          <w:color w:val="auto"/>
          <w:sz w:val="28"/>
          <w:szCs w:val="28"/>
          <w:highlight w:val="none"/>
        </w:rPr>
        <w:t>②本项目实际到位资金</w:t>
      </w:r>
      <w:r>
        <w:rPr>
          <w:rFonts w:hint="eastAsia"/>
          <w:color w:val="auto"/>
          <w:highlight w:val="none"/>
          <w:lang w:val="en-US" w:eastAsia="zh-CN"/>
        </w:rPr>
        <w:t>83.87</w:t>
      </w:r>
      <w:r>
        <w:rPr>
          <w:rFonts w:hint="eastAsia" w:ascii="仿宋_GB2312" w:cs="仿宋_GB2312"/>
          <w:color w:val="auto"/>
          <w:sz w:val="28"/>
          <w:szCs w:val="28"/>
          <w:highlight w:val="none"/>
        </w:rPr>
        <w:t>万元，实际分配资金与我单位提交申请的资金额度一致，资金分配额度合理，与我单位实际需求相适应</w:t>
      </w:r>
      <w:r>
        <w:rPr>
          <w:rFonts w:hint="eastAsia" w:cs="仿宋_GB2312"/>
          <w:color w:val="auto"/>
          <w:sz w:val="28"/>
          <w:szCs w:val="28"/>
          <w:highlight w:val="none"/>
          <w:lang w:eastAsia="zh-CN"/>
        </w:rPr>
        <w:t>。</w:t>
      </w:r>
    </w:p>
    <w:p w14:paraId="3290DD6F">
      <w:pPr>
        <w:pageBreakBefore w:val="0"/>
        <w:kinsoku/>
        <w:wordWrap/>
        <w:topLinePunct w:val="0"/>
        <w:autoSpaceDE/>
        <w:autoSpaceDN/>
        <w:bidi w:val="0"/>
        <w:spacing w:line="560" w:lineRule="exact"/>
        <w:ind w:right="0" w:rightChars="0" w:firstLine="643"/>
        <w:rPr>
          <w:rFonts w:hint="eastAsia" w:ascii="仿宋_GB2312" w:hAnsi="Times New Roman" w:cs="仿宋_GB2312"/>
          <w:color w:val="auto"/>
          <w:sz w:val="28"/>
          <w:szCs w:val="28"/>
          <w:highlight w:val="none"/>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2</w:t>
      </w:r>
      <w:r>
        <w:rPr>
          <w:rFonts w:hint="eastAsia" w:ascii="仿宋_GB2312" w:cs="仿宋_GB2312"/>
          <w:color w:val="auto"/>
          <w:sz w:val="28"/>
          <w:szCs w:val="28"/>
          <w:highlight w:val="none"/>
        </w:rPr>
        <w:t>分，本项</w:t>
      </w:r>
      <w:r>
        <w:rPr>
          <w:rFonts w:hint="eastAsia" w:ascii="仿宋_GB2312" w:hAnsi="Times New Roman" w:cs="仿宋_GB2312"/>
          <w:color w:val="auto"/>
          <w:sz w:val="28"/>
          <w:szCs w:val="28"/>
          <w:highlight w:val="none"/>
        </w:rPr>
        <w:t>目资金分配合理。</w:t>
      </w:r>
    </w:p>
    <w:p w14:paraId="0F3B12DB">
      <w:pPr>
        <w:pStyle w:val="5"/>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（二）项目过程情况</w:t>
      </w:r>
    </w:p>
    <w:p w14:paraId="467FCAFA">
      <w:pPr>
        <w:bidi w:val="0"/>
        <w:rPr>
          <w:rFonts w:hint="eastAsia" w:ascii="仿宋_GB2312" w:eastAsia="仿宋_GB2312" w:cs="仿宋_GB2312"/>
          <w:color w:val="auto"/>
          <w:sz w:val="28"/>
          <w:szCs w:val="28"/>
          <w:highlight w:val="none"/>
          <w:lang w:eastAsia="zh-CN"/>
        </w:rPr>
      </w:pPr>
      <w:r>
        <w:rPr>
          <w:rFonts w:hint="eastAsia" w:ascii="仿宋_GB2312" w:cs="仿宋_GB2312"/>
          <w:color w:val="auto"/>
          <w:sz w:val="28"/>
          <w:szCs w:val="28"/>
          <w:highlight w:val="none"/>
        </w:rPr>
        <w:t>项目过程类指标包括资金管理和组织实施两方面的内容，由</w:t>
      </w:r>
      <w:r>
        <w:rPr>
          <w:rFonts w:hint="eastAsia"/>
          <w:color w:val="auto"/>
          <w:highlight w:val="none"/>
          <w:lang w:eastAsia="zh-CN"/>
        </w:rPr>
        <w:t>2个二级指标和5个三级指标构成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20</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19.8</w:t>
      </w:r>
      <w:r>
        <w:rPr>
          <w:rFonts w:hint="eastAsia" w:ascii="仿宋_GB2312" w:cs="仿宋_GB2312"/>
          <w:color w:val="auto"/>
          <w:sz w:val="28"/>
          <w:szCs w:val="28"/>
          <w:highlight w:val="none"/>
        </w:rPr>
        <w:t>分</w:t>
      </w:r>
      <w:r>
        <w:rPr>
          <w:rFonts w:hint="eastAsia" w:ascii="仿宋_GB2312" w:cs="仿宋_GB2312"/>
          <w:color w:val="auto"/>
          <w:sz w:val="28"/>
          <w:szCs w:val="28"/>
          <w:highlight w:val="none"/>
          <w:lang w:eastAsia="zh-CN"/>
        </w:rPr>
        <w:t>。</w:t>
      </w:r>
    </w:p>
    <w:p w14:paraId="06444303">
      <w:pPr>
        <w:pStyle w:val="6"/>
        <w:bidi w:val="0"/>
        <w:rPr>
          <w:rFonts w:hint="eastAsia"/>
          <w:color w:val="auto"/>
          <w:highlight w:val="none"/>
          <w:lang w:val="en-US" w:eastAsia="zh-CN"/>
        </w:rPr>
      </w:pPr>
      <w:r>
        <w:rPr>
          <w:rFonts w:hint="eastAsia"/>
          <w:color w:val="auto"/>
          <w:highlight w:val="none"/>
          <w:lang w:val="en-US" w:eastAsia="zh-CN"/>
        </w:rPr>
        <w:t>1.资金管理情况分析</w:t>
      </w:r>
    </w:p>
    <w:p w14:paraId="01C7D00B">
      <w:pPr>
        <w:bidi w:val="0"/>
        <w:rPr>
          <w:rFonts w:hint="eastAsia"/>
          <w:b/>
          <w:bCs/>
          <w:color w:val="auto"/>
          <w:highlight w:val="none"/>
        </w:rPr>
      </w:pPr>
      <w:r>
        <w:rPr>
          <w:rFonts w:hint="eastAsia"/>
          <w:b/>
          <w:bCs/>
          <w:color w:val="auto"/>
          <w:highlight w:val="none"/>
        </w:rPr>
        <w:t>（1）资金到位率：</w:t>
      </w:r>
    </w:p>
    <w:p w14:paraId="2335B737">
      <w:pPr>
        <w:bidi w:val="0"/>
        <w:rPr>
          <w:rFonts w:hint="eastAsia"/>
          <w:color w:val="auto"/>
          <w:highlight w:val="none"/>
        </w:rPr>
      </w:pPr>
      <w:r>
        <w:rPr>
          <w:rFonts w:hint="eastAsia"/>
          <w:color w:val="auto"/>
          <w:highlight w:val="none"/>
        </w:rPr>
        <w:t>本项目</w:t>
      </w:r>
      <w:r>
        <w:rPr>
          <w:rFonts w:hint="eastAsia"/>
          <w:color w:val="auto"/>
          <w:highlight w:val="none"/>
          <w:lang w:val="en-US" w:eastAsia="zh-CN"/>
        </w:rPr>
        <w:t>全年</w:t>
      </w:r>
      <w:r>
        <w:rPr>
          <w:rFonts w:hint="eastAsia"/>
          <w:color w:val="auto"/>
          <w:highlight w:val="none"/>
        </w:rPr>
        <w:t>预算资金为</w:t>
      </w:r>
      <w:r>
        <w:rPr>
          <w:rFonts w:hint="eastAsia"/>
          <w:color w:val="auto"/>
          <w:highlight w:val="none"/>
          <w:lang w:val="en-US" w:eastAsia="zh-CN"/>
        </w:rPr>
        <w:t>83.87</w:t>
      </w:r>
      <w:r>
        <w:rPr>
          <w:rFonts w:hint="eastAsia"/>
          <w:color w:val="auto"/>
          <w:highlight w:val="none"/>
        </w:rPr>
        <w:t>万元，其中：本级财政安排资金</w:t>
      </w:r>
      <w:r>
        <w:rPr>
          <w:rFonts w:hint="eastAsia"/>
          <w:color w:val="auto"/>
          <w:highlight w:val="none"/>
          <w:lang w:val="en-US" w:eastAsia="zh-CN"/>
        </w:rPr>
        <w:t>83.87</w:t>
      </w:r>
      <w:r>
        <w:rPr>
          <w:rFonts w:hint="eastAsia"/>
          <w:color w:val="auto"/>
          <w:highlight w:val="none"/>
        </w:rPr>
        <w:t>万元，其他资金</w:t>
      </w:r>
      <w:r>
        <w:rPr>
          <w:rFonts w:hint="eastAsia"/>
          <w:color w:val="auto"/>
          <w:highlight w:val="none"/>
          <w:lang w:val="en-US" w:eastAsia="zh-CN"/>
        </w:rPr>
        <w:t>0</w:t>
      </w:r>
      <w:r>
        <w:rPr>
          <w:rFonts w:hint="eastAsia"/>
          <w:color w:val="auto"/>
          <w:highlight w:val="none"/>
        </w:rPr>
        <w:t>万元</w:t>
      </w:r>
      <w:r>
        <w:rPr>
          <w:rFonts w:hint="eastAsia"/>
          <w:color w:val="auto"/>
          <w:highlight w:val="none"/>
          <w:lang w:eastAsia="zh-CN"/>
        </w:rPr>
        <w:t>，</w:t>
      </w:r>
      <w:r>
        <w:rPr>
          <w:rFonts w:hint="eastAsia"/>
          <w:color w:val="auto"/>
          <w:highlight w:val="none"/>
        </w:rPr>
        <w:t>实际到位资金</w:t>
      </w:r>
      <w:r>
        <w:rPr>
          <w:rFonts w:hint="eastAsia"/>
          <w:color w:val="auto"/>
          <w:highlight w:val="none"/>
          <w:lang w:val="en-US" w:eastAsia="zh-CN"/>
        </w:rPr>
        <w:t>83.87</w:t>
      </w:r>
      <w:r>
        <w:rPr>
          <w:rFonts w:hint="eastAsia"/>
          <w:color w:val="auto"/>
          <w:highlight w:val="none"/>
        </w:rPr>
        <w:t>万元，资金到位率=（实际到位资金/预算资金）×100%=</w:t>
      </w:r>
      <w:r>
        <w:rPr>
          <w:rFonts w:hint="eastAsia"/>
          <w:color w:val="auto"/>
          <w:highlight w:val="none"/>
          <w:lang w:val="en-US" w:eastAsia="zh-CN"/>
        </w:rPr>
        <w:t>100%</w:t>
      </w:r>
      <w:r>
        <w:rPr>
          <w:rFonts w:hint="eastAsia"/>
          <w:color w:val="auto"/>
          <w:highlight w:val="none"/>
        </w:rPr>
        <w:t>。</w:t>
      </w:r>
    </w:p>
    <w:p w14:paraId="761F91A9">
      <w:pPr>
        <w:bidi w:val="0"/>
        <w:rPr>
          <w:rFonts w:hint="eastAsia"/>
          <w:color w:val="auto"/>
          <w:highlight w:val="none"/>
          <w:lang w:val="en-US" w:eastAsia="zh-CN"/>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分,本项目资金到位率为</w:t>
      </w:r>
      <w:r>
        <w:rPr>
          <w:rFonts w:hint="eastAsia"/>
          <w:color w:val="auto"/>
          <w:highlight w:val="none"/>
          <w:lang w:val="en-US" w:eastAsia="zh-CN"/>
        </w:rPr>
        <w:t>100</w:t>
      </w:r>
      <w:r>
        <w:rPr>
          <w:rFonts w:hint="eastAsia"/>
          <w:color w:val="auto"/>
          <w:highlight w:val="none"/>
        </w:rPr>
        <w:t>%</w:t>
      </w:r>
      <w:r>
        <w:rPr>
          <w:rFonts w:hint="eastAsia"/>
          <w:color w:val="auto"/>
          <w:highlight w:val="none"/>
          <w:lang w:eastAsia="zh-CN"/>
        </w:rPr>
        <w:t>。</w:t>
      </w:r>
    </w:p>
    <w:p w14:paraId="46CD26DA">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（2）预算执行率：</w:t>
      </w:r>
    </w:p>
    <w:p w14:paraId="68BBEFA6">
      <w:pPr>
        <w:pageBreakBefore w:val="0"/>
        <w:kinsoku/>
        <w:wordWrap/>
        <w:topLinePunct w:val="0"/>
        <w:autoSpaceDE/>
        <w:autoSpaceDN/>
        <w:bidi w:val="0"/>
        <w:spacing w:line="560" w:lineRule="exact"/>
        <w:ind w:right="0" w:rightChars="0" w:firstLine="643"/>
        <w:rPr>
          <w:rFonts w:hint="eastAsia" w:ascii="仿宋_GB2312" w:cs="仿宋_GB2312"/>
          <w:color w:val="auto"/>
          <w:sz w:val="28"/>
          <w:szCs w:val="28"/>
          <w:highlight w:val="none"/>
        </w:rPr>
      </w:pPr>
      <w:r>
        <w:rPr>
          <w:rFonts w:hint="eastAsia" w:ascii="仿宋_GB2312" w:cs="仿宋_GB2312"/>
          <w:color w:val="auto"/>
          <w:sz w:val="28"/>
          <w:szCs w:val="28"/>
          <w:highlight w:val="none"/>
        </w:rPr>
        <w:t>本项目</w:t>
      </w:r>
      <w:r>
        <w:rPr>
          <w:rFonts w:hint="eastAsia" w:ascii="仿宋_GB2312" w:cs="仿宋_GB2312"/>
          <w:color w:val="auto"/>
          <w:sz w:val="28"/>
          <w:szCs w:val="28"/>
          <w:highlight w:val="none"/>
          <w:lang w:val="en-US" w:eastAsia="zh-CN"/>
        </w:rPr>
        <w:t>到位</w:t>
      </w:r>
      <w:r>
        <w:rPr>
          <w:rFonts w:hint="eastAsia" w:ascii="仿宋_GB2312" w:cs="仿宋_GB2312"/>
          <w:color w:val="auto"/>
          <w:sz w:val="28"/>
          <w:szCs w:val="28"/>
          <w:highlight w:val="none"/>
        </w:rPr>
        <w:t>资金为</w:t>
      </w:r>
      <w:r>
        <w:rPr>
          <w:rFonts w:hint="eastAsia" w:ascii="仿宋_GB2312" w:cs="仿宋_GB2312"/>
          <w:color w:val="auto"/>
          <w:sz w:val="28"/>
          <w:szCs w:val="28"/>
          <w:highlight w:val="none"/>
          <w:lang w:val="en-US" w:eastAsia="zh-CN"/>
        </w:rPr>
        <w:t>83.87</w:t>
      </w:r>
      <w:r>
        <w:rPr>
          <w:rFonts w:hint="eastAsia" w:ascii="仿宋_GB2312" w:cs="仿宋_GB2312"/>
          <w:color w:val="auto"/>
          <w:sz w:val="28"/>
          <w:szCs w:val="28"/>
          <w:highlight w:val="none"/>
        </w:rPr>
        <w:t>万元，实际</w:t>
      </w:r>
      <w:r>
        <w:rPr>
          <w:rFonts w:hint="eastAsia" w:ascii="仿宋_GB2312" w:cs="仿宋_GB2312"/>
          <w:color w:val="auto"/>
          <w:sz w:val="28"/>
          <w:szCs w:val="28"/>
          <w:highlight w:val="none"/>
          <w:lang w:val="en-US" w:eastAsia="zh-CN"/>
        </w:rPr>
        <w:t>支出</w:t>
      </w:r>
      <w:r>
        <w:rPr>
          <w:rFonts w:hint="eastAsia" w:ascii="仿宋_GB2312" w:cs="仿宋_GB2312"/>
          <w:color w:val="auto"/>
          <w:sz w:val="28"/>
          <w:szCs w:val="28"/>
          <w:highlight w:val="none"/>
        </w:rPr>
        <w:t>资金</w:t>
      </w:r>
      <w:r>
        <w:rPr>
          <w:rFonts w:hint="eastAsia" w:ascii="仿宋_GB2312" w:cs="仿宋_GB2312"/>
          <w:color w:val="auto"/>
          <w:sz w:val="28"/>
          <w:szCs w:val="28"/>
          <w:highlight w:val="none"/>
          <w:lang w:val="en-US" w:eastAsia="zh-CN"/>
        </w:rPr>
        <w:t>80.5</w:t>
      </w:r>
      <w:r>
        <w:rPr>
          <w:rFonts w:hint="eastAsia" w:ascii="仿宋_GB2312" w:cs="仿宋_GB2312"/>
          <w:color w:val="auto"/>
          <w:sz w:val="28"/>
          <w:szCs w:val="28"/>
          <w:highlight w:val="none"/>
        </w:rPr>
        <w:t>万元，预算执行率=（实际支出资金/实际到位资金）×100%=（</w:t>
      </w:r>
      <w:r>
        <w:rPr>
          <w:rFonts w:hint="eastAsia" w:ascii="仿宋_GB2312" w:cs="仿宋_GB2312"/>
          <w:color w:val="auto"/>
          <w:sz w:val="28"/>
          <w:szCs w:val="28"/>
          <w:highlight w:val="none"/>
          <w:lang w:val="en-US" w:eastAsia="zh-CN"/>
        </w:rPr>
        <w:t>80.5/83.87</w:t>
      </w:r>
      <w:r>
        <w:rPr>
          <w:rFonts w:hint="eastAsia" w:ascii="仿宋_GB2312" w:cs="仿宋_GB2312"/>
          <w:color w:val="auto"/>
          <w:sz w:val="28"/>
          <w:szCs w:val="28"/>
          <w:highlight w:val="none"/>
        </w:rPr>
        <w:t>）×100%=</w:t>
      </w:r>
      <w:r>
        <w:rPr>
          <w:rFonts w:hint="eastAsia" w:ascii="仿宋_GB2312" w:cs="仿宋_GB2312"/>
          <w:color w:val="auto"/>
          <w:sz w:val="28"/>
          <w:szCs w:val="28"/>
          <w:highlight w:val="none"/>
          <w:lang w:val="en-US" w:eastAsia="zh-CN"/>
        </w:rPr>
        <w:t>96%</w:t>
      </w:r>
      <w:r>
        <w:rPr>
          <w:rFonts w:hint="eastAsia" w:ascii="仿宋_GB2312" w:cs="仿宋_GB2312"/>
          <w:color w:val="auto"/>
          <w:sz w:val="28"/>
          <w:szCs w:val="28"/>
          <w:highlight w:val="none"/>
        </w:rPr>
        <w:t>。</w:t>
      </w:r>
    </w:p>
    <w:p w14:paraId="74F07E18">
      <w:pPr>
        <w:pageBreakBefore w:val="0"/>
        <w:kinsoku/>
        <w:wordWrap/>
        <w:topLinePunct w:val="0"/>
        <w:autoSpaceDE/>
        <w:autoSpaceDN/>
        <w:bidi w:val="0"/>
        <w:spacing w:line="560" w:lineRule="exact"/>
        <w:ind w:right="0" w:rightChars="0" w:firstLine="643"/>
        <w:rPr>
          <w:rFonts w:hint="eastAsia" w:ascii="Times New Roman" w:hAnsi="Times New Roman" w:eastAsia="仿宋_GB2312"/>
          <w:color w:val="auto"/>
          <w:sz w:val="28"/>
          <w:szCs w:val="28"/>
          <w:highlight w:val="none"/>
          <w:lang w:val="en-US" w:eastAsia="zh-CN"/>
        </w:rPr>
      </w:pPr>
      <w:r>
        <w:rPr>
          <w:rFonts w:hint="eastAsia" w:ascii="仿宋_GB2312" w:cs="仿宋_GB2312"/>
          <w:color w:val="auto"/>
          <w:sz w:val="28"/>
          <w:szCs w:val="28"/>
          <w:highlight w:val="none"/>
        </w:rPr>
        <w:t>综上所述，本指标满分为</w:t>
      </w:r>
      <w:r>
        <w:rPr>
          <w:rFonts w:hint="eastAsia" w:ascii="仿宋_GB2312" w:cs="仿宋_GB2312"/>
          <w:color w:val="auto"/>
          <w:sz w:val="28"/>
          <w:szCs w:val="28"/>
          <w:highlight w:val="none"/>
          <w:lang w:val="en-US" w:eastAsia="zh-CN"/>
        </w:rPr>
        <w:t>4</w:t>
      </w:r>
      <w:r>
        <w:rPr>
          <w:rFonts w:hint="eastAsia" w:ascii="仿宋_GB2312" w:cs="仿宋_GB2312"/>
          <w:color w:val="auto"/>
          <w:sz w:val="28"/>
          <w:szCs w:val="28"/>
          <w:highlight w:val="none"/>
        </w:rPr>
        <w:t>分，根据评分标准得</w:t>
      </w:r>
      <w:r>
        <w:rPr>
          <w:rFonts w:hint="eastAsia" w:ascii="仿宋_GB2312" w:cs="仿宋_GB2312"/>
          <w:color w:val="auto"/>
          <w:sz w:val="28"/>
          <w:szCs w:val="28"/>
          <w:highlight w:val="none"/>
          <w:lang w:val="en-US" w:eastAsia="zh-CN"/>
        </w:rPr>
        <w:t>3.8</w:t>
      </w:r>
      <w:r>
        <w:rPr>
          <w:rFonts w:hint="eastAsia" w:ascii="仿宋_GB2312" w:cs="仿宋_GB2312"/>
          <w:color w:val="auto"/>
          <w:sz w:val="28"/>
          <w:szCs w:val="28"/>
          <w:highlight w:val="none"/>
        </w:rPr>
        <w:t>分,本项目</w:t>
      </w:r>
      <w:r>
        <w:rPr>
          <w:rFonts w:hint="eastAsia" w:ascii="仿宋_GB2312" w:cs="仿宋_GB2312"/>
          <w:color w:val="auto"/>
          <w:sz w:val="28"/>
          <w:szCs w:val="28"/>
          <w:highlight w:val="none"/>
          <w:lang w:val="en-US" w:eastAsia="zh-CN"/>
        </w:rPr>
        <w:t>预算执行</w:t>
      </w:r>
      <w:r>
        <w:rPr>
          <w:rFonts w:hint="eastAsia" w:ascii="仿宋_GB2312" w:cs="仿宋_GB2312"/>
          <w:color w:val="auto"/>
          <w:sz w:val="28"/>
          <w:szCs w:val="28"/>
          <w:highlight w:val="none"/>
        </w:rPr>
        <w:t>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r>
        <w:rPr>
          <w:rFonts w:hint="eastAsia" w:ascii="仿宋_GB2312" w:cs="仿宋_GB2312"/>
          <w:color w:val="auto"/>
          <w:sz w:val="28"/>
          <w:szCs w:val="28"/>
          <w:highlight w:val="none"/>
          <w:lang w:eastAsia="zh-CN"/>
        </w:rPr>
        <w:t>。</w:t>
      </w:r>
    </w:p>
    <w:p w14:paraId="6166665C">
      <w:pPr>
        <w:pageBreakBefore w:val="0"/>
        <w:kinsoku/>
        <w:wordWrap/>
        <w:topLinePunct w:val="0"/>
        <w:autoSpaceDE/>
        <w:autoSpaceDN/>
        <w:bidi w:val="0"/>
        <w:spacing w:line="560" w:lineRule="exact"/>
        <w:ind w:right="0" w:rightChars="0" w:firstLine="643"/>
        <w:rPr>
          <w:rFonts w:hint="eastAsia" w:ascii="仿宋_GB2312" w:cs="仿宋_GB2312"/>
          <w:b/>
          <w:bCs/>
          <w:color w:val="auto"/>
          <w:sz w:val="28"/>
          <w:szCs w:val="28"/>
          <w:highlight w:val="none"/>
        </w:rPr>
      </w:pPr>
      <w:r>
        <w:rPr>
          <w:rFonts w:hint="eastAsia" w:ascii="仿宋_GB2312" w:cs="仿宋_GB2312"/>
          <w:b/>
          <w:bCs/>
          <w:color w:val="auto"/>
          <w:sz w:val="28"/>
          <w:szCs w:val="28"/>
          <w:highlight w:val="none"/>
        </w:rPr>
        <w:t>（3）资金使用合规性：</w:t>
      </w:r>
    </w:p>
    <w:p w14:paraId="0D49EC2F">
      <w:pPr>
        <w:bidi w:val="0"/>
        <w:rPr>
          <w:rFonts w:hint="eastAsia"/>
          <w:color w:val="auto"/>
          <w:highlight w:val="none"/>
        </w:rPr>
      </w:pPr>
      <w:r>
        <w:rPr>
          <w:rFonts w:hint="eastAsia"/>
          <w:color w:val="auto"/>
          <w:highlight w:val="none"/>
        </w:rPr>
        <w:t>经检查，本项目合同、财务支出凭证等资料，本项目资金使用符合国家财经法规、《政府会计制度》以及</w:t>
      </w:r>
      <w:r>
        <w:rPr>
          <w:rFonts w:hint="eastAsia"/>
          <w:color w:val="auto"/>
          <w:highlight w:val="none"/>
          <w:lang w:eastAsia="zh-CN"/>
        </w:rPr>
        <w:t>《</w:t>
      </w:r>
      <w:r>
        <w:rPr>
          <w:rFonts w:hint="eastAsia"/>
          <w:color w:val="auto"/>
          <w:highlight w:val="none"/>
          <w:lang w:val="en-US" w:eastAsia="zh-CN"/>
        </w:rPr>
        <w:t>幼儿园经费</w:t>
      </w:r>
      <w:r>
        <w:rPr>
          <w:rFonts w:hint="eastAsia"/>
          <w:color w:val="auto"/>
          <w:highlight w:val="none"/>
        </w:rPr>
        <w:t>管理办法》，资金的拨付有完整的审批程序和手续，资金实际使用方向与预算批复用途一致，不存在截留、挤占、挪用、虚列支出的情况。</w:t>
      </w:r>
    </w:p>
    <w:p w14:paraId="2AB20496">
      <w:pPr>
        <w:bidi w:val="0"/>
        <w:rPr>
          <w:rFonts w:hint="default"/>
          <w:color w:val="auto"/>
          <w:highlight w:val="none"/>
          <w:lang w:val="en-US"/>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w:t>
      </w:r>
      <w:r>
        <w:rPr>
          <w:rFonts w:hint="eastAsia"/>
          <w:color w:val="auto"/>
          <w:highlight w:val="none"/>
          <w:lang w:val="en-US" w:eastAsia="zh-CN"/>
        </w:rPr>
        <w:t>资金使用合规。</w:t>
      </w:r>
    </w:p>
    <w:p w14:paraId="36C12161">
      <w:pPr>
        <w:pStyle w:val="6"/>
        <w:bidi w:val="0"/>
        <w:rPr>
          <w:rFonts w:hint="eastAsia"/>
          <w:color w:val="auto"/>
          <w:highlight w:val="none"/>
          <w:lang w:val="en-US" w:eastAsia="zh-CN"/>
        </w:rPr>
      </w:pPr>
      <w:r>
        <w:rPr>
          <w:rFonts w:hint="eastAsia"/>
          <w:color w:val="auto"/>
          <w:highlight w:val="none"/>
          <w:lang w:val="en-US" w:eastAsia="zh-CN"/>
        </w:rPr>
        <w:t>2.组织实施情况分析</w:t>
      </w:r>
    </w:p>
    <w:p w14:paraId="1A98A408">
      <w:pPr>
        <w:bidi w:val="0"/>
        <w:rPr>
          <w:rFonts w:hint="eastAsia" w:ascii="仿宋_GB2312" w:cs="仿宋_GB2312"/>
          <w:b/>
          <w:bCs/>
          <w:color w:val="auto"/>
          <w:sz w:val="28"/>
          <w:szCs w:val="28"/>
          <w:highlight w:val="none"/>
        </w:rPr>
      </w:pPr>
      <w:r>
        <w:rPr>
          <w:rFonts w:hint="eastAsia" w:ascii="仿宋_GB2312" w:cs="仿宋_GB2312"/>
          <w:color w:val="auto"/>
          <w:sz w:val="28"/>
          <w:szCs w:val="28"/>
          <w:highlight w:val="none"/>
        </w:rPr>
        <w:t>（</w:t>
      </w:r>
      <w:r>
        <w:rPr>
          <w:rFonts w:hint="eastAsia" w:ascii="仿宋_GB2312" w:cs="仿宋_GB2312"/>
          <w:b/>
          <w:bCs/>
          <w:color w:val="auto"/>
          <w:sz w:val="28"/>
          <w:szCs w:val="28"/>
          <w:highlight w:val="none"/>
        </w:rPr>
        <w:t>4）管理制度健全性：</w:t>
      </w:r>
    </w:p>
    <w:p w14:paraId="424687F0">
      <w:pPr>
        <w:bidi w:val="0"/>
        <w:rPr>
          <w:rFonts w:hint="eastAsia"/>
          <w:color w:val="auto"/>
          <w:highlight w:val="none"/>
        </w:rPr>
      </w:pPr>
      <w:r>
        <w:rPr>
          <w:rFonts w:hint="eastAsia"/>
          <w:color w:val="auto"/>
          <w:highlight w:val="none"/>
        </w:rPr>
        <w:t>我单位已制定《</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采购业务管理制度》等，上述已建立的制度均符合行政事业单位内控管理要求，财务和业务管理制度合法、合规、完整，本项目执行符合上述制度规定。</w:t>
      </w:r>
    </w:p>
    <w:p w14:paraId="5B7D49B4">
      <w:pPr>
        <w:bidi w:val="0"/>
        <w:rPr>
          <w:rFonts w:hint="eastAsia"/>
          <w:color w:val="auto"/>
          <w:highlight w:val="none"/>
        </w:rPr>
      </w:pPr>
      <w:r>
        <w:rPr>
          <w:rFonts w:hint="eastAsia"/>
          <w:color w:val="auto"/>
          <w:highlight w:val="none"/>
        </w:rPr>
        <w:t>综上所述，本指标满分为</w:t>
      </w:r>
      <w:r>
        <w:rPr>
          <w:rFonts w:hint="eastAsia"/>
          <w:color w:val="auto"/>
          <w:highlight w:val="none"/>
          <w:lang w:val="en-US" w:eastAsia="zh-CN"/>
        </w:rPr>
        <w:t>4</w:t>
      </w:r>
      <w:r>
        <w:rPr>
          <w:rFonts w:hint="eastAsia"/>
          <w:color w:val="auto"/>
          <w:highlight w:val="none"/>
        </w:rPr>
        <w:t>分，根据评分标准得</w:t>
      </w:r>
      <w:r>
        <w:rPr>
          <w:rFonts w:hint="eastAsia"/>
          <w:color w:val="auto"/>
          <w:highlight w:val="none"/>
          <w:lang w:val="en-US" w:eastAsia="zh-CN"/>
        </w:rPr>
        <w:t>4</w:t>
      </w:r>
      <w:r>
        <w:rPr>
          <w:rFonts w:hint="eastAsia"/>
          <w:color w:val="auto"/>
          <w:highlight w:val="none"/>
        </w:rPr>
        <w:t>分,本项目管理制度健全</w:t>
      </w:r>
      <w:r>
        <w:rPr>
          <w:rFonts w:hint="eastAsia"/>
          <w:color w:val="auto"/>
          <w:highlight w:val="none"/>
          <w:lang w:val="en-US" w:eastAsia="zh-CN"/>
        </w:rPr>
        <w:t>。</w:t>
      </w:r>
    </w:p>
    <w:p w14:paraId="012C6995">
      <w:pPr>
        <w:bidi w:val="0"/>
        <w:rPr>
          <w:rFonts w:hint="eastAsia" w:ascii="仿宋_GB2312" w:cs="仿宋_GB2312"/>
          <w:color w:val="auto"/>
          <w:sz w:val="28"/>
          <w:szCs w:val="28"/>
          <w:highlight w:val="none"/>
        </w:rPr>
      </w:pPr>
      <w:r>
        <w:rPr>
          <w:rFonts w:hint="eastAsia" w:ascii="仿宋_GB2312" w:cs="仿宋_GB2312"/>
          <w:b/>
          <w:bCs/>
          <w:color w:val="auto"/>
          <w:sz w:val="28"/>
          <w:szCs w:val="28"/>
          <w:highlight w:val="none"/>
        </w:rPr>
        <w:t>（5）制度执行有效性</w:t>
      </w:r>
      <w:r>
        <w:rPr>
          <w:rFonts w:hint="eastAsia" w:ascii="仿宋_GB2312" w:cs="仿宋_GB2312"/>
          <w:color w:val="auto"/>
          <w:sz w:val="28"/>
          <w:szCs w:val="28"/>
          <w:highlight w:val="none"/>
        </w:rPr>
        <w:t>：</w:t>
      </w:r>
    </w:p>
    <w:p w14:paraId="2B838678">
      <w:pPr>
        <w:bidi w:val="0"/>
        <w:rPr>
          <w:rFonts w:hint="eastAsia"/>
          <w:color w:val="auto"/>
          <w:highlight w:val="none"/>
        </w:rPr>
      </w:pPr>
      <w:r>
        <w:rPr>
          <w:rFonts w:hint="eastAsia"/>
          <w:color w:val="auto"/>
          <w:highlight w:val="none"/>
          <w:lang w:eastAsia="zh-CN"/>
        </w:rPr>
        <w:t>①</w:t>
      </w:r>
      <w:r>
        <w:rPr>
          <w:rFonts w:hint="eastAsia"/>
          <w:color w:val="auto"/>
          <w:highlight w:val="none"/>
        </w:rPr>
        <w:t>该项目的</w:t>
      </w:r>
      <w:r>
        <w:rPr>
          <w:rFonts w:hint="eastAsia"/>
          <w:color w:val="auto"/>
          <w:highlight w:val="none"/>
          <w:lang w:val="en-US" w:eastAsia="zh-CN"/>
        </w:rPr>
        <w:t>实施</w:t>
      </w:r>
      <w:r>
        <w:rPr>
          <w:rFonts w:hint="eastAsia"/>
          <w:color w:val="auto"/>
          <w:highlight w:val="none"/>
        </w:rPr>
        <w:t>符合《</w:t>
      </w:r>
      <w:r>
        <w:rPr>
          <w:rFonts w:hint="eastAsia"/>
          <w:color w:val="auto"/>
          <w:highlight w:val="none"/>
          <w:lang w:val="en-US" w:eastAsia="zh-CN"/>
        </w:rPr>
        <w:t>绩效管理</w:t>
      </w:r>
      <w:r>
        <w:rPr>
          <w:rFonts w:hint="eastAsia"/>
          <w:color w:val="auto"/>
          <w:highlight w:val="none"/>
        </w:rPr>
        <w:t>办法》</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幼儿园经费</w:t>
      </w:r>
      <w:r>
        <w:rPr>
          <w:rFonts w:hint="eastAsia"/>
          <w:color w:val="auto"/>
          <w:highlight w:val="none"/>
        </w:rPr>
        <w:t>管理制度》</w:t>
      </w:r>
      <w:r>
        <w:rPr>
          <w:rFonts w:hint="eastAsia"/>
          <w:color w:val="auto"/>
          <w:highlight w:val="none"/>
          <w:lang w:eastAsia="zh-CN"/>
        </w:rPr>
        <w:t>、</w:t>
      </w:r>
      <w:r>
        <w:rPr>
          <w:rFonts w:hint="eastAsia"/>
          <w:color w:val="auto"/>
          <w:highlight w:val="none"/>
        </w:rPr>
        <w:t>《</w:t>
      </w:r>
      <w:r>
        <w:rPr>
          <w:rFonts w:hint="eastAsia"/>
          <w:color w:val="auto"/>
          <w:highlight w:val="none"/>
          <w:lang w:val="en-US" w:eastAsia="zh-CN"/>
        </w:rPr>
        <w:t>政府</w:t>
      </w:r>
      <w:r>
        <w:rPr>
          <w:rFonts w:hint="eastAsia"/>
          <w:color w:val="auto"/>
          <w:highlight w:val="none"/>
        </w:rPr>
        <w:t>采购业务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p>
    <w:p w14:paraId="4A7E97B9">
      <w:pPr>
        <w:bidi w:val="0"/>
        <w:rPr>
          <w:rFonts w:hint="eastAsia"/>
          <w:color w:val="auto"/>
          <w:highlight w:val="none"/>
        </w:rPr>
      </w:pPr>
      <w:r>
        <w:rPr>
          <w:rFonts w:hint="eastAsia"/>
          <w:color w:val="auto"/>
          <w:highlight w:val="none"/>
          <w:lang w:eastAsia="zh-CN"/>
        </w:rPr>
        <w:t>②</w:t>
      </w:r>
      <w:r>
        <w:rPr>
          <w:rFonts w:hint="eastAsia"/>
          <w:color w:val="auto"/>
          <w:highlight w:val="none"/>
        </w:rPr>
        <w:t>经现场查证项目合同书、验收评审表、财务支付凭证等资料齐全并及时归档。</w:t>
      </w:r>
    </w:p>
    <w:p w14:paraId="77E138F8">
      <w:pPr>
        <w:bidi w:val="0"/>
        <w:rPr>
          <w:rFonts w:hint="eastAsia"/>
          <w:color w:val="auto"/>
          <w:highlight w:val="none"/>
          <w:lang w:eastAsia="zh-CN"/>
        </w:rPr>
      </w:pPr>
      <w:r>
        <w:rPr>
          <w:rFonts w:hint="eastAsia"/>
          <w:color w:val="auto"/>
          <w:highlight w:val="none"/>
          <w:lang w:eastAsia="zh-CN"/>
        </w:rPr>
        <w:t>③本项目不存在调整。</w:t>
      </w:r>
    </w:p>
    <w:p w14:paraId="0778F71B">
      <w:pPr>
        <w:bidi w:val="0"/>
        <w:rPr>
          <w:rFonts w:hint="eastAsia"/>
          <w:color w:val="auto"/>
          <w:highlight w:val="none"/>
        </w:rPr>
      </w:pPr>
      <w:r>
        <w:rPr>
          <w:rFonts w:hint="eastAsia"/>
          <w:color w:val="auto"/>
          <w:highlight w:val="none"/>
          <w:lang w:eastAsia="zh-CN"/>
        </w:rPr>
        <w:t>④本项目实施所需要的项目人员和场地设备均已落实到位，具体涉及内容包括：为确保项目的顺利实施我单位</w:t>
      </w:r>
      <w:r>
        <w:rPr>
          <w:rFonts w:hint="eastAsia"/>
          <w:color w:val="auto"/>
          <w:highlight w:val="none"/>
          <w:lang w:val="en-US" w:eastAsia="zh-CN"/>
        </w:rPr>
        <w:t>有明确的岗位职责分工</w:t>
      </w:r>
      <w:r>
        <w:rPr>
          <w:rFonts w:hint="eastAsia"/>
          <w:color w:val="auto"/>
          <w:highlight w:val="none"/>
          <w:lang w:eastAsia="zh-CN"/>
        </w:rPr>
        <w:t>，人员均已配备到位，项目实施过程中所需</w:t>
      </w:r>
      <w:r>
        <w:rPr>
          <w:rFonts w:hint="eastAsia"/>
          <w:color w:val="auto"/>
          <w:highlight w:val="none"/>
          <w:lang w:val="en-US" w:eastAsia="zh-CN"/>
        </w:rPr>
        <w:t>的各项</w:t>
      </w:r>
      <w:r>
        <w:rPr>
          <w:rFonts w:hint="eastAsia"/>
          <w:color w:val="auto"/>
          <w:highlight w:val="none"/>
          <w:lang w:eastAsia="zh-CN"/>
        </w:rPr>
        <w:t>配套也已</w:t>
      </w:r>
      <w:r>
        <w:rPr>
          <w:rFonts w:hint="eastAsia"/>
          <w:color w:val="auto"/>
          <w:highlight w:val="none"/>
          <w:lang w:val="en-US" w:eastAsia="zh-CN"/>
        </w:rPr>
        <w:t>具备</w:t>
      </w:r>
      <w:r>
        <w:rPr>
          <w:rFonts w:hint="eastAsia"/>
          <w:color w:val="auto"/>
          <w:highlight w:val="none"/>
          <w:lang w:eastAsia="zh-CN"/>
        </w:rPr>
        <w:t>。</w:t>
      </w:r>
    </w:p>
    <w:p w14:paraId="3729A859">
      <w:pPr>
        <w:bidi w:val="0"/>
        <w:rPr>
          <w:color w:val="auto"/>
          <w:highlight w:val="none"/>
        </w:rPr>
      </w:pPr>
      <w:r>
        <w:rPr>
          <w:rFonts w:hint="eastAsia"/>
          <w:color w:val="auto"/>
          <w:highlight w:val="none"/>
        </w:rPr>
        <w:t>综上所述，</w:t>
      </w:r>
      <w:r>
        <w:rPr>
          <w:rFonts w:hint="eastAsia" w:ascii="仿宋_GB2312" w:cs="仿宋_GB2312"/>
          <w:color w:val="auto"/>
          <w:szCs w:val="28"/>
          <w:highlight w:val="none"/>
        </w:rPr>
        <w:t>本指标满分为</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分，根据评分标准得</w:t>
      </w:r>
      <w:r>
        <w:rPr>
          <w:rFonts w:hint="eastAsia" w:ascii="仿宋_GB2312" w:cs="仿宋_GB2312"/>
          <w:color w:val="auto"/>
          <w:szCs w:val="28"/>
          <w:highlight w:val="none"/>
          <w:lang w:val="en-US" w:eastAsia="zh-CN"/>
        </w:rPr>
        <w:t>4</w:t>
      </w:r>
      <w:r>
        <w:rPr>
          <w:rFonts w:hint="eastAsia" w:ascii="仿宋_GB2312" w:cs="仿宋_GB2312"/>
          <w:color w:val="auto"/>
          <w:szCs w:val="28"/>
          <w:highlight w:val="none"/>
        </w:rPr>
        <w:t>分,本项目制度执行有效</w:t>
      </w:r>
      <w:r>
        <w:rPr>
          <w:rFonts w:hint="eastAsia" w:ascii="仿宋_GB2312" w:hAnsi="Times New Roman" w:cs="仿宋_GB2312"/>
          <w:color w:val="auto"/>
          <w:szCs w:val="28"/>
          <w:highlight w:val="none"/>
          <w:lang w:val="en-US" w:eastAsia="zh-CN"/>
        </w:rPr>
        <w:t>。</w:t>
      </w:r>
    </w:p>
    <w:p w14:paraId="034B5948">
      <w:pPr>
        <w:pStyle w:val="5"/>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（三）项目产出情况</w:t>
      </w:r>
    </w:p>
    <w:p w14:paraId="6EFA509C">
      <w:pPr>
        <w:bidi w:val="0"/>
        <w:rPr>
          <w:rFonts w:hint="eastAsia" w:ascii="仿宋_GB2312" w:cs="仿宋_GB2312"/>
          <w:color w:val="auto"/>
          <w:sz w:val="28"/>
          <w:szCs w:val="28"/>
          <w:highlight w:val="none"/>
        </w:rPr>
      </w:pPr>
      <w:r>
        <w:rPr>
          <w:rFonts w:hint="eastAsia" w:ascii="仿宋_GB2312" w:cs="仿宋_GB2312"/>
          <w:color w:val="auto"/>
          <w:sz w:val="28"/>
          <w:szCs w:val="28"/>
          <w:highlight w:val="none"/>
        </w:rPr>
        <w:t>项目产出类指标包括产出数量、产出质量、产出时效</w:t>
      </w:r>
      <w:r>
        <w:rPr>
          <w:rFonts w:hint="eastAsia" w:ascii="仿宋_GB2312" w:cs="仿宋_GB2312"/>
          <w:color w:val="auto"/>
          <w:sz w:val="28"/>
          <w:szCs w:val="28"/>
          <w:highlight w:val="none"/>
          <w:lang w:eastAsia="zh-CN"/>
        </w:rPr>
        <w:t>三</w:t>
      </w:r>
      <w:r>
        <w:rPr>
          <w:rFonts w:hint="eastAsia" w:ascii="仿宋_GB2312" w:cs="仿宋_GB2312"/>
          <w:color w:val="auto"/>
          <w:sz w:val="28"/>
          <w:szCs w:val="28"/>
          <w:highlight w:val="none"/>
        </w:rPr>
        <w:t>方面的内容，权重分为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23.75</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98.96</w:t>
      </w:r>
      <w:r>
        <w:rPr>
          <w:rFonts w:hint="eastAsia" w:ascii="仿宋_GB2312" w:cs="仿宋_GB2312"/>
          <w:color w:val="auto"/>
          <w:sz w:val="28"/>
          <w:szCs w:val="28"/>
          <w:highlight w:val="none"/>
        </w:rPr>
        <w:t>%。</w:t>
      </w:r>
    </w:p>
    <w:p w14:paraId="3B34E8E1">
      <w:pPr>
        <w:pStyle w:val="6"/>
        <w:bidi w:val="0"/>
        <w:rPr>
          <w:rFonts w:hint="eastAsia"/>
          <w:color w:val="auto"/>
          <w:highlight w:val="none"/>
          <w:lang w:val="en-US" w:eastAsia="zh-CN"/>
        </w:rPr>
      </w:pPr>
      <w:r>
        <w:rPr>
          <w:rFonts w:hint="eastAsia"/>
          <w:color w:val="auto"/>
          <w:highlight w:val="none"/>
          <w:lang w:val="en-US" w:eastAsia="zh-CN"/>
        </w:rPr>
        <w:t>1.数量指标完成情况分析</w:t>
      </w:r>
    </w:p>
    <w:p w14:paraId="23FD6B68">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享受学前教育资助的幼儿园数量</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为大于等于</w:t>
      </w:r>
      <w:r>
        <w:rPr>
          <w:rFonts w:hint="eastAsia" w:ascii="仿宋_GB2312" w:hAnsi="仿宋_GB2312" w:cs="仿宋_GB2312"/>
          <w:color w:val="auto"/>
          <w:sz w:val="28"/>
          <w:szCs w:val="28"/>
          <w:highlight w:val="none"/>
          <w:lang w:val="en-US" w:eastAsia="zh-CN"/>
        </w:rPr>
        <w:t>10所</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10所</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hAns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hAnsi="仿宋_GB2312" w:cs="仿宋_GB2312"/>
          <w:color w:val="auto"/>
          <w:sz w:val="28"/>
          <w:szCs w:val="28"/>
          <w:highlight w:val="none"/>
          <w:lang w:val="en-US" w:eastAsia="zh-CN"/>
        </w:rPr>
        <w:t>3分</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无偏差</w:t>
      </w:r>
      <w:r>
        <w:rPr>
          <w:rFonts w:hint="eastAsia"/>
          <w:color w:val="auto"/>
          <w:highlight w:val="none"/>
          <w:lang w:val="en-US" w:eastAsia="zh-CN"/>
        </w:rPr>
        <w:t>。</w:t>
      </w:r>
    </w:p>
    <w:p w14:paraId="0A4AC83C">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享受学前教育资助的幼儿人数</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683人</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655人</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96</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hAnsi="仿宋_GB2312" w:cs="仿宋_GB2312"/>
          <w:color w:val="auto"/>
          <w:sz w:val="28"/>
          <w:szCs w:val="28"/>
          <w:highlight w:val="none"/>
        </w:rPr>
        <w:t>偏差率为</w:t>
      </w:r>
      <w:r>
        <w:rPr>
          <w:rFonts w:hint="eastAsia" w:ascii="仿宋_GB2312" w:hAnsi="仿宋_GB2312" w:cs="仿宋_GB2312"/>
          <w:color w:val="auto"/>
          <w:sz w:val="28"/>
          <w:szCs w:val="28"/>
          <w:highlight w:val="none"/>
          <w:lang w:val="en-US" w:eastAsia="zh-CN"/>
        </w:rPr>
        <w:t>4%；</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6</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5.75</w:t>
      </w:r>
      <w:r>
        <w:rPr>
          <w:rFonts w:hint="eastAsia" w:ascii="仿宋_GB2312" w:hAnsi="仿宋_GB2312" w:cs="仿宋_GB2312"/>
          <w:color w:val="auto"/>
          <w:sz w:val="28"/>
          <w:szCs w:val="28"/>
          <w:highlight w:val="none"/>
        </w:rPr>
        <w:t>分。</w:t>
      </w:r>
      <w:r>
        <w:rPr>
          <w:rFonts w:hint="eastAsia" w:ascii="仿宋_GB2312" w:hAnsi="仿宋_GB2312" w:cs="仿宋_GB2312"/>
          <w:color w:val="auto"/>
          <w:sz w:val="28"/>
          <w:szCs w:val="28"/>
          <w:highlight w:val="none"/>
          <w:lang w:val="en-US" w:eastAsia="zh-CN"/>
        </w:rPr>
        <w:t>偏差原因：我片区为乡镇学校，且部分幼儿园靠近县城，部分幼儿后期因各种原因，选择就近入学，入学之县城幼儿园等。改进措施：及时了解新政策新规定，做好学生人数的统计，提高指标预期值的准确度。</w:t>
      </w:r>
    </w:p>
    <w:p w14:paraId="466BA363">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lang w:val="en-US" w:eastAsia="zh-CN"/>
        </w:rPr>
        <w:t>“普惠性学前教育资源覆盖率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5062B043">
      <w:pPr>
        <w:bidi w:val="0"/>
        <w:rPr>
          <w:color w:val="auto"/>
          <w:highlight w:val="none"/>
        </w:rPr>
      </w:pPr>
      <w:r>
        <w:rPr>
          <w:rFonts w:hint="eastAsia" w:ascii="仿宋_GB2312" w:hAnsi="仿宋_GB2312" w:cs="仿宋_GB2312"/>
          <w:color w:val="auto"/>
          <w:sz w:val="28"/>
          <w:szCs w:val="28"/>
          <w:highlight w:val="none"/>
          <w:lang w:val="en-US" w:eastAsia="zh-CN"/>
        </w:rPr>
        <w:t>“公办园在园幼儿占比</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95%</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0BF89CF9">
      <w:pPr>
        <w:pStyle w:val="6"/>
        <w:bidi w:val="0"/>
        <w:rPr>
          <w:rFonts w:hint="eastAsia"/>
          <w:color w:val="auto"/>
          <w:highlight w:val="none"/>
          <w:lang w:val="en-US" w:eastAsia="zh-CN"/>
        </w:rPr>
      </w:pPr>
      <w:r>
        <w:rPr>
          <w:rFonts w:hint="eastAsia"/>
          <w:color w:val="auto"/>
          <w:highlight w:val="none"/>
          <w:lang w:val="en-US" w:eastAsia="zh-CN"/>
        </w:rPr>
        <w:t>2.质量指标完成情况分析</w:t>
      </w:r>
    </w:p>
    <w:p w14:paraId="267AC86B">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农村学前国语教育覆盖率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1E9FAEEC">
      <w:pPr>
        <w:bidi w:val="0"/>
        <w:rPr>
          <w:rFonts w:hint="default"/>
          <w:color w:val="auto"/>
          <w:highlight w:val="none"/>
          <w:lang w:val="en-US"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专业幼师上岗率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23B030B6">
      <w:pPr>
        <w:pStyle w:val="6"/>
        <w:numPr>
          <w:ilvl w:val="0"/>
          <w:numId w:val="3"/>
        </w:numPr>
        <w:bidi w:val="0"/>
        <w:rPr>
          <w:rFonts w:hint="eastAsia"/>
          <w:color w:val="auto"/>
          <w:highlight w:val="none"/>
        </w:rPr>
      </w:pPr>
      <w:r>
        <w:rPr>
          <w:rFonts w:hint="eastAsia"/>
          <w:color w:val="auto"/>
          <w:highlight w:val="none"/>
          <w:lang w:val="en-US" w:eastAsia="zh-CN"/>
        </w:rPr>
        <w:t>时效指标完成情况分析</w:t>
      </w:r>
    </w:p>
    <w:p w14:paraId="15A29F72">
      <w:pPr>
        <w:bidi w:val="0"/>
        <w:rPr>
          <w:rFonts w:hint="default"/>
          <w:color w:val="auto"/>
          <w:highlight w:val="none"/>
          <w:lang w:val="en-US" w:eastAsia="zh-CN"/>
        </w:rPr>
      </w:pPr>
      <w:r>
        <w:rPr>
          <w:rFonts w:hint="eastAsia" w:ascii="仿宋_GB2312" w:hAnsi="仿宋_GB2312" w:cs="仿宋_GB2312"/>
          <w:color w:val="auto"/>
          <w:sz w:val="28"/>
          <w:szCs w:val="28"/>
          <w:highlight w:val="none"/>
          <w:lang w:val="en-US" w:eastAsia="zh-CN"/>
        </w:rPr>
        <w:t>“资金拨付及时率</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3</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3</w:t>
      </w:r>
      <w:r>
        <w:rPr>
          <w:rFonts w:hint="eastAsia" w:ascii="仿宋_GB2312" w:hAnsi="仿宋_GB2312" w:cs="仿宋_GB2312"/>
          <w:color w:val="auto"/>
          <w:sz w:val="28"/>
          <w:szCs w:val="28"/>
          <w:highlight w:val="none"/>
        </w:rPr>
        <w:t>分。</w:t>
      </w:r>
    </w:p>
    <w:p w14:paraId="3BA588D4">
      <w:pPr>
        <w:pStyle w:val="5"/>
        <w:bidi w:val="0"/>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（四）项目成本情况</w:t>
      </w:r>
    </w:p>
    <w:p w14:paraId="4932C879">
      <w:pPr>
        <w:bidi w:val="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项目成本类指标包括经济成本、社会成本、生态环境成本三个方面的内容，本项目仅涉及经济成本指标。权重分为12分，实际得分12分，得分率为100%。</w:t>
      </w:r>
    </w:p>
    <w:p w14:paraId="6E2B5B43">
      <w:pPr>
        <w:pStyle w:val="6"/>
        <w:bidi w:val="0"/>
        <w:rPr>
          <w:rFonts w:hint="eastAsia"/>
          <w:color w:val="auto"/>
          <w:highlight w:val="none"/>
        </w:rPr>
      </w:pPr>
      <w:r>
        <w:rPr>
          <w:rFonts w:hint="eastAsia"/>
          <w:color w:val="auto"/>
          <w:highlight w:val="none"/>
          <w:lang w:val="en-US" w:eastAsia="zh-CN"/>
        </w:rPr>
        <w:t>1.经济成本指标完成情况分析</w:t>
      </w:r>
    </w:p>
    <w:p w14:paraId="2A96083A">
      <w:pPr>
        <w:bidi w:val="0"/>
        <w:rPr>
          <w:rFonts w:hint="eastAsia" w:ascii="仿宋_GB2312" w:hAnsi="仿宋_GB2312" w:cs="仿宋_GB2312"/>
          <w:color w:val="auto"/>
          <w:sz w:val="28"/>
          <w:szCs w:val="28"/>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学前教育资助经费平均发放标准</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为小于等于</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1227.8元/人/学年</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12</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12</w:t>
      </w:r>
      <w:r>
        <w:rPr>
          <w:rFonts w:hint="eastAsia" w:ascii="仿宋_GB2312" w:hAnsi="仿宋_GB2312" w:cs="仿宋_GB2312"/>
          <w:color w:val="auto"/>
          <w:sz w:val="28"/>
          <w:szCs w:val="28"/>
          <w:highlight w:val="none"/>
        </w:rPr>
        <w:t>分。</w:t>
      </w:r>
    </w:p>
    <w:p w14:paraId="196C55D4">
      <w:pPr>
        <w:pStyle w:val="6"/>
        <w:bidi w:val="0"/>
        <w:rPr>
          <w:rFonts w:hint="eastAsia"/>
          <w:color w:val="auto"/>
          <w:highlight w:val="none"/>
          <w:lang w:val="en-US" w:eastAsia="zh-CN"/>
        </w:rPr>
      </w:pPr>
      <w:r>
        <w:rPr>
          <w:rFonts w:hint="eastAsia"/>
          <w:color w:val="auto"/>
          <w:highlight w:val="none"/>
          <w:lang w:val="en-US" w:eastAsia="zh-CN"/>
        </w:rPr>
        <w:t>2.社会成本指标完成情况分析</w:t>
      </w:r>
    </w:p>
    <w:p w14:paraId="61F1EC1A">
      <w:pPr>
        <w:pStyle w:val="2"/>
        <w:rPr>
          <w:rFonts w:hint="eastAsia"/>
        </w:rPr>
      </w:pPr>
      <w:r>
        <w:rPr>
          <w:rFonts w:hint="eastAsia"/>
        </w:rPr>
        <w:t>无</w:t>
      </w:r>
    </w:p>
    <w:p w14:paraId="6395EA31">
      <w:pPr>
        <w:pStyle w:val="6"/>
        <w:bidi w:val="0"/>
        <w:rPr>
          <w:rFonts w:hint="eastAsia"/>
          <w:color w:val="auto"/>
          <w:highlight w:val="none"/>
          <w:lang w:val="en-US" w:eastAsia="zh-CN"/>
        </w:rPr>
      </w:pPr>
      <w:r>
        <w:rPr>
          <w:rFonts w:hint="eastAsia"/>
          <w:color w:val="auto"/>
          <w:highlight w:val="none"/>
          <w:lang w:val="en-US" w:eastAsia="zh-CN"/>
        </w:rPr>
        <w:t>3.生态环境成本指标完成情况分析</w:t>
      </w:r>
    </w:p>
    <w:p w14:paraId="0BE7F012">
      <w:pPr>
        <w:pStyle w:val="2"/>
        <w:rPr>
          <w:rFonts w:hint="eastAsia"/>
        </w:rPr>
      </w:pPr>
      <w:r>
        <w:rPr>
          <w:rFonts w:hint="eastAsia"/>
        </w:rPr>
        <w:t>无</w:t>
      </w:r>
    </w:p>
    <w:p w14:paraId="67117994">
      <w:pPr>
        <w:pStyle w:val="5"/>
        <w:bidi w:val="0"/>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w:t>
      </w:r>
      <w:r>
        <w:rPr>
          <w:rFonts w:hint="eastAsia" w:ascii="仿宋_GB2312" w:hAnsi="仿宋_GB2312" w:cs="仿宋_GB2312"/>
          <w:color w:val="auto"/>
          <w:sz w:val="32"/>
          <w:highlight w:val="none"/>
          <w:lang w:eastAsia="zh-CN"/>
        </w:rPr>
        <w:t>五</w:t>
      </w:r>
      <w:r>
        <w:rPr>
          <w:rFonts w:hint="eastAsia" w:ascii="仿宋_GB2312" w:hAnsi="仿宋_GB2312" w:cs="仿宋_GB2312"/>
          <w:color w:val="auto"/>
          <w:sz w:val="32"/>
          <w:highlight w:val="none"/>
        </w:rPr>
        <w:t>）项目效益情况</w:t>
      </w:r>
    </w:p>
    <w:p w14:paraId="786FD067">
      <w:pPr>
        <w:bidi w:val="0"/>
        <w:rPr>
          <w:rFonts w:hint="eastAsia" w:ascii="仿宋_GB2312" w:cs="仿宋_GB2312"/>
          <w:color w:val="auto"/>
          <w:sz w:val="28"/>
          <w:szCs w:val="28"/>
          <w:highlight w:val="none"/>
        </w:rPr>
      </w:pPr>
      <w:r>
        <w:rPr>
          <w:rFonts w:hint="eastAsia"/>
          <w:color w:val="auto"/>
          <w:highlight w:val="none"/>
          <w:lang w:eastAsia="zh-CN"/>
        </w:rPr>
        <w:t>项目效益类指标由</w:t>
      </w:r>
      <w:r>
        <w:rPr>
          <w:rFonts w:hint="eastAsia" w:ascii="仿宋_GB2312" w:cs="仿宋_GB2312"/>
          <w:color w:val="auto"/>
          <w:sz w:val="28"/>
          <w:szCs w:val="28"/>
          <w:highlight w:val="none"/>
          <w:lang w:val="en-US" w:eastAsia="zh-CN"/>
        </w:rPr>
        <w:t>3</w:t>
      </w:r>
      <w:r>
        <w:rPr>
          <w:rFonts w:hint="eastAsia"/>
          <w:color w:val="auto"/>
          <w:highlight w:val="none"/>
          <w:lang w:eastAsia="zh-CN"/>
        </w:rPr>
        <w:t>个二级指标和</w:t>
      </w:r>
      <w:r>
        <w:rPr>
          <w:rFonts w:hint="eastAsia" w:ascii="仿宋_GB2312" w:cs="仿宋_GB2312"/>
          <w:color w:val="auto"/>
          <w:sz w:val="28"/>
          <w:szCs w:val="28"/>
          <w:highlight w:val="none"/>
          <w:lang w:val="en-US" w:eastAsia="zh-CN"/>
        </w:rPr>
        <w:t>3</w:t>
      </w:r>
      <w:r>
        <w:rPr>
          <w:rFonts w:hint="eastAsia"/>
          <w:color w:val="auto"/>
          <w:highlight w:val="none"/>
          <w:lang w:eastAsia="zh-CN"/>
        </w:rPr>
        <w:t>个三级指标构成</w:t>
      </w:r>
      <w:r>
        <w:rPr>
          <w:rFonts w:hint="eastAsia" w:ascii="仿宋_GB2312" w:cs="仿宋_GB2312"/>
          <w:color w:val="auto"/>
          <w:sz w:val="28"/>
          <w:szCs w:val="28"/>
          <w:highlight w:val="none"/>
        </w:rPr>
        <w:t>，权重分为</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分，实际得分</w:t>
      </w:r>
      <w:r>
        <w:rPr>
          <w:rFonts w:hint="eastAsia" w:ascii="仿宋_GB2312" w:cs="仿宋_GB2312"/>
          <w:color w:val="auto"/>
          <w:sz w:val="28"/>
          <w:szCs w:val="28"/>
          <w:highlight w:val="none"/>
          <w:lang w:val="en-US" w:eastAsia="zh-CN"/>
        </w:rPr>
        <w:t>24</w:t>
      </w:r>
      <w:r>
        <w:rPr>
          <w:rFonts w:hint="eastAsia" w:ascii="仿宋_GB2312" w:cs="仿宋_GB2312"/>
          <w:color w:val="auto"/>
          <w:sz w:val="28"/>
          <w:szCs w:val="28"/>
          <w:highlight w:val="none"/>
        </w:rPr>
        <w:t>分，得分率为</w:t>
      </w:r>
      <w:r>
        <w:rPr>
          <w:rFonts w:hint="eastAsia" w:ascii="仿宋_GB2312" w:cs="仿宋_GB2312"/>
          <w:color w:val="auto"/>
          <w:sz w:val="28"/>
          <w:szCs w:val="28"/>
          <w:highlight w:val="none"/>
          <w:lang w:val="en-US" w:eastAsia="zh-CN"/>
        </w:rPr>
        <w:t>100</w:t>
      </w:r>
      <w:r>
        <w:rPr>
          <w:rFonts w:hint="eastAsia" w:ascii="仿宋_GB2312" w:cs="仿宋_GB2312"/>
          <w:color w:val="auto"/>
          <w:sz w:val="28"/>
          <w:szCs w:val="28"/>
          <w:highlight w:val="none"/>
        </w:rPr>
        <w:t>%。</w:t>
      </w:r>
    </w:p>
    <w:p w14:paraId="42ACBF57">
      <w:pPr>
        <w:pStyle w:val="6"/>
        <w:bidi w:val="0"/>
        <w:rPr>
          <w:rFonts w:hint="eastAsia" w:ascii="仿宋_GB2312" w:hAnsi="仿宋_GB2312" w:cs="仿宋_GB2312"/>
          <w:b/>
          <w:bCs/>
          <w:color w:val="auto"/>
          <w:sz w:val="28"/>
          <w:szCs w:val="28"/>
          <w:highlight w:val="none"/>
          <w:lang w:val="en-US" w:eastAsia="zh-CN"/>
        </w:rPr>
      </w:pPr>
      <w:r>
        <w:rPr>
          <w:rFonts w:hint="eastAsia" w:cs="仿宋_GB2312"/>
          <w:b/>
          <w:bCs/>
          <w:color w:val="auto"/>
          <w:sz w:val="28"/>
          <w:szCs w:val="28"/>
          <w:highlight w:val="none"/>
          <w:lang w:val="en-US" w:eastAsia="zh-CN"/>
        </w:rPr>
        <w:t>1.</w:t>
      </w:r>
      <w:r>
        <w:rPr>
          <w:rFonts w:hint="eastAsia" w:ascii="仿宋_GB2312" w:hAnsi="仿宋_GB2312" w:cs="仿宋_GB2312"/>
          <w:b/>
          <w:bCs/>
          <w:color w:val="auto"/>
          <w:sz w:val="28"/>
          <w:szCs w:val="28"/>
          <w:highlight w:val="none"/>
          <w:lang w:val="en-US" w:eastAsia="zh-CN"/>
        </w:rPr>
        <w:t>经济效益指标完成情况分析</w:t>
      </w:r>
    </w:p>
    <w:p w14:paraId="7F73B4BB">
      <w:pPr>
        <w:bidi w:val="0"/>
        <w:rPr>
          <w:rFonts w:hint="default" w:ascii="仿宋_GB2312" w:hAnsi="仿宋_GB2312" w:eastAsia="仿宋_GB2312" w:cs="仿宋_GB2312"/>
          <w:b w:val="0"/>
          <w:bCs w:val="0"/>
          <w:color w:val="auto"/>
          <w:kern w:val="2"/>
          <w:sz w:val="28"/>
          <w:szCs w:val="28"/>
          <w:highlight w:val="none"/>
          <w:lang w:val="en-US" w:eastAsia="zh-CN" w:bidi="ar-SA"/>
        </w:rPr>
      </w:pPr>
      <w:r>
        <w:rPr>
          <w:rFonts w:hint="eastAsia" w:ascii="仿宋_GB2312" w:hAnsi="仿宋_GB2312" w:cs="仿宋_GB2312"/>
          <w:b w:val="0"/>
          <w:bCs w:val="0"/>
          <w:color w:val="auto"/>
          <w:kern w:val="2"/>
          <w:sz w:val="28"/>
          <w:szCs w:val="28"/>
          <w:highlight w:val="none"/>
          <w:lang w:val="en-US" w:eastAsia="zh-CN" w:bidi="ar-SA"/>
        </w:rPr>
        <w:t>无</w:t>
      </w:r>
      <w:r>
        <w:rPr>
          <w:rFonts w:hint="eastAsia" w:ascii="仿宋_GB2312" w:hAnsi="仿宋_GB2312" w:cs="仿宋_GB2312"/>
          <w:color w:val="auto"/>
          <w:sz w:val="28"/>
          <w:szCs w:val="28"/>
          <w:highlight w:val="none"/>
        </w:rPr>
        <w:t>。</w:t>
      </w:r>
    </w:p>
    <w:p w14:paraId="5BF8F461">
      <w:pPr>
        <w:pStyle w:val="6"/>
        <w:bidi w:val="0"/>
        <w:rPr>
          <w:rFonts w:hint="eastAsia" w:ascii="仿宋_GB2312" w:hAnsi="仿宋_GB2312" w:eastAsia="仿宋_GB2312" w:cs="仿宋_GB2312"/>
          <w:b/>
          <w:bCs/>
          <w:color w:val="auto"/>
          <w:kern w:val="0"/>
          <w:sz w:val="28"/>
          <w:szCs w:val="28"/>
          <w:highlight w:val="none"/>
          <w:lang w:val="en-US" w:eastAsia="zh-CN" w:bidi="ar-SA"/>
        </w:rPr>
      </w:pPr>
      <w:r>
        <w:rPr>
          <w:rFonts w:hint="eastAsia" w:ascii="仿宋_GB2312" w:hAnsi="仿宋_GB2312" w:cs="仿宋_GB2312"/>
          <w:b/>
          <w:bCs/>
          <w:color w:val="auto"/>
          <w:sz w:val="28"/>
          <w:szCs w:val="28"/>
          <w:highlight w:val="none"/>
          <w:lang w:val="en-US" w:eastAsia="zh-CN"/>
        </w:rPr>
        <w:t>2.</w:t>
      </w:r>
      <w:r>
        <w:rPr>
          <w:rFonts w:hint="eastAsia" w:cs="仿宋_GB2312"/>
          <w:b/>
          <w:bCs/>
          <w:color w:val="auto"/>
          <w:sz w:val="28"/>
          <w:szCs w:val="28"/>
          <w:highlight w:val="none"/>
          <w:lang w:val="en-US" w:eastAsia="zh-CN"/>
        </w:rPr>
        <w:t>社会效益</w:t>
      </w:r>
      <w:r>
        <w:rPr>
          <w:rFonts w:hint="eastAsia" w:ascii="仿宋_GB2312" w:hAnsi="仿宋_GB2312" w:cs="仿宋_GB2312"/>
          <w:b/>
          <w:bCs/>
          <w:color w:val="auto"/>
          <w:sz w:val="28"/>
          <w:szCs w:val="28"/>
          <w:highlight w:val="none"/>
          <w:lang w:val="en-US" w:eastAsia="zh-CN"/>
        </w:rPr>
        <w:t>指标完成情况分析</w:t>
      </w:r>
    </w:p>
    <w:p w14:paraId="36EF2602">
      <w:pPr>
        <w:bidi w:val="0"/>
        <w:rPr>
          <w:rFonts w:hint="eastAsia" w:ascii="仿宋_GB2312" w:hAnsi="仿宋_GB2312" w:cs="仿宋_GB2312"/>
          <w:color w:val="auto"/>
          <w:sz w:val="28"/>
          <w:szCs w:val="28"/>
          <w:highlight w:val="none"/>
        </w:rPr>
      </w:pPr>
      <w:r>
        <w:rPr>
          <w:rFonts w:hint="eastAsia" w:ascii="仿宋_GB2312" w:hAnsi="仿宋_GB2312" w:eastAsia="仿宋_GB2312" w:cs="仿宋_GB2312"/>
          <w:b w:val="0"/>
          <w:bCs w:val="0"/>
          <w:color w:val="auto"/>
          <w:kern w:val="2"/>
          <w:sz w:val="28"/>
          <w:szCs w:val="28"/>
          <w:highlight w:val="none"/>
          <w:lang w:val="en-US" w:eastAsia="zh-CN" w:bidi="ar-SA"/>
        </w:rPr>
        <w:t>“学前三年毛入率”指标：</w:t>
      </w:r>
      <w:r>
        <w:rPr>
          <w:rFonts w:hint="eastAsia" w:ascii="仿宋_GB2312" w:hAnsi="仿宋_GB2312" w:cs="仿宋_GB2312"/>
          <w:color w:val="auto"/>
          <w:sz w:val="28"/>
          <w:szCs w:val="28"/>
          <w:highlight w:val="none"/>
        </w:rPr>
        <w:t>预期指标值为</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rPr>
        <w:t>100%</w:t>
      </w:r>
      <w:r>
        <w:rPr>
          <w:rFonts w:hint="eastAsia" w:cs="仿宋_GB2312"/>
          <w:color w:val="auto"/>
          <w:sz w:val="28"/>
          <w:szCs w:val="28"/>
          <w:highlight w:val="none"/>
          <w:lang w:eastAsia="zh-CN"/>
        </w:rPr>
        <w:t>，</w:t>
      </w:r>
      <w:r>
        <w:rPr>
          <w:rFonts w:hint="eastAsia" w:ascii="仿宋_GB2312" w:hAnsi="仿宋_GB2312" w:cs="仿宋_GB2312"/>
          <w:color w:val="auto"/>
          <w:sz w:val="28"/>
          <w:szCs w:val="28"/>
          <w:highlight w:val="none"/>
        </w:rPr>
        <w:t>实际完成指标值</w:t>
      </w:r>
      <w:r>
        <w:rPr>
          <w:rFonts w:hint="eastAsia" w:ascii="仿宋_GB2312" w:hAnsi="仿宋_GB2312" w:cs="仿宋_GB2312"/>
          <w:color w:val="auto"/>
          <w:sz w:val="28"/>
          <w:szCs w:val="28"/>
          <w:highlight w:val="none"/>
          <w:lang w:eastAsia="zh-CN"/>
        </w:rPr>
        <w:t>为</w:t>
      </w:r>
      <w:r>
        <w:rPr>
          <w:rFonts w:hint="eastAsia" w:cs="仿宋_GB2312"/>
          <w:color w:val="auto"/>
          <w:sz w:val="28"/>
          <w:szCs w:val="28"/>
          <w:highlight w:val="none"/>
          <w:lang w:val="en-US" w:eastAsia="zh-CN"/>
        </w:rPr>
        <w:t>100%，</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0581D1FA">
      <w:pPr>
        <w:bidi w:val="0"/>
        <w:rPr>
          <w:rFonts w:hint="eastAsia"/>
          <w:color w:val="auto"/>
          <w:highlight w:val="none"/>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积极提高学前教育普惠保障水平</w:t>
      </w:r>
      <w:r>
        <w:rPr>
          <w:rFonts w:hint="eastAsia" w:ascii="仿宋_GB2312" w:hAnsi="仿宋_GB2312" w:cs="仿宋_GB2312"/>
          <w:color w:val="auto"/>
          <w:sz w:val="28"/>
          <w:szCs w:val="28"/>
          <w:highlight w:val="none"/>
        </w:rPr>
        <w:t>”指标：预期指标值为</w:t>
      </w:r>
      <w:r>
        <w:rPr>
          <w:rFonts w:hint="eastAsia" w:ascii="仿宋_GB2312" w:hAnsi="仿宋_GB2312" w:cs="仿宋_GB2312"/>
          <w:color w:val="auto"/>
          <w:sz w:val="28"/>
          <w:szCs w:val="28"/>
          <w:highlight w:val="none"/>
          <w:lang w:val="en-US" w:eastAsia="zh-CN"/>
        </w:rPr>
        <w:t>有效提高</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达成年度指标</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p>
    <w:p w14:paraId="1A153F2D">
      <w:pPr>
        <w:pStyle w:val="6"/>
        <w:bidi w:val="0"/>
        <w:rPr>
          <w:rFonts w:hint="eastAsia"/>
          <w:color w:val="auto"/>
          <w:highlight w:val="none"/>
          <w:lang w:val="en-US" w:eastAsia="zh-CN"/>
        </w:rPr>
      </w:pPr>
      <w:r>
        <w:rPr>
          <w:rFonts w:hint="eastAsia"/>
          <w:color w:val="auto"/>
          <w:highlight w:val="none"/>
          <w:lang w:val="en-US" w:eastAsia="zh-CN"/>
        </w:rPr>
        <w:t>3.生态效益指标完成情况分析</w:t>
      </w:r>
    </w:p>
    <w:p w14:paraId="04FC1AE3">
      <w:pPr>
        <w:bidi w:val="0"/>
        <w:rPr>
          <w:rFonts w:hint="default"/>
          <w:color w:val="auto"/>
          <w:highlight w:val="none"/>
          <w:lang w:val="en-US" w:eastAsia="zh-CN"/>
        </w:rPr>
      </w:pPr>
      <w:r>
        <w:rPr>
          <w:rFonts w:hint="eastAsia"/>
          <w:color w:val="auto"/>
          <w:highlight w:val="none"/>
          <w:lang w:val="en-US" w:eastAsia="zh-CN"/>
        </w:rPr>
        <w:t>无</w:t>
      </w:r>
    </w:p>
    <w:p w14:paraId="3C890F73">
      <w:pPr>
        <w:pStyle w:val="6"/>
        <w:bidi w:val="0"/>
        <w:rPr>
          <w:rFonts w:hint="eastAsia"/>
          <w:color w:val="auto"/>
          <w:highlight w:val="none"/>
          <w:lang w:val="en-US" w:eastAsia="zh-CN"/>
        </w:rPr>
      </w:pPr>
      <w:r>
        <w:rPr>
          <w:rFonts w:hint="eastAsia"/>
          <w:color w:val="auto"/>
          <w:highlight w:val="none"/>
          <w:lang w:val="en-US" w:eastAsia="zh-CN"/>
        </w:rPr>
        <w:t>4.满意度指标完成情况分析</w:t>
      </w:r>
    </w:p>
    <w:p w14:paraId="1F7BB0DA">
      <w:pPr>
        <w:bidi w:val="0"/>
        <w:rPr>
          <w:rFonts w:hint="eastAsia"/>
          <w:color w:val="auto"/>
          <w:highlight w:val="none"/>
          <w:lang w:eastAsia="zh-CN"/>
        </w:rPr>
      </w:pP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受益幼儿家长满意度</w:t>
      </w:r>
      <w:r>
        <w:rPr>
          <w:rFonts w:hint="eastAsia" w:ascii="仿宋_GB2312" w:hAnsi="仿宋_GB2312" w:cs="仿宋_GB2312"/>
          <w:color w:val="auto"/>
          <w:sz w:val="28"/>
          <w:szCs w:val="28"/>
          <w:highlight w:val="none"/>
        </w:rPr>
        <w:t>”指标：预期指标值</w:t>
      </w:r>
      <w:r>
        <w:rPr>
          <w:rFonts w:hint="eastAsia" w:ascii="仿宋_GB2312" w:hAnsi="仿宋_GB2312" w:cs="仿宋_GB2312"/>
          <w:color w:val="auto"/>
          <w:sz w:val="28"/>
          <w:szCs w:val="28"/>
          <w:highlight w:val="none"/>
          <w:lang w:eastAsia="zh-CN"/>
        </w:rPr>
        <w:t>大于等于</w:t>
      </w:r>
      <w:r>
        <w:rPr>
          <w:rFonts w:hint="eastAsia" w:ascii="仿宋_GB2312" w:hAnsi="仿宋_GB2312" w:cs="仿宋_GB2312"/>
          <w:color w:val="auto"/>
          <w:sz w:val="28"/>
          <w:szCs w:val="28"/>
          <w:highlight w:val="none"/>
          <w:lang w:val="en-US" w:eastAsia="zh-CN"/>
        </w:rPr>
        <w:t>90%</w:t>
      </w:r>
      <w:r>
        <w:rPr>
          <w:rFonts w:hint="eastAsia" w:ascii="仿宋_GB2312" w:hAnsi="仿宋_GB2312" w:cs="仿宋_GB2312"/>
          <w:color w:val="auto"/>
          <w:sz w:val="28"/>
          <w:szCs w:val="28"/>
          <w:highlight w:val="none"/>
        </w:rPr>
        <w:t>，实际完成指标值为</w:t>
      </w:r>
      <w:r>
        <w:rPr>
          <w:rFonts w:hint="eastAsia" w:ascii="仿宋_GB2312" w:hAnsi="仿宋_GB2312" w:cs="仿宋_GB2312"/>
          <w:color w:val="auto"/>
          <w:sz w:val="28"/>
          <w:szCs w:val="28"/>
          <w:highlight w:val="none"/>
          <w:lang w:val="en-US" w:eastAsia="zh-CN"/>
        </w:rPr>
        <w:t>97.8%</w:t>
      </w:r>
      <w:r>
        <w:rPr>
          <w:rFonts w:hint="eastAsia" w:ascii="仿宋_GB2312" w:hAnsi="仿宋_GB2312" w:cs="仿宋_GB2312"/>
          <w:color w:val="auto"/>
          <w:sz w:val="28"/>
          <w:szCs w:val="28"/>
          <w:highlight w:val="none"/>
        </w:rPr>
        <w:t>，指标完成率为</w:t>
      </w:r>
      <w:r>
        <w:rPr>
          <w:rFonts w:hint="eastAsia" w:ascii="仿宋_GB2312" w:hAnsi="仿宋_GB2312" w:cs="仿宋_GB2312"/>
          <w:color w:val="auto"/>
          <w:sz w:val="28"/>
          <w:szCs w:val="28"/>
          <w:highlight w:val="none"/>
          <w:lang w:val="en-US" w:eastAsia="zh-CN"/>
        </w:rPr>
        <w:t>100</w:t>
      </w:r>
      <w:r>
        <w:rPr>
          <w:rFonts w:hint="eastAsia" w:ascii="仿宋_GB2312" w:hAnsi="仿宋_GB2312" w:cs="仿宋_GB2312"/>
          <w:color w:val="auto"/>
          <w:sz w:val="28"/>
          <w:szCs w:val="28"/>
          <w:highlight w:val="none"/>
        </w:rPr>
        <w:t>%</w:t>
      </w:r>
      <w:r>
        <w:rPr>
          <w:rFonts w:hint="eastAsia" w:ascii="仿宋_GB2312" w:hAnsi="仿宋_GB2312" w:cs="仿宋_GB2312"/>
          <w:color w:val="auto"/>
          <w:sz w:val="28"/>
          <w:szCs w:val="28"/>
          <w:highlight w:val="none"/>
          <w:lang w:val="en-US" w:eastAsia="zh-CN"/>
        </w:rPr>
        <w:t>。</w:t>
      </w:r>
      <w:r>
        <w:rPr>
          <w:rFonts w:hint="eastAsia" w:ascii="仿宋_GB2312" w:cs="仿宋_GB2312"/>
          <w:color w:val="auto"/>
          <w:sz w:val="28"/>
          <w:szCs w:val="28"/>
          <w:highlight w:val="none"/>
        </w:rPr>
        <w:t>本指标满分为</w:t>
      </w:r>
      <w:r>
        <w:rPr>
          <w:rFonts w:hint="eastAsia" w:ascii="仿宋_GB2312" w:cs="仿宋_GB2312"/>
          <w:color w:val="auto"/>
          <w:sz w:val="28"/>
          <w:szCs w:val="28"/>
          <w:highlight w:val="none"/>
          <w:lang w:val="en-US" w:eastAsia="zh-CN"/>
        </w:rPr>
        <w:t>8</w:t>
      </w:r>
      <w:r>
        <w:rPr>
          <w:rFonts w:hint="eastAsia" w:ascii="仿宋_GB2312" w:cs="仿宋_GB2312"/>
          <w:color w:val="auto"/>
          <w:sz w:val="28"/>
          <w:szCs w:val="28"/>
          <w:highlight w:val="none"/>
        </w:rPr>
        <w:t>分，</w:t>
      </w:r>
      <w:r>
        <w:rPr>
          <w:rFonts w:hint="eastAsia" w:ascii="仿宋_GB2312" w:hAnsi="仿宋_GB2312" w:cs="仿宋_GB2312"/>
          <w:color w:val="auto"/>
          <w:sz w:val="28"/>
          <w:szCs w:val="28"/>
          <w:highlight w:val="none"/>
        </w:rPr>
        <w:t>根据评分标准，该指标得</w:t>
      </w:r>
      <w:r>
        <w:rPr>
          <w:rFonts w:hint="eastAsia" w:ascii="仿宋_GB2312" w:cs="仿宋_GB2312"/>
          <w:color w:val="auto"/>
          <w:sz w:val="28"/>
          <w:szCs w:val="28"/>
          <w:highlight w:val="none"/>
          <w:lang w:val="en-US" w:eastAsia="zh-CN"/>
        </w:rPr>
        <w:t>8</w:t>
      </w:r>
      <w:r>
        <w:rPr>
          <w:rFonts w:hint="eastAsia" w:ascii="仿宋_GB2312" w:hAnsi="仿宋_GB2312" w:cs="仿宋_GB2312"/>
          <w:color w:val="auto"/>
          <w:sz w:val="28"/>
          <w:szCs w:val="28"/>
          <w:highlight w:val="none"/>
        </w:rPr>
        <w:t>分</w:t>
      </w:r>
      <w:bookmarkEnd w:id="15"/>
      <w:r>
        <w:rPr>
          <w:rFonts w:hint="eastAsia"/>
          <w:color w:val="auto"/>
          <w:highlight w:val="none"/>
          <w:lang w:eastAsia="zh-CN"/>
        </w:rPr>
        <w:t>。</w:t>
      </w:r>
    </w:p>
    <w:p w14:paraId="687210A7">
      <w:pPr>
        <w:pStyle w:val="4"/>
        <w:ind w:firstLine="640"/>
        <w:rPr>
          <w:rFonts w:hint="eastAsia"/>
          <w:color w:val="auto"/>
          <w:highlight w:val="none"/>
          <w:lang w:val="en-US" w:eastAsia="zh-CN"/>
        </w:rPr>
      </w:pPr>
      <w:r>
        <w:rPr>
          <w:rFonts w:hint="eastAsia"/>
          <w:color w:val="auto"/>
          <w:highlight w:val="none"/>
          <w:lang w:val="en-US" w:eastAsia="zh-CN"/>
        </w:rPr>
        <w:t>五、预算执行进度与绩效指标偏差</w:t>
      </w:r>
    </w:p>
    <w:p w14:paraId="6E9AC92D">
      <w:pPr>
        <w:bidi w:val="0"/>
        <w:rPr>
          <w:rFonts w:hint="eastAsia" w:ascii="仿宋_GB2312" w:hAnsi="Times New Roman" w:cs="仿宋_GB2312"/>
          <w:color w:val="auto"/>
          <w:sz w:val="28"/>
          <w:szCs w:val="28"/>
          <w:highlight w:val="none"/>
          <w:lang w:val="en-US" w:eastAsia="zh-CN"/>
        </w:rPr>
      </w:pPr>
      <w:r>
        <w:rPr>
          <w:rFonts w:hint="eastAsia" w:ascii="仿宋_GB2312" w:hAnsi="Times New Roman" w:cs="仿宋_GB2312"/>
          <w:color w:val="auto"/>
          <w:sz w:val="28"/>
          <w:szCs w:val="28"/>
          <w:highlight w:val="none"/>
          <w:lang w:eastAsia="zh-CN"/>
        </w:rPr>
        <w:t>本项目</w:t>
      </w:r>
      <w:r>
        <w:rPr>
          <w:rFonts w:hint="eastAsia" w:ascii="仿宋_GB2312" w:hAnsi="Times New Roman" w:cs="仿宋_GB2312"/>
          <w:color w:val="auto"/>
          <w:sz w:val="28"/>
          <w:szCs w:val="28"/>
          <w:highlight w:val="none"/>
          <w:lang w:val="en-US" w:eastAsia="zh-CN"/>
        </w:rPr>
        <w:t>全年预算数为</w:t>
      </w:r>
      <w:r>
        <w:rPr>
          <w:rFonts w:hint="eastAsia" w:ascii="仿宋_GB2312" w:hAnsi="仿宋_GB2312" w:cs="仿宋_GB2312"/>
          <w:color w:val="auto"/>
          <w:sz w:val="28"/>
          <w:szCs w:val="28"/>
          <w:highlight w:val="none"/>
          <w:lang w:val="en-US" w:eastAsia="zh-CN"/>
        </w:rPr>
        <w:t>83.87</w:t>
      </w:r>
      <w:r>
        <w:rPr>
          <w:rFonts w:hint="eastAsia" w:ascii="仿宋_GB2312" w:hAnsi="Times New Roman" w:cs="仿宋_GB2312"/>
          <w:color w:val="auto"/>
          <w:sz w:val="28"/>
          <w:szCs w:val="28"/>
          <w:highlight w:val="none"/>
          <w:lang w:val="en-US" w:eastAsia="zh-CN"/>
        </w:rPr>
        <w:t>万元，全年到位数为</w:t>
      </w:r>
      <w:r>
        <w:rPr>
          <w:rFonts w:hint="eastAsia" w:ascii="仿宋_GB2312" w:hAnsi="仿宋_GB2312" w:cs="仿宋_GB2312"/>
          <w:color w:val="auto"/>
          <w:sz w:val="28"/>
          <w:szCs w:val="28"/>
          <w:highlight w:val="none"/>
          <w:lang w:val="en-US" w:eastAsia="zh-CN"/>
        </w:rPr>
        <w:t>83.87</w:t>
      </w:r>
      <w:r>
        <w:rPr>
          <w:rFonts w:hint="eastAsia" w:ascii="仿宋_GB2312" w:hAnsi="Times New Roman" w:cs="仿宋_GB2312"/>
          <w:color w:val="auto"/>
          <w:sz w:val="28"/>
          <w:szCs w:val="28"/>
          <w:highlight w:val="none"/>
          <w:lang w:val="en-US" w:eastAsia="zh-CN"/>
        </w:rPr>
        <w:t>万元，全年执行数为</w:t>
      </w:r>
      <w:r>
        <w:rPr>
          <w:rFonts w:hint="eastAsia" w:ascii="仿宋_GB2312" w:hAnsi="仿宋_GB2312" w:cs="仿宋_GB2312"/>
          <w:color w:val="auto"/>
          <w:sz w:val="28"/>
          <w:szCs w:val="28"/>
          <w:highlight w:val="none"/>
          <w:lang w:val="en-US" w:eastAsia="zh-CN"/>
        </w:rPr>
        <w:t>80.5</w:t>
      </w:r>
      <w:r>
        <w:rPr>
          <w:rFonts w:hint="eastAsia" w:ascii="仿宋_GB2312" w:hAnsi="Times New Roman" w:cs="仿宋_GB2312"/>
          <w:color w:val="auto"/>
          <w:sz w:val="28"/>
          <w:szCs w:val="28"/>
          <w:highlight w:val="none"/>
          <w:lang w:val="en-US" w:eastAsia="zh-CN"/>
        </w:rPr>
        <w:t>万元，预算执行率为96%。</w:t>
      </w:r>
    </w:p>
    <w:p w14:paraId="14691784">
      <w:pPr>
        <w:bidi w:val="0"/>
        <w:rPr>
          <w:rFonts w:hint="eastAsia" w:ascii="仿宋_GB2312" w:hAnsi="Times New Roman" w:cs="仿宋_GB2312"/>
          <w:color w:val="auto"/>
          <w:sz w:val="28"/>
          <w:szCs w:val="28"/>
          <w:highlight w:val="none"/>
        </w:rPr>
      </w:pPr>
      <w:r>
        <w:rPr>
          <w:rFonts w:hint="eastAsia" w:ascii="仿宋_GB2312" w:hAnsi="Times New Roman" w:cs="仿宋_GB2312"/>
          <w:color w:val="auto"/>
          <w:sz w:val="28"/>
          <w:szCs w:val="28"/>
          <w:highlight w:val="none"/>
        </w:rPr>
        <w:t>本</w:t>
      </w:r>
      <w:r>
        <w:rPr>
          <w:rFonts w:hint="eastAsia" w:ascii="仿宋_GB2312" w:hAnsi="Times New Roman" w:cs="仿宋_GB2312"/>
          <w:color w:val="auto"/>
          <w:sz w:val="28"/>
          <w:szCs w:val="28"/>
          <w:highlight w:val="none"/>
          <w:lang w:val="zh-TW" w:eastAsia="zh-TW"/>
        </w:rPr>
        <w:t>项目共设置</w:t>
      </w:r>
      <w:r>
        <w:rPr>
          <w:rFonts w:hint="eastAsia" w:ascii="仿宋_GB2312" w:hAnsi="Times New Roman" w:cs="仿宋_GB2312"/>
          <w:color w:val="auto"/>
          <w:sz w:val="28"/>
          <w:szCs w:val="28"/>
          <w:highlight w:val="none"/>
        </w:rPr>
        <w:t>三级指标数量</w:t>
      </w:r>
      <w:r>
        <w:rPr>
          <w:rFonts w:hint="eastAsia" w:ascii="仿宋_GB2312" w:hAnsi="Times New Roman" w:cs="仿宋_GB2312"/>
          <w:color w:val="auto"/>
          <w:sz w:val="28"/>
          <w:szCs w:val="28"/>
          <w:highlight w:val="none"/>
          <w:lang w:val="en-US" w:eastAsia="zh-CN"/>
        </w:rPr>
        <w:t>1</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zh-TW" w:eastAsia="zh-TW"/>
        </w:rPr>
        <w:t>个，</w:t>
      </w:r>
      <w:r>
        <w:rPr>
          <w:rFonts w:hint="eastAsia" w:ascii="仿宋_GB2312" w:hAnsi="Times New Roman" w:cs="仿宋_GB2312"/>
          <w:color w:val="auto"/>
          <w:sz w:val="28"/>
          <w:szCs w:val="28"/>
          <w:highlight w:val="none"/>
          <w:lang w:val="zh-TW" w:eastAsia="zh-CN"/>
        </w:rPr>
        <w:t>满分指标数量</w:t>
      </w:r>
      <w:r>
        <w:rPr>
          <w:rFonts w:hint="eastAsia" w:ascii="仿宋_GB2312" w:cs="仿宋_GB2312"/>
          <w:color w:val="auto"/>
          <w:sz w:val="28"/>
          <w:szCs w:val="28"/>
          <w:highlight w:val="none"/>
          <w:lang w:val="en-US" w:eastAsia="zh-CN"/>
        </w:rPr>
        <w:t>10</w:t>
      </w:r>
      <w:r>
        <w:rPr>
          <w:rFonts w:hint="eastAsia" w:ascii="仿宋_GB2312" w:hAnsi="Times New Roman" w:cs="仿宋_GB2312"/>
          <w:color w:val="auto"/>
          <w:sz w:val="28"/>
          <w:szCs w:val="28"/>
          <w:highlight w:val="none"/>
          <w:lang w:val="en-US" w:eastAsia="zh-CN"/>
        </w:rPr>
        <w:t>个，扣分指标数量</w:t>
      </w:r>
      <w:r>
        <w:rPr>
          <w:rFonts w:hint="eastAsia" w:ascii="仿宋_GB2312" w:cs="仿宋_GB2312"/>
          <w:color w:val="auto"/>
          <w:sz w:val="28"/>
          <w:szCs w:val="28"/>
          <w:highlight w:val="none"/>
          <w:lang w:val="en-US" w:eastAsia="zh-CN"/>
        </w:rPr>
        <w:t>1</w:t>
      </w:r>
      <w:r>
        <w:rPr>
          <w:rFonts w:hint="eastAsia" w:ascii="仿宋_GB2312" w:hAnsi="Times New Roman" w:cs="仿宋_GB2312"/>
          <w:color w:val="auto"/>
          <w:sz w:val="28"/>
          <w:szCs w:val="28"/>
          <w:highlight w:val="none"/>
          <w:lang w:val="en-US" w:eastAsia="zh-CN"/>
        </w:rPr>
        <w:t>个，经分析计算所有三级指标完成率得出本项目</w:t>
      </w:r>
      <w:r>
        <w:rPr>
          <w:rFonts w:hint="eastAsia" w:ascii="仿宋_GB2312" w:hAnsi="Times New Roman" w:cs="仿宋_GB2312"/>
          <w:color w:val="auto"/>
          <w:sz w:val="28"/>
          <w:szCs w:val="28"/>
          <w:highlight w:val="none"/>
        </w:rPr>
        <w:t>总体完成率为</w:t>
      </w:r>
      <w:r>
        <w:rPr>
          <w:rFonts w:hint="eastAsia" w:ascii="仿宋_GB2312" w:cs="仿宋_GB2312"/>
          <w:color w:val="auto"/>
          <w:sz w:val="28"/>
          <w:szCs w:val="28"/>
          <w:highlight w:val="none"/>
          <w:lang w:val="en-US" w:eastAsia="zh-CN"/>
        </w:rPr>
        <w:t>99.6</w:t>
      </w:r>
      <w:r>
        <w:rPr>
          <w:rFonts w:hint="eastAsia" w:ascii="仿宋_GB2312" w:hAnsi="Times New Roman" w:cs="仿宋_GB2312"/>
          <w:color w:val="auto"/>
          <w:sz w:val="28"/>
          <w:szCs w:val="28"/>
          <w:highlight w:val="none"/>
          <w:lang w:val="en-US" w:eastAsia="zh-CN"/>
        </w:rPr>
        <w:t>%</w:t>
      </w:r>
      <w:r>
        <w:rPr>
          <w:rFonts w:hint="eastAsia" w:ascii="仿宋_GB2312" w:hAnsi="Times New Roman" w:cs="仿宋_GB2312"/>
          <w:color w:val="auto"/>
          <w:sz w:val="28"/>
          <w:szCs w:val="28"/>
          <w:highlight w:val="none"/>
          <w:lang w:val="zh-TW" w:eastAsia="zh-TW"/>
        </w:rPr>
        <w:t>。</w:t>
      </w:r>
    </w:p>
    <w:p w14:paraId="5053AE2D">
      <w:pPr>
        <w:bidi w:val="0"/>
        <w:rPr>
          <w:rFonts w:hint="eastAsia"/>
          <w:color w:val="auto"/>
          <w:highlight w:val="none"/>
        </w:rPr>
      </w:pPr>
      <w:r>
        <w:rPr>
          <w:rFonts w:hint="eastAsia" w:ascii="仿宋_GB2312" w:hAnsi="Times New Roman" w:cs="仿宋_GB2312"/>
          <w:color w:val="auto"/>
          <w:sz w:val="28"/>
          <w:szCs w:val="28"/>
          <w:highlight w:val="none"/>
          <w:lang w:val="en-US" w:eastAsia="zh-CN"/>
        </w:rPr>
        <w:t>综上所述本项目预算执行率与总体完成率之间的偏差为</w:t>
      </w:r>
      <w:r>
        <w:rPr>
          <w:rFonts w:hint="eastAsia" w:ascii="仿宋_GB2312" w:cs="仿宋_GB2312"/>
          <w:color w:val="auto"/>
          <w:sz w:val="28"/>
          <w:szCs w:val="28"/>
          <w:highlight w:val="none"/>
          <w:lang w:val="en-US" w:eastAsia="zh-CN"/>
        </w:rPr>
        <w:t>3.6%</w:t>
      </w:r>
      <w:r>
        <w:rPr>
          <w:rFonts w:hint="eastAsia" w:ascii="仿宋_GB2312" w:hAnsi="仿宋_GB2312" w:cs="仿宋_GB2312"/>
          <w:color w:val="auto"/>
          <w:sz w:val="28"/>
          <w:szCs w:val="28"/>
          <w:highlight w:val="none"/>
        </w:rPr>
        <w:t>。</w:t>
      </w:r>
    </w:p>
    <w:p w14:paraId="149253F8">
      <w:pPr>
        <w:pStyle w:val="4"/>
        <w:ind w:firstLine="640"/>
        <w:rPr>
          <w:color w:val="auto"/>
          <w:highlight w:val="none"/>
        </w:rPr>
      </w:pPr>
      <w:r>
        <w:rPr>
          <w:rFonts w:hint="eastAsia"/>
          <w:color w:val="auto"/>
          <w:highlight w:val="none"/>
          <w:lang w:eastAsia="zh-CN"/>
        </w:rPr>
        <w:t>六</w:t>
      </w:r>
      <w:r>
        <w:rPr>
          <w:rFonts w:hint="eastAsia"/>
          <w:color w:val="auto"/>
          <w:highlight w:val="none"/>
        </w:rPr>
        <w:t>、主要经验及做法、存在的问题及原因分析</w:t>
      </w:r>
    </w:p>
    <w:p w14:paraId="562059F8">
      <w:pPr>
        <w:pStyle w:val="5"/>
        <w:numPr>
          <w:ilvl w:val="0"/>
          <w:numId w:val="4"/>
        </w:numPr>
        <w:ind w:firstLine="643"/>
        <w:rPr>
          <w:color w:val="auto"/>
          <w:highlight w:val="none"/>
        </w:rPr>
      </w:pPr>
      <w:bookmarkStart w:id="16" w:name="_Toc1921"/>
      <w:bookmarkStart w:id="17" w:name="_Toc28290"/>
      <w:r>
        <w:rPr>
          <w:rFonts w:hint="eastAsia"/>
          <w:color w:val="auto"/>
          <w:highlight w:val="none"/>
        </w:rPr>
        <w:t>主要经验及做法</w:t>
      </w:r>
    </w:p>
    <w:bookmarkEnd w:id="16"/>
    <w:bookmarkEnd w:id="17"/>
    <w:p w14:paraId="623ABD1B">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一是</w:t>
      </w:r>
      <w:r>
        <w:rPr>
          <w:rFonts w:hint="eastAsia" w:ascii="仿宋_GB2312"/>
          <w:bCs/>
          <w:color w:val="auto"/>
          <w:sz w:val="28"/>
          <w:szCs w:val="28"/>
          <w:highlight w:val="none"/>
        </w:rPr>
        <w:t>严控资金的拨付使用，支出符合国家财经法规和财务管理制度规定以及有关专项资金管理办法的规定；</w:t>
      </w:r>
    </w:p>
    <w:p w14:paraId="2F6D32F5">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二是</w:t>
      </w:r>
      <w:r>
        <w:rPr>
          <w:rFonts w:hint="eastAsia" w:ascii="仿宋_GB2312"/>
          <w:bCs/>
          <w:color w:val="auto"/>
          <w:sz w:val="28"/>
          <w:szCs w:val="28"/>
          <w:highlight w:val="none"/>
        </w:rPr>
        <w:t>资金拨付有完整的审批程序和手续，并制定出了切实可行的实施计划、管理办法等；</w:t>
      </w:r>
    </w:p>
    <w:p w14:paraId="39F18E10">
      <w:pPr>
        <w:spacing w:line="560" w:lineRule="exact"/>
        <w:ind w:firstLine="560" w:firstLineChars="200"/>
        <w:rPr>
          <w:rFonts w:hint="eastAsia" w:ascii="仿宋_GB2312"/>
          <w:bCs/>
          <w:color w:val="auto"/>
          <w:sz w:val="28"/>
          <w:szCs w:val="28"/>
          <w:highlight w:val="none"/>
        </w:rPr>
      </w:pPr>
      <w:r>
        <w:rPr>
          <w:rFonts w:hint="eastAsia" w:ascii="仿宋_GB2312"/>
          <w:bCs/>
          <w:color w:val="auto"/>
          <w:sz w:val="28"/>
          <w:szCs w:val="28"/>
          <w:highlight w:val="none"/>
          <w:lang w:val="en-US" w:eastAsia="zh-CN"/>
        </w:rPr>
        <w:t>三是</w:t>
      </w:r>
      <w:r>
        <w:rPr>
          <w:rFonts w:hint="eastAsia" w:ascii="仿宋_GB2312"/>
          <w:bCs/>
          <w:color w:val="auto"/>
          <w:sz w:val="28"/>
          <w:szCs w:val="28"/>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w:t>
      </w:r>
    </w:p>
    <w:p w14:paraId="38DB3EDD">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lang w:val="en-US" w:eastAsia="zh-CN"/>
        </w:rPr>
        <w:t>四是</w:t>
      </w:r>
      <w:r>
        <w:rPr>
          <w:rFonts w:hint="eastAsia" w:ascii="仿宋_GB2312"/>
          <w:bCs/>
          <w:color w:val="auto"/>
          <w:sz w:val="28"/>
          <w:szCs w:val="28"/>
          <w:highlight w:val="none"/>
        </w:rPr>
        <w:t>通过实施2023年农村学前三年教育保障机制经费项目，保障我</w:t>
      </w:r>
      <w:r>
        <w:rPr>
          <w:rFonts w:hint="eastAsia" w:ascii="仿宋_GB2312"/>
          <w:bCs/>
          <w:color w:val="auto"/>
          <w:sz w:val="28"/>
          <w:szCs w:val="28"/>
          <w:highlight w:val="none"/>
          <w:lang w:val="en-US" w:eastAsia="zh-CN"/>
        </w:rPr>
        <w:t>片区655</w:t>
      </w:r>
      <w:r>
        <w:rPr>
          <w:rFonts w:hint="eastAsia" w:ascii="仿宋_GB2312"/>
          <w:bCs/>
          <w:color w:val="auto"/>
          <w:sz w:val="28"/>
          <w:szCs w:val="28"/>
          <w:highlight w:val="none"/>
        </w:rPr>
        <w:t>名城镇在园幼儿免费接受学前三年教育,资金主要用了在园幼儿的伙食费、取暖费、幼儿园日常活动经费等支出，扎实做好了学前教育各项工作，改善了受益群众的家庭经济情况，提高了学前教育普惠保障水平，完善学前教育体系，持续推进学前教育事业发展，满足了人民对幼有所育的期盼。</w:t>
      </w:r>
    </w:p>
    <w:p w14:paraId="6A2A6F44">
      <w:pPr>
        <w:pStyle w:val="5"/>
        <w:numPr>
          <w:ilvl w:val="0"/>
          <w:numId w:val="4"/>
        </w:numPr>
        <w:ind w:firstLine="643"/>
        <w:rPr>
          <w:color w:val="auto"/>
          <w:highlight w:val="none"/>
        </w:rPr>
      </w:pPr>
      <w:r>
        <w:rPr>
          <w:rFonts w:hint="eastAsia"/>
          <w:color w:val="auto"/>
          <w:highlight w:val="none"/>
        </w:rPr>
        <w:t>存在的问题及原因分析</w:t>
      </w:r>
    </w:p>
    <w:p w14:paraId="6A6127DC">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1、项目绩效指标设置不规范，成本指标设置不明确，未有效反映项目资金支出计划，导致难以衡量成本指标支出控制情况。</w:t>
      </w:r>
    </w:p>
    <w:p w14:paraId="08564D31">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项目绩效指标不便于衡量，由于2023年城乡义务教育生均公用经费（小学）来源有中央资金、自治区资金、县级配套资金，绩效目标设置时按照资金来源分别设置绩效目标表，导致对县级配套资金支出的印证材料难以单独证明，对项目整体情况难以全面评价，反映出单位人员对预算绩效管理还存在理解不到位的情况。</w:t>
      </w:r>
    </w:p>
    <w:p w14:paraId="0ED13E56">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城乡义务教育公用经费每年按照上一年度事业统计报表数据的在校学生提前下达，县财政局按照规定比例配套资金，由于学校每年在校人数会发生变化，导致每年实际享受义务教育的学生数与实际分配下达的资金数不一致。</w:t>
      </w:r>
    </w:p>
    <w:p w14:paraId="1F1919B1">
      <w:pPr>
        <w:pStyle w:val="4"/>
        <w:ind w:firstLine="640"/>
        <w:rPr>
          <w:color w:val="auto"/>
          <w:highlight w:val="none"/>
        </w:rPr>
      </w:pPr>
      <w:r>
        <w:rPr>
          <w:rFonts w:hint="eastAsia"/>
          <w:color w:val="auto"/>
          <w:highlight w:val="none"/>
          <w:lang w:eastAsia="zh-CN"/>
        </w:rPr>
        <w:t>七</w:t>
      </w:r>
      <w:r>
        <w:rPr>
          <w:rFonts w:hint="eastAsia"/>
          <w:color w:val="auto"/>
          <w:highlight w:val="none"/>
        </w:rPr>
        <w:t>、有关建议</w:t>
      </w:r>
    </w:p>
    <w:p w14:paraId="40290559">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1、建议将资金来源不同，但资金用途一致、受益对象一致的项目进行合并，编制一个绩效目标，对当年同一项目的追加资金通过绩效目标调整功能进行调整，以达到全面反映对项目全过程的目标。</w:t>
      </w:r>
    </w:p>
    <w:p w14:paraId="26412C8A">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2、建议加强预算绩效管理工作的学习和考核，提高相关人员的预算管理能力，将项目绩效目标按照预算编制情况和资金支出计划合理设置成本指标和指标值，以便对项目资金支出范围、支出控制情况进行跟进管理，实现资金使用效益最大化。</w:t>
      </w:r>
    </w:p>
    <w:p w14:paraId="2F04CB18">
      <w:pPr>
        <w:spacing w:line="560" w:lineRule="exact"/>
        <w:ind w:firstLine="560" w:firstLineChars="200"/>
        <w:rPr>
          <w:rFonts w:hint="eastAsia" w:ascii="仿宋_GB2312" w:hAnsi="仿宋_GB2312" w:cs="仿宋_GB2312"/>
          <w:color w:val="auto"/>
          <w:sz w:val="28"/>
          <w:szCs w:val="28"/>
          <w:highlight w:val="none"/>
          <w:lang w:val="en-US" w:eastAsia="zh-CN"/>
        </w:rPr>
      </w:pPr>
      <w:r>
        <w:rPr>
          <w:rFonts w:hint="eastAsia" w:ascii="仿宋_GB2312" w:hAnsi="仿宋_GB2312" w:cs="仿宋_GB2312"/>
          <w:color w:val="auto"/>
          <w:sz w:val="28"/>
          <w:szCs w:val="28"/>
          <w:highlight w:val="none"/>
          <w:lang w:val="en-US" w:eastAsia="zh-CN"/>
        </w:rPr>
        <w:t>3、注重加强预算编制工作的管理。在编报项目预算时要求指定详细的项目推进计划、明确分工、责任到人，以保证专项资金能够保质保量执行到位。</w:t>
      </w:r>
    </w:p>
    <w:p w14:paraId="06E00833">
      <w:pPr>
        <w:spacing w:line="560" w:lineRule="exact"/>
        <w:ind w:firstLine="640" w:firstLineChars="200"/>
        <w:rPr>
          <w:rFonts w:hint="eastAsia" w:ascii="仿宋_GB2312" w:hAnsi="仿宋_GB2312" w:cs="仿宋_GB2312"/>
          <w:color w:val="auto"/>
          <w:sz w:val="28"/>
          <w:szCs w:val="28"/>
          <w:highlight w:val="none"/>
          <w:lang w:val="en-US" w:eastAsia="zh-CN"/>
        </w:rPr>
      </w:pPr>
      <w:r>
        <w:rPr>
          <w:rFonts w:hint="eastAsia" w:ascii="Times New Roman" w:hAnsi="Times New Roman" w:eastAsia="黑体" w:cs="Times New Roman"/>
          <w:color w:val="auto"/>
          <w:kern w:val="44"/>
          <w:sz w:val="32"/>
          <w:szCs w:val="22"/>
          <w:highlight w:val="none"/>
          <w:lang w:val="en-US" w:eastAsia="zh-CN" w:bidi="ar-SA"/>
        </w:rPr>
        <w:t>八、其他需要说明的问题</w:t>
      </w:r>
    </w:p>
    <w:p w14:paraId="600B5FDE">
      <w:pPr>
        <w:ind w:firstLine="544"/>
        <w:rPr>
          <w:color w:val="auto"/>
          <w:spacing w:val="-4"/>
          <w:szCs w:val="32"/>
          <w:highlight w:val="none"/>
        </w:rPr>
      </w:pPr>
      <w:r>
        <w:rPr>
          <w:rFonts w:hint="eastAsia"/>
          <w:color w:val="auto"/>
          <w:highlight w:val="none"/>
        </w:rPr>
        <w:t>我单位对上述项目支出绩效评价报告内反映内容的真实性、完整性负责，接受上级部门及社会公众监督。</w:t>
      </w:r>
    </w:p>
    <w:p w14:paraId="2F73CAC5">
      <w:pPr>
        <w:pStyle w:val="4"/>
        <w:ind w:firstLine="640"/>
        <w:rPr>
          <w:color w:val="auto"/>
          <w:highlight w:val="none"/>
        </w:rPr>
      </w:pPr>
      <w:r>
        <w:rPr>
          <w:rFonts w:hint="eastAsia"/>
          <w:color w:val="auto"/>
          <w:highlight w:val="none"/>
          <w:lang w:eastAsia="zh-CN"/>
        </w:rPr>
        <w:t>九、</w:t>
      </w:r>
      <w:r>
        <w:rPr>
          <w:rFonts w:hint="eastAsia"/>
          <w:color w:val="auto"/>
          <w:highlight w:val="none"/>
        </w:rPr>
        <w:t>附表</w:t>
      </w:r>
    </w:p>
    <w:p w14:paraId="13B248D0">
      <w:pPr>
        <w:ind w:firstLine="560"/>
        <w:rPr>
          <w:color w:val="auto"/>
          <w:highlight w:val="none"/>
        </w:rPr>
      </w:pPr>
      <w:r>
        <w:rPr>
          <w:rFonts w:hint="eastAsia"/>
          <w:color w:val="auto"/>
          <w:highlight w:val="none"/>
        </w:rPr>
        <w:t>附件1：项目绩效评价指标体系表和项目</w:t>
      </w:r>
      <w:r>
        <w:rPr>
          <w:rFonts w:hint="eastAsia"/>
          <w:color w:val="auto"/>
          <w:highlight w:val="none"/>
          <w:lang w:val="en-US" w:eastAsia="zh-CN"/>
        </w:rPr>
        <w:t>综合得分</w:t>
      </w:r>
      <w:r>
        <w:rPr>
          <w:rFonts w:hint="eastAsia"/>
          <w:color w:val="auto"/>
          <w:highlight w:val="none"/>
        </w:rPr>
        <w:t>表</w:t>
      </w:r>
    </w:p>
    <w:p w14:paraId="7B9FD24F">
      <w:pPr>
        <w:rPr>
          <w:rFonts w:hint="default"/>
          <w:color w:val="auto"/>
          <w:highlight w:val="none"/>
          <w:lang w:val="en-US" w:eastAsia="zh-CN"/>
        </w:rPr>
      </w:pPr>
      <w:bookmarkStart w:id="18" w:name="_GoBack"/>
      <w:bookmarkEnd w:id="18"/>
    </w:p>
    <w:sectPr>
      <w:footerReference r:id="rId11" w:type="default"/>
      <w:pgSz w:w="11906" w:h="16838"/>
      <w:pgMar w:top="1440" w:right="1080" w:bottom="1440" w:left="1080" w:header="737" w:footer="850" w:gutter="0"/>
      <w:pgNumType w:start="1"/>
      <w:cols w:space="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0B840">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AA3EC">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2413C">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A9AEE">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5EB671">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45EB671">
                    <w:pPr>
                      <w:pStyle w:val="9"/>
                      <w:ind w:firstLine="36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B1E34">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78C14">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6C4B7">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E64B2D"/>
    <w:multiLevelType w:val="singleLevel"/>
    <w:tmpl w:val="F8E64B2D"/>
    <w:lvl w:ilvl="0" w:tentative="0">
      <w:start w:val="3"/>
      <w:numFmt w:val="chineseCounting"/>
      <w:suff w:val="nothing"/>
      <w:lvlText w:val="%1、"/>
      <w:lvlJc w:val="left"/>
      <w:rPr>
        <w:rFonts w:hint="eastAsia"/>
      </w:rPr>
    </w:lvl>
  </w:abstractNum>
  <w:abstractNum w:abstractNumId="1">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2">
    <w:nsid w:val="2C43E2C8"/>
    <w:multiLevelType w:val="singleLevel"/>
    <w:tmpl w:val="2C43E2C8"/>
    <w:lvl w:ilvl="0" w:tentative="0">
      <w:start w:val="3"/>
      <w:numFmt w:val="decimal"/>
      <w:lvlText w:val="%1."/>
      <w:lvlJc w:val="left"/>
      <w:pPr>
        <w:tabs>
          <w:tab w:val="left" w:pos="312"/>
        </w:tabs>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0M2RlYjNmMjdiYjY3YzI0YWVmOTYxYTNjNDZhYTMifQ=="/>
  </w:docVars>
  <w:rsids>
    <w:rsidRoot w:val="00000000"/>
    <w:rsid w:val="00127582"/>
    <w:rsid w:val="022C2BA3"/>
    <w:rsid w:val="025956BB"/>
    <w:rsid w:val="03642D73"/>
    <w:rsid w:val="03BF118F"/>
    <w:rsid w:val="042E589D"/>
    <w:rsid w:val="04F4673E"/>
    <w:rsid w:val="07166DCE"/>
    <w:rsid w:val="071C685B"/>
    <w:rsid w:val="0C590374"/>
    <w:rsid w:val="0C675DD7"/>
    <w:rsid w:val="0CFA4A8C"/>
    <w:rsid w:val="0F69792E"/>
    <w:rsid w:val="10937610"/>
    <w:rsid w:val="1288063A"/>
    <w:rsid w:val="12E64D4C"/>
    <w:rsid w:val="13390737"/>
    <w:rsid w:val="135B692A"/>
    <w:rsid w:val="140C15D1"/>
    <w:rsid w:val="175353D7"/>
    <w:rsid w:val="17B35DB7"/>
    <w:rsid w:val="18982224"/>
    <w:rsid w:val="1A037B71"/>
    <w:rsid w:val="1A047263"/>
    <w:rsid w:val="1CD676AD"/>
    <w:rsid w:val="1CFA48ED"/>
    <w:rsid w:val="1FB8106C"/>
    <w:rsid w:val="2054498F"/>
    <w:rsid w:val="223905D4"/>
    <w:rsid w:val="2493704D"/>
    <w:rsid w:val="2505497D"/>
    <w:rsid w:val="25D32AED"/>
    <w:rsid w:val="2644007A"/>
    <w:rsid w:val="266100F9"/>
    <w:rsid w:val="28153891"/>
    <w:rsid w:val="28651CF9"/>
    <w:rsid w:val="29BA1697"/>
    <w:rsid w:val="2AA0481A"/>
    <w:rsid w:val="2B1732E2"/>
    <w:rsid w:val="2D035FCE"/>
    <w:rsid w:val="2DB568C2"/>
    <w:rsid w:val="2E941121"/>
    <w:rsid w:val="2FAF5F15"/>
    <w:rsid w:val="2FC938ED"/>
    <w:rsid w:val="306F163B"/>
    <w:rsid w:val="31562E94"/>
    <w:rsid w:val="32316F58"/>
    <w:rsid w:val="328637ED"/>
    <w:rsid w:val="33BB2B0C"/>
    <w:rsid w:val="34197D30"/>
    <w:rsid w:val="35496A51"/>
    <w:rsid w:val="356E624F"/>
    <w:rsid w:val="367A41E5"/>
    <w:rsid w:val="37042826"/>
    <w:rsid w:val="39330366"/>
    <w:rsid w:val="39C03EA5"/>
    <w:rsid w:val="3AB17BEE"/>
    <w:rsid w:val="3DB040EC"/>
    <w:rsid w:val="3F0331D2"/>
    <w:rsid w:val="3F4F30F7"/>
    <w:rsid w:val="3FAD084D"/>
    <w:rsid w:val="403F71EE"/>
    <w:rsid w:val="40A2448B"/>
    <w:rsid w:val="41BB054D"/>
    <w:rsid w:val="41C85424"/>
    <w:rsid w:val="43D163CE"/>
    <w:rsid w:val="454442ED"/>
    <w:rsid w:val="468772B0"/>
    <w:rsid w:val="47A520E4"/>
    <w:rsid w:val="47ED377C"/>
    <w:rsid w:val="4A01554A"/>
    <w:rsid w:val="4B233142"/>
    <w:rsid w:val="4D6B4CF6"/>
    <w:rsid w:val="4E0D2791"/>
    <w:rsid w:val="51034A9D"/>
    <w:rsid w:val="51894824"/>
    <w:rsid w:val="52C55120"/>
    <w:rsid w:val="539435F4"/>
    <w:rsid w:val="53F8370C"/>
    <w:rsid w:val="552B61BF"/>
    <w:rsid w:val="558C043F"/>
    <w:rsid w:val="56877C24"/>
    <w:rsid w:val="569F1B7A"/>
    <w:rsid w:val="573A2E40"/>
    <w:rsid w:val="5ADA1C4D"/>
    <w:rsid w:val="5B1C5D82"/>
    <w:rsid w:val="5BBB47C4"/>
    <w:rsid w:val="5E2A1B5D"/>
    <w:rsid w:val="5E9D0F6C"/>
    <w:rsid w:val="5EBC5637"/>
    <w:rsid w:val="609C79A1"/>
    <w:rsid w:val="60CA4585"/>
    <w:rsid w:val="62E7773E"/>
    <w:rsid w:val="63DE10E9"/>
    <w:rsid w:val="65A36562"/>
    <w:rsid w:val="65DD31AE"/>
    <w:rsid w:val="67BC3C79"/>
    <w:rsid w:val="69B01D77"/>
    <w:rsid w:val="6A015733"/>
    <w:rsid w:val="6B3709F5"/>
    <w:rsid w:val="6BD523D2"/>
    <w:rsid w:val="6E0E5716"/>
    <w:rsid w:val="6E8B7C84"/>
    <w:rsid w:val="6ED01F5D"/>
    <w:rsid w:val="6FB870D9"/>
    <w:rsid w:val="705C3A7D"/>
    <w:rsid w:val="70DD2366"/>
    <w:rsid w:val="70F3572C"/>
    <w:rsid w:val="714F6A99"/>
    <w:rsid w:val="723D52D7"/>
    <w:rsid w:val="740E280E"/>
    <w:rsid w:val="755E20FE"/>
    <w:rsid w:val="78054355"/>
    <w:rsid w:val="78BE0E43"/>
    <w:rsid w:val="78C20DB3"/>
    <w:rsid w:val="797F3308"/>
    <w:rsid w:val="79F12A79"/>
    <w:rsid w:val="79F63EF5"/>
    <w:rsid w:val="7A3339FB"/>
    <w:rsid w:val="7B6F4839"/>
    <w:rsid w:val="7C00118E"/>
    <w:rsid w:val="7F0D1E11"/>
    <w:rsid w:val="7F48083C"/>
    <w:rsid w:val="7FD8598D"/>
    <w:rsid w:val="7FF91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eastAsia="黑体"/>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rFonts w:ascii="仿宋_GB2312" w:hAnsi="仿宋_GB2312"/>
      <w:b/>
      <w:bCs/>
      <w:kern w:val="0"/>
      <w:szCs w:val="32"/>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Autospacing="1" w:afterAutospacing="1"/>
      <w:jc w:val="left"/>
    </w:pPr>
    <w:rPr>
      <w:kern w:val="0"/>
      <w:sz w:val="24"/>
    </w:rPr>
  </w:style>
  <w:style w:type="paragraph" w:customStyle="1" w:styleId="14">
    <w:name w:val="正文文本缩进 21"/>
    <w:basedOn w:val="1"/>
    <w:qFormat/>
    <w:uiPriority w:val="0"/>
    <w:pPr>
      <w:spacing w:afterLines="0" w:line="480" w:lineRule="auto"/>
      <w:ind w:left="420" w:left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12449</Words>
  <Characters>13049</Characters>
  <Lines>0</Lines>
  <Paragraphs>0</Paragraphs>
  <TotalTime>5</TotalTime>
  <ScaleCrop>false</ScaleCrop>
  <LinksUpToDate>false</LinksUpToDate>
  <CharactersWithSpaces>13053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2023-04-11T10:55:00Z</dcterms:created>
  <dc:creator>赛文杨玉玲</dc:creator>
  <cp:lastModifiedBy>7.</cp:lastModifiedBy>
  <dcterms:modified xsi:type="dcterms:W3CDTF">2024-09-23T08:37:40Z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60DD2C802D114C81B3758316795F5C97_12</vt:lpwstr>
  </property>
</Properties>
</file>