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E57CF">
      <w:pPr>
        <w:jc w:val="center"/>
        <w:rPr>
          <w:rFonts w:ascii="宋体" w:hAnsi="宋体" w:eastAsia="宋体" w:cs="Arial"/>
          <w:b/>
          <w:bCs/>
          <w:color w:val="auto"/>
          <w:sz w:val="36"/>
          <w:szCs w:val="36"/>
          <w:highlight w:val="none"/>
        </w:rPr>
      </w:pPr>
    </w:p>
    <w:p w14:paraId="6EC3D8E4">
      <w:pPr>
        <w:jc w:val="center"/>
        <w:rPr>
          <w:rFonts w:ascii="宋体" w:hAnsi="宋体" w:eastAsia="宋体" w:cs="Arial"/>
          <w:b/>
          <w:bCs/>
          <w:color w:val="auto"/>
          <w:sz w:val="36"/>
          <w:szCs w:val="36"/>
          <w:highlight w:val="none"/>
        </w:rPr>
      </w:pPr>
    </w:p>
    <w:p w14:paraId="26AD0C8B">
      <w:pPr>
        <w:jc w:val="center"/>
        <w:rPr>
          <w:rFonts w:ascii="宋体" w:hAnsi="宋体" w:eastAsia="宋体" w:cs="Arial"/>
          <w:b/>
          <w:bCs/>
          <w:color w:val="auto"/>
          <w:sz w:val="36"/>
          <w:szCs w:val="36"/>
          <w:highlight w:val="none"/>
        </w:rPr>
      </w:pPr>
    </w:p>
    <w:p w14:paraId="33D63DB9">
      <w:pPr>
        <w:spacing w:line="240" w:lineRule="atLeast"/>
        <w:ind w:left="0" w:leftChars="0" w:firstLine="0" w:firstLineChars="0"/>
        <w:jc w:val="center"/>
        <w:rPr>
          <w:rFonts w:hint="eastAsia"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lang w:val="en-US" w:eastAsia="zh-CN"/>
        </w:rPr>
        <w:t>夏</w:t>
      </w:r>
      <w:r>
        <w:rPr>
          <w:rFonts w:hint="eastAsia" w:ascii="黑体" w:hAnsi="黑体" w:eastAsia="黑体" w:cs="黑体"/>
          <w:b/>
          <w:bCs/>
          <w:color w:val="auto"/>
          <w:sz w:val="40"/>
          <w:szCs w:val="40"/>
          <w:highlight w:val="none"/>
        </w:rPr>
        <w:t>镇乡镇基层运转综合业务项目经费</w:t>
      </w:r>
    </w:p>
    <w:p w14:paraId="0E6DCBFF">
      <w:pP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项目支出绩效评价报告</w:t>
      </w:r>
    </w:p>
    <w:p w14:paraId="452888A4">
      <w:pPr>
        <w:spacing w:line="240" w:lineRule="atLeast"/>
        <w:jc w:val="center"/>
        <w:rPr>
          <w:rFonts w:ascii="宋体" w:hAnsi="宋体" w:eastAsia="宋体" w:cs="Arial"/>
          <w:b/>
          <w:bCs/>
          <w:color w:val="auto"/>
          <w:sz w:val="36"/>
          <w:szCs w:val="36"/>
          <w:highlight w:val="none"/>
        </w:rPr>
      </w:pPr>
    </w:p>
    <w:p w14:paraId="2F53C14D">
      <w:pPr>
        <w:spacing w:line="240" w:lineRule="atLeast"/>
        <w:jc w:val="center"/>
        <w:rPr>
          <w:rFonts w:ascii="宋体" w:hAnsi="宋体" w:eastAsia="宋体" w:cs="Arial"/>
          <w:b/>
          <w:bCs/>
          <w:color w:val="auto"/>
          <w:sz w:val="36"/>
          <w:szCs w:val="36"/>
          <w:highlight w:val="none"/>
        </w:rPr>
      </w:pPr>
    </w:p>
    <w:p w14:paraId="219972BF">
      <w:pPr>
        <w:spacing w:line="240" w:lineRule="atLeast"/>
        <w:jc w:val="center"/>
        <w:rPr>
          <w:rFonts w:ascii="宋体" w:hAnsi="宋体" w:eastAsia="宋体" w:cs="Arial"/>
          <w:b/>
          <w:bCs/>
          <w:color w:val="auto"/>
          <w:sz w:val="36"/>
          <w:szCs w:val="36"/>
          <w:highlight w:val="none"/>
        </w:rPr>
      </w:pPr>
    </w:p>
    <w:p w14:paraId="11CF9E22">
      <w:pPr>
        <w:spacing w:line="240" w:lineRule="atLeast"/>
        <w:jc w:val="center"/>
        <w:rPr>
          <w:rFonts w:ascii="宋体" w:hAnsi="宋体" w:eastAsia="宋体" w:cs="Arial"/>
          <w:b/>
          <w:bCs/>
          <w:color w:val="auto"/>
          <w:sz w:val="36"/>
          <w:szCs w:val="36"/>
          <w:highlight w:val="none"/>
        </w:rPr>
      </w:pPr>
    </w:p>
    <w:p w14:paraId="292F044F">
      <w:pPr>
        <w:spacing w:line="240" w:lineRule="atLeast"/>
        <w:jc w:val="center"/>
        <w:rPr>
          <w:rFonts w:ascii="宋体" w:hAnsi="宋体" w:eastAsia="宋体" w:cs="Arial"/>
          <w:b/>
          <w:bCs/>
          <w:color w:val="auto"/>
          <w:sz w:val="36"/>
          <w:szCs w:val="36"/>
          <w:highlight w:val="none"/>
        </w:rPr>
      </w:pPr>
    </w:p>
    <w:p w14:paraId="35660CD5">
      <w:pPr>
        <w:spacing w:line="240" w:lineRule="atLeast"/>
        <w:jc w:val="center"/>
        <w:rPr>
          <w:rFonts w:ascii="宋体" w:hAnsi="宋体" w:eastAsia="宋体" w:cs="Arial"/>
          <w:b/>
          <w:bCs/>
          <w:color w:val="auto"/>
          <w:sz w:val="36"/>
          <w:szCs w:val="36"/>
          <w:highlight w:val="none"/>
        </w:rPr>
      </w:pPr>
    </w:p>
    <w:p w14:paraId="33E3D5E1">
      <w:pPr>
        <w:spacing w:line="240" w:lineRule="auto"/>
        <w:jc w:val="center"/>
        <w:rPr>
          <w:rFonts w:ascii="宋体" w:hAnsi="宋体" w:eastAsia="宋体" w:cs="Arial"/>
          <w:b/>
          <w:bCs/>
          <w:color w:val="auto"/>
          <w:sz w:val="36"/>
          <w:szCs w:val="36"/>
          <w:highlight w:val="none"/>
        </w:rPr>
      </w:pPr>
    </w:p>
    <w:p w14:paraId="2FDF00D9">
      <w:pPr>
        <w:pStyle w:val="2"/>
        <w:rPr>
          <w:color w:val="auto"/>
          <w:highlight w:val="none"/>
        </w:rPr>
      </w:pPr>
    </w:p>
    <w:p w14:paraId="701C9B9E">
      <w:pPr>
        <w:spacing w:line="240" w:lineRule="atLeast"/>
        <w:ind w:left="0" w:leftChars="0" w:firstLine="640" w:firstLineChars="200"/>
        <w:jc w:val="both"/>
        <w:rPr>
          <w:rFonts w:ascii="黑体" w:eastAsia="黑体"/>
          <w:color w:val="auto"/>
          <w:sz w:val="32"/>
          <w:szCs w:val="32"/>
          <w:highlight w:val="none"/>
        </w:rPr>
      </w:pPr>
      <w:r>
        <w:rPr>
          <w:rFonts w:hint="eastAsia" w:ascii="黑体" w:eastAsia="黑体"/>
          <w:color w:val="auto"/>
          <w:sz w:val="32"/>
          <w:szCs w:val="32"/>
          <w:highlight w:val="none"/>
        </w:rPr>
        <w:t>项目名称：</w:t>
      </w:r>
      <w:r>
        <w:rPr>
          <w:rFonts w:hint="eastAsia" w:ascii="黑体" w:hAnsi="黑体" w:eastAsia="黑体" w:cs="黑体"/>
          <w:b w:val="0"/>
          <w:bCs w:val="0"/>
          <w:color w:val="auto"/>
          <w:sz w:val="30"/>
          <w:szCs w:val="30"/>
          <w:highlight w:val="none"/>
          <w:lang w:val="en-US" w:eastAsia="zh-CN"/>
        </w:rPr>
        <w:t>夏</w:t>
      </w:r>
      <w:r>
        <w:rPr>
          <w:rFonts w:hint="eastAsia" w:ascii="黑体" w:hAnsi="黑体" w:eastAsia="黑体" w:cs="黑体"/>
          <w:b w:val="0"/>
          <w:bCs w:val="0"/>
          <w:color w:val="auto"/>
          <w:sz w:val="30"/>
          <w:szCs w:val="30"/>
          <w:highlight w:val="none"/>
        </w:rPr>
        <w:t>镇乡镇基层运转综合业务项目经费</w:t>
      </w:r>
    </w:p>
    <w:p w14:paraId="5FF02C85">
      <w:pP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托克逊县夏镇人民政府</w:t>
      </w:r>
    </w:p>
    <w:p w14:paraId="625B403F">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赵思扬</w:t>
      </w:r>
    </w:p>
    <w:p w14:paraId="3F31B9EE">
      <w:pPr>
        <w:spacing w:line="360" w:lineRule="auto"/>
        <w:ind w:firstLine="600"/>
        <w:rPr>
          <w:rFonts w:hint="default" w:ascii="黑体" w:eastAsia="黑体"/>
          <w:color w:val="auto"/>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15日</w:t>
      </w:r>
    </w:p>
    <w:p w14:paraId="0DF79957">
      <w:pPr>
        <w:spacing w:line="240" w:lineRule="atLeast"/>
        <w:jc w:val="center"/>
        <w:rPr>
          <w:rFonts w:hint="eastAsia"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夏</w:t>
      </w:r>
      <w:r>
        <w:rPr>
          <w:rFonts w:hint="eastAsia" w:ascii="黑体" w:hAnsi="黑体" w:eastAsia="黑体" w:cs="黑体"/>
          <w:b/>
          <w:bCs/>
          <w:color w:val="auto"/>
          <w:sz w:val="36"/>
          <w:szCs w:val="36"/>
          <w:highlight w:val="none"/>
        </w:rPr>
        <w:t>镇乡镇基层运转综合业务项目经费</w:t>
      </w:r>
    </w:p>
    <w:p w14:paraId="2C9E2059">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项目支出绩效评价报告</w:t>
      </w:r>
    </w:p>
    <w:p w14:paraId="4DFFC88C">
      <w:pPr>
        <w:pStyle w:val="3"/>
        <w:ind w:firstLine="640"/>
        <w:rPr>
          <w:color w:val="auto"/>
          <w:highlight w:val="none"/>
        </w:rPr>
      </w:pPr>
      <w:r>
        <w:rPr>
          <w:rFonts w:hint="eastAsia"/>
          <w:color w:val="auto"/>
          <w:highlight w:val="none"/>
        </w:rPr>
        <w:t>一、基本情况</w:t>
      </w:r>
    </w:p>
    <w:p w14:paraId="205C688B">
      <w:pPr>
        <w:pStyle w:val="4"/>
        <w:ind w:firstLine="643"/>
        <w:rPr>
          <w:color w:val="auto"/>
          <w:highlight w:val="none"/>
        </w:rPr>
      </w:pPr>
      <w:r>
        <w:rPr>
          <w:rFonts w:hint="eastAsia"/>
          <w:color w:val="auto"/>
          <w:highlight w:val="none"/>
        </w:rPr>
        <w:t>（一）项目概况</w:t>
      </w:r>
    </w:p>
    <w:p w14:paraId="49FF9CCA">
      <w:pPr>
        <w:pStyle w:val="2"/>
        <w:ind w:firstLine="562"/>
        <w:rPr>
          <w:color w:val="auto"/>
          <w:highlight w:val="none"/>
        </w:rPr>
      </w:pPr>
      <w:r>
        <w:rPr>
          <w:rFonts w:hint="eastAsia"/>
          <w:color w:val="auto"/>
          <w:highlight w:val="none"/>
        </w:rPr>
        <w:t>1.项目背景</w:t>
      </w:r>
    </w:p>
    <w:p w14:paraId="01958362">
      <w:pPr>
        <w:pStyle w:val="2"/>
        <w:bidi w:val="0"/>
        <w:rPr>
          <w:color w:val="auto"/>
          <w:highlight w:val="none"/>
        </w:rPr>
      </w:pPr>
      <w:r>
        <w:rPr>
          <w:rFonts w:hint="eastAsia"/>
          <w:b w:val="0"/>
          <w:bCs w:val="0"/>
          <w:color w:val="auto"/>
          <w:highlight w:val="none"/>
          <w:lang w:eastAsia="zh-CN"/>
        </w:rPr>
        <w:t>夏镇位于北纬42°47′21.96″ 东经88°40′21.22″，地处托克逊县城东南部，与县城相距不到2公里，省道S202、吐和高速等公路穿境而过，地理位置十分优越。夏镇总面积205.67平方公里，总人口8673户30765人</w:t>
      </w:r>
      <w:r>
        <w:rPr>
          <w:rFonts w:hint="eastAsia"/>
          <w:b w:val="0"/>
          <w:bCs w:val="0"/>
          <w:color w:val="auto"/>
          <w:highlight w:val="none"/>
          <w:lang w:val="en-US" w:eastAsia="zh-CN"/>
        </w:rPr>
        <w:t>，</w:t>
      </w:r>
      <w:r>
        <w:rPr>
          <w:rFonts w:hint="eastAsia"/>
          <w:b w:val="0"/>
          <w:bCs w:val="0"/>
          <w:color w:val="auto"/>
          <w:highlight w:val="none"/>
          <w:lang w:eastAsia="zh-CN"/>
        </w:rPr>
        <w:t>耕地12.011万亩，主要农作物是杏树、甜瓜、蔬菜、高粱。下辖1</w:t>
      </w:r>
      <w:r>
        <w:rPr>
          <w:rFonts w:hint="eastAsia"/>
          <w:b w:val="0"/>
          <w:bCs w:val="0"/>
          <w:color w:val="auto"/>
          <w:highlight w:val="none"/>
          <w:lang w:val="en-US" w:eastAsia="zh-CN"/>
        </w:rPr>
        <w:t>2</w:t>
      </w:r>
      <w:r>
        <w:rPr>
          <w:rFonts w:hint="eastAsia"/>
          <w:b w:val="0"/>
          <w:bCs w:val="0"/>
          <w:color w:val="auto"/>
          <w:highlight w:val="none"/>
          <w:lang w:eastAsia="zh-CN"/>
        </w:rPr>
        <w:t>个村社区，</w:t>
      </w:r>
      <w:r>
        <w:rPr>
          <w:rFonts w:hint="eastAsia"/>
          <w:b w:val="0"/>
          <w:bCs w:val="0"/>
          <w:color w:val="auto"/>
          <w:highlight w:val="none"/>
          <w:lang w:val="en-US" w:eastAsia="zh-CN"/>
        </w:rPr>
        <w:t>分别是：巴扎社区、布拉克贝什村、喀拉苏村、奥依曼村、色日克吉勒尕村、托台村、铁提尔村、工商村、大地村、南湖村、卡客恰克村、色尔克墩村。本项目</w:t>
      </w:r>
      <w:r>
        <w:rPr>
          <w:rFonts w:hint="eastAsia" w:ascii="仿宋" w:hAnsi="仿宋" w:eastAsia="仿宋" w:cs="Times New Roman"/>
          <w:b w:val="0"/>
          <w:bCs w:val="0"/>
          <w:color w:val="auto"/>
          <w:kern w:val="2"/>
          <w:sz w:val="28"/>
          <w:szCs w:val="28"/>
          <w:highlight w:val="none"/>
          <w:lang w:val="en-US" w:eastAsia="zh-CN" w:bidi="ar-SA"/>
        </w:rPr>
        <w:t>确保我镇落实基层运转综合业务正常运转，资金主要用于完善村级基层基础设施，改善村容村貌，建设美丽乡村等公益事业建设，从而进一步坚决落实中央、自治区重大决策部署，落实社会稳定和长治久安总目标，进一步提高人民安全感、幸福感和获得感。</w:t>
      </w:r>
    </w:p>
    <w:p w14:paraId="60415BDC">
      <w:pPr>
        <w:pStyle w:val="2"/>
        <w:ind w:firstLine="562"/>
        <w:rPr>
          <w:color w:val="auto"/>
          <w:highlight w:val="none"/>
        </w:rPr>
      </w:pPr>
      <w:r>
        <w:rPr>
          <w:rFonts w:hint="eastAsia"/>
          <w:color w:val="auto"/>
          <w:highlight w:val="none"/>
          <w:lang w:val="en-US" w:eastAsia="zh-CN"/>
        </w:rPr>
        <w:t>2</w:t>
      </w:r>
      <w:r>
        <w:rPr>
          <w:rFonts w:hint="eastAsia"/>
          <w:color w:val="auto"/>
          <w:highlight w:val="none"/>
        </w:rPr>
        <w:t>.主要内容</w:t>
      </w:r>
    </w:p>
    <w:p w14:paraId="3A651D1C">
      <w:pPr>
        <w:bidi w:val="0"/>
        <w:rPr>
          <w:rFonts w:hint="default"/>
          <w:color w:val="auto"/>
          <w:highlight w:val="none"/>
          <w:lang w:val="en-US" w:eastAsia="zh-CN"/>
        </w:rPr>
      </w:pPr>
      <w:r>
        <w:rPr>
          <w:rFonts w:hint="eastAsia"/>
          <w:color w:val="auto"/>
          <w:highlight w:val="none"/>
          <w:lang w:val="en-US" w:eastAsia="zh-CN"/>
        </w:rPr>
        <w:t>项目名称：夏镇乡镇基层运转综合业务项目经费</w:t>
      </w:r>
    </w:p>
    <w:p w14:paraId="68E8C327">
      <w:pPr>
        <w:ind w:firstLine="560"/>
        <w:rPr>
          <w:rFonts w:hint="eastAsia" w:ascii="仿宋" w:hAnsi="仿宋" w:eastAsia="仿宋" w:cs="Times New Roman"/>
          <w:b w:val="0"/>
          <w:bCs w:val="0"/>
          <w:color w:val="auto"/>
          <w:kern w:val="2"/>
          <w:sz w:val="28"/>
          <w:szCs w:val="28"/>
          <w:highlight w:val="none"/>
          <w:lang w:val="en-US" w:eastAsia="zh-CN" w:bidi="ar-SA"/>
        </w:rPr>
      </w:pPr>
      <w:r>
        <w:rPr>
          <w:rFonts w:hint="eastAsia"/>
          <w:color w:val="auto"/>
          <w:highlight w:val="none"/>
          <w:lang w:val="en-US" w:eastAsia="zh-CN"/>
        </w:rPr>
        <w:t>项目主要内容：</w:t>
      </w:r>
      <w:r>
        <w:rPr>
          <w:rFonts w:hint="eastAsia" w:ascii="仿宋" w:hAnsi="仿宋" w:eastAsia="仿宋" w:cs="Times New Roman"/>
          <w:b w:val="0"/>
          <w:bCs w:val="0"/>
          <w:color w:val="auto"/>
          <w:kern w:val="2"/>
          <w:sz w:val="28"/>
          <w:szCs w:val="28"/>
          <w:highlight w:val="none"/>
          <w:lang w:val="en-US" w:eastAsia="zh-CN" w:bidi="ar-SA"/>
        </w:rPr>
        <w:t>确保我镇落实基层运转综合业务正常运转，资金主要用于完善村级基层基础设施，改善村容村貌，建设美丽乡村等公益事业建设。</w:t>
      </w:r>
    </w:p>
    <w:p w14:paraId="4B3E976B">
      <w:pPr>
        <w:numPr>
          <w:ilvl w:val="0"/>
          <w:numId w:val="1"/>
        </w:numPr>
        <w:rPr>
          <w:rFonts w:hint="default"/>
          <w:color w:val="auto"/>
          <w:highlight w:val="none"/>
          <w:lang w:val="en-US" w:eastAsia="zh-CN"/>
        </w:rPr>
      </w:pPr>
      <w:r>
        <w:rPr>
          <w:rFonts w:hint="eastAsia"/>
          <w:color w:val="auto"/>
          <w:highlight w:val="none"/>
        </w:rPr>
        <w:t>实施情况</w:t>
      </w:r>
    </w:p>
    <w:p w14:paraId="1F358D16">
      <w:pPr>
        <w:pStyle w:val="2"/>
        <w:rPr>
          <w:rFonts w:hint="default"/>
          <w:color w:val="auto"/>
          <w:highlight w:val="none"/>
          <w:lang w:val="en-US" w:eastAsia="zh-CN"/>
        </w:rPr>
      </w:pPr>
      <w:r>
        <w:rPr>
          <w:rFonts w:hint="eastAsia"/>
          <w:b w:val="0"/>
          <w:bCs w:val="0"/>
          <w:color w:val="auto"/>
          <w:highlight w:val="none"/>
          <w:lang w:val="en-US" w:eastAsia="zh-CN"/>
        </w:rPr>
        <w:t>项目实施时间：本项目实施时间为2023年1月-2023年12月</w:t>
      </w:r>
    </w:p>
    <w:p w14:paraId="62B7529E">
      <w:pPr>
        <w:ind w:firstLine="560"/>
        <w:rPr>
          <w:rFonts w:hint="eastAsia" w:ascii="仿宋" w:hAnsi="仿宋" w:eastAsia="仿宋" w:cs="Times New Roman"/>
          <w:b w:val="0"/>
          <w:bCs w:val="0"/>
          <w:color w:val="auto"/>
          <w:kern w:val="2"/>
          <w:sz w:val="28"/>
          <w:szCs w:val="28"/>
          <w:highlight w:val="none"/>
          <w:lang w:val="en-US" w:eastAsia="zh-CN" w:bidi="ar-SA"/>
        </w:rPr>
      </w:pPr>
      <w:r>
        <w:rPr>
          <w:rFonts w:hint="eastAsia"/>
          <w:color w:val="auto"/>
          <w:highlight w:val="none"/>
          <w:lang w:val="en-US" w:eastAsia="zh-CN"/>
        </w:rPr>
        <w:t>项目实施情况：</w:t>
      </w:r>
      <w:r>
        <w:rPr>
          <w:rFonts w:hint="eastAsia" w:ascii="仿宋" w:hAnsi="仿宋" w:eastAsia="仿宋" w:cs="Times New Roman"/>
          <w:b w:val="0"/>
          <w:bCs w:val="0"/>
          <w:color w:val="auto"/>
          <w:kern w:val="2"/>
          <w:sz w:val="28"/>
          <w:szCs w:val="28"/>
          <w:highlight w:val="none"/>
          <w:lang w:val="en-US" w:eastAsia="zh-CN" w:bidi="ar-SA"/>
        </w:rPr>
        <w:t xml:space="preserve"> 截止2023年12月底，乡镇基层运转综合业务项目经费主要保障了12个村社区日常工作正常运行，保证了12辆巡逻车正常运行，落实了社会稳定；保持了12个村社区正常开展各类工作；进一步完善了辖区公共服务设施，人居环境得到有效改善；资金管理得到规范使用，做好群众工作，提高了群众对政府工作的满意度。</w:t>
      </w:r>
    </w:p>
    <w:p w14:paraId="3DA866AE">
      <w:pPr>
        <w:pStyle w:val="2"/>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45AF7ECF">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07E256AD">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151</w:t>
      </w:r>
      <w:r>
        <w:rPr>
          <w:color w:val="auto"/>
          <w:highlight w:val="none"/>
        </w:rPr>
        <w:t>万元，其中财政资金</w:t>
      </w:r>
      <w:r>
        <w:rPr>
          <w:rFonts w:hint="eastAsia"/>
          <w:color w:val="auto"/>
          <w:highlight w:val="none"/>
          <w:lang w:val="en-US" w:eastAsia="zh-CN"/>
        </w:rPr>
        <w:t>151</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151</w:t>
      </w:r>
      <w:r>
        <w:rPr>
          <w:color w:val="auto"/>
          <w:highlight w:val="none"/>
        </w:rPr>
        <w:t>万元，预算资金到位率为</w:t>
      </w:r>
      <w:r>
        <w:rPr>
          <w:rFonts w:hint="eastAsia"/>
          <w:color w:val="auto"/>
          <w:highlight w:val="none"/>
          <w:lang w:val="en-US" w:eastAsia="zh-CN"/>
        </w:rPr>
        <w:t>100</w:t>
      </w:r>
      <w:r>
        <w:rPr>
          <w:color w:val="auto"/>
          <w:highlight w:val="none"/>
        </w:rPr>
        <w:t>%。</w:t>
      </w:r>
    </w:p>
    <w:p w14:paraId="5CC88401">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14:paraId="25282EAD">
      <w:pPr>
        <w:pStyle w:val="2"/>
        <w:bidi w:val="0"/>
        <w:rPr>
          <w:b w:val="0"/>
          <w:bCs w:val="0"/>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150.99</w:t>
      </w:r>
      <w:r>
        <w:rPr>
          <w:rFonts w:hint="eastAsia"/>
          <w:b w:val="0"/>
          <w:bCs w:val="0"/>
          <w:color w:val="auto"/>
          <w:highlight w:val="none"/>
        </w:rPr>
        <w:t>万元，预算执行率</w:t>
      </w:r>
      <w:r>
        <w:rPr>
          <w:rFonts w:hint="eastAsia"/>
          <w:b w:val="0"/>
          <w:bCs w:val="0"/>
          <w:color w:val="auto"/>
          <w:highlight w:val="none"/>
          <w:lang w:val="en-US" w:eastAsia="zh-CN"/>
        </w:rPr>
        <w:t>99.99</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结余资金0.01</w:t>
      </w:r>
      <w:r>
        <w:rPr>
          <w:rFonts w:hint="eastAsia"/>
          <w:b w:val="0"/>
          <w:bCs w:val="0"/>
          <w:color w:val="auto"/>
          <w:highlight w:val="none"/>
        </w:rPr>
        <w:t>万元。项目资金主要用于支付</w:t>
      </w:r>
      <w:r>
        <w:rPr>
          <w:rFonts w:hint="eastAsia"/>
          <w:b w:val="0"/>
          <w:bCs w:val="0"/>
          <w:color w:val="auto"/>
          <w:highlight w:val="none"/>
          <w:lang w:val="en-US" w:eastAsia="zh-CN"/>
        </w:rPr>
        <w:t>租赁石土方机械费用15.71万元，办公用品经费15.47万元，车辆运行费1.08</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通讯费、用水用电费61.44万元，雇工劳务费7.61万元，其他为民办事47.4万元，困难群众慰问费0.26万元，垃圾清运费2.02万元</w:t>
      </w:r>
      <w:r>
        <w:rPr>
          <w:rFonts w:hint="eastAsia"/>
          <w:b w:val="0"/>
          <w:bCs w:val="0"/>
          <w:color w:val="auto"/>
          <w:highlight w:val="none"/>
        </w:rPr>
        <w:t>。</w:t>
      </w:r>
    </w:p>
    <w:p w14:paraId="209A3619">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56FC6F4B">
      <w:pPr>
        <w:pStyle w:val="2"/>
        <w:bidi w:val="0"/>
        <w:rPr>
          <w:color w:val="auto"/>
          <w:highlight w:val="none"/>
        </w:rPr>
      </w:pPr>
      <w:r>
        <w:rPr>
          <w:rFonts w:hint="eastAsia"/>
          <w:color w:val="auto"/>
          <w:highlight w:val="none"/>
        </w:rPr>
        <w:t>1.总体目标</w:t>
      </w:r>
    </w:p>
    <w:p w14:paraId="22D1CC00">
      <w:pPr>
        <w:pStyle w:val="2"/>
        <w:bidi w:val="0"/>
        <w:rPr>
          <w:rFonts w:hint="eastAsia" w:ascii="宋体" w:hAnsi="宋体" w:eastAsia="宋体"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确保我镇落实基层运转综合业务专项经费；完善村级基础设施，改善村容村貌，建设美丽乡村等农村公益事业建设；做好群众工作，访贫问苦，为群众送信息，送服务，送温暖；进一步提高人民群众安全感，幸福感和获得感。</w:t>
      </w:r>
    </w:p>
    <w:p w14:paraId="4EE7EED0">
      <w:pPr>
        <w:pStyle w:val="2"/>
        <w:ind w:firstLine="562"/>
        <w:rPr>
          <w:color w:val="auto"/>
          <w:highlight w:val="none"/>
        </w:rPr>
      </w:pPr>
      <w:r>
        <w:rPr>
          <w:rFonts w:hint="eastAsia"/>
          <w:color w:val="auto"/>
          <w:highlight w:val="none"/>
        </w:rPr>
        <w:t>2.阶段性目标</w:t>
      </w:r>
    </w:p>
    <w:p w14:paraId="63444E5B">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55E244CB">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14:paraId="5AFC160F">
      <w:pPr>
        <w:ind w:firstLine="560"/>
        <w:rPr>
          <w:color w:val="auto"/>
          <w:highlight w:val="none"/>
        </w:rPr>
      </w:pPr>
      <w:r>
        <w:rPr>
          <w:rFonts w:hint="eastAsia"/>
          <w:color w:val="auto"/>
          <w:highlight w:val="none"/>
        </w:rPr>
        <w:t>①数量指标</w:t>
      </w:r>
    </w:p>
    <w:p w14:paraId="05E086AF">
      <w:pPr>
        <w:ind w:firstLine="560"/>
        <w:rPr>
          <w:color w:val="auto"/>
          <w:highlight w:val="none"/>
        </w:rPr>
      </w:pPr>
      <w:r>
        <w:rPr>
          <w:rFonts w:hint="eastAsia"/>
          <w:color w:val="auto"/>
          <w:highlight w:val="none"/>
        </w:rPr>
        <w:t>“</w:t>
      </w:r>
      <w:r>
        <w:rPr>
          <w:rFonts w:hint="eastAsia"/>
          <w:color w:val="auto"/>
          <w:highlight w:val="none"/>
          <w:lang w:val="en-US" w:eastAsia="zh-CN"/>
        </w:rPr>
        <w:t>村（社区）正常运转数</w:t>
      </w:r>
      <w:r>
        <w:rPr>
          <w:rFonts w:hint="eastAsia"/>
          <w:color w:val="auto"/>
          <w:highlight w:val="none"/>
        </w:rPr>
        <w:t>”指标，预期指标值</w:t>
      </w:r>
      <w:r>
        <w:rPr>
          <w:rFonts w:hint="eastAsia"/>
          <w:color w:val="auto"/>
          <w:highlight w:val="none"/>
          <w:lang w:eastAsia="zh-CN"/>
        </w:rPr>
        <w:t>为</w:t>
      </w:r>
      <w:r>
        <w:rPr>
          <w:rFonts w:hint="eastAsia"/>
          <w:color w:val="auto"/>
          <w:highlight w:val="none"/>
        </w:rPr>
        <w:t>12</w:t>
      </w:r>
      <w:r>
        <w:rPr>
          <w:rFonts w:hint="eastAsia"/>
          <w:color w:val="auto"/>
          <w:highlight w:val="none"/>
          <w:lang w:val="en-US" w:eastAsia="zh-CN"/>
        </w:rPr>
        <w:t>个</w:t>
      </w:r>
      <w:r>
        <w:rPr>
          <w:rFonts w:hint="eastAsia"/>
          <w:color w:val="auto"/>
          <w:highlight w:val="none"/>
        </w:rPr>
        <w:t>；</w:t>
      </w:r>
    </w:p>
    <w:p w14:paraId="7E9AFC74">
      <w:pPr>
        <w:ind w:left="0" w:leftChars="0" w:firstLine="560" w:firstLineChars="200"/>
        <w:rPr>
          <w:rFonts w:hint="eastAsia"/>
          <w:color w:val="auto"/>
          <w:highlight w:val="none"/>
          <w:lang w:eastAsia="zh-CN"/>
        </w:rPr>
      </w:pPr>
      <w:r>
        <w:rPr>
          <w:rFonts w:hint="eastAsia"/>
          <w:color w:val="auto"/>
          <w:highlight w:val="none"/>
        </w:rPr>
        <w:t>“</w:t>
      </w:r>
      <w:r>
        <w:rPr>
          <w:rFonts w:hint="eastAsia"/>
          <w:color w:val="auto"/>
          <w:highlight w:val="none"/>
          <w:lang w:val="en-US" w:eastAsia="zh-CN"/>
        </w:rPr>
        <w:t>维护洒水车、垃圾车（人居环境政治）</w:t>
      </w:r>
      <w:r>
        <w:rPr>
          <w:rFonts w:hint="eastAsia"/>
          <w:color w:val="auto"/>
          <w:highlight w:val="none"/>
        </w:rPr>
        <w:t>”指标，预期指标值</w:t>
      </w:r>
      <w:r>
        <w:rPr>
          <w:rFonts w:hint="eastAsia"/>
          <w:color w:val="auto"/>
          <w:highlight w:val="none"/>
          <w:lang w:eastAsia="zh-CN"/>
        </w:rPr>
        <w:t>为</w:t>
      </w:r>
      <w:r>
        <w:rPr>
          <w:rFonts w:hint="eastAsia"/>
          <w:color w:val="auto"/>
          <w:highlight w:val="none"/>
        </w:rPr>
        <w:t>1</w:t>
      </w:r>
      <w:r>
        <w:rPr>
          <w:rFonts w:hint="eastAsia"/>
          <w:color w:val="auto"/>
          <w:highlight w:val="none"/>
          <w:lang w:val="en-US" w:eastAsia="zh-CN"/>
        </w:rPr>
        <w:t>7辆</w:t>
      </w:r>
      <w:r>
        <w:rPr>
          <w:rFonts w:hint="eastAsia"/>
          <w:color w:val="auto"/>
          <w:highlight w:val="none"/>
          <w:lang w:eastAsia="zh-CN"/>
        </w:rPr>
        <w:t>；</w:t>
      </w:r>
    </w:p>
    <w:p w14:paraId="3ADE1B86">
      <w:pPr>
        <w:pStyle w:val="11"/>
        <w:ind w:left="0" w:leftChars="0" w:firstLine="560" w:firstLineChars="20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w:t>
      </w:r>
      <w:r>
        <w:rPr>
          <w:rFonts w:hint="eastAsia" w:ascii="Times New Roman" w:cs="Times New Roman"/>
          <w:color w:val="auto"/>
          <w:kern w:val="2"/>
          <w:sz w:val="28"/>
          <w:szCs w:val="24"/>
          <w:highlight w:val="none"/>
          <w:lang w:val="en-US" w:eastAsia="zh-CN" w:bidi="ar-SA"/>
        </w:rPr>
        <w:t>保障巡逻车维修及燃料供应</w:t>
      </w:r>
      <w:r>
        <w:rPr>
          <w:rFonts w:hint="eastAsia" w:ascii="Times New Roman" w:hAnsi="Times New Roman" w:eastAsia="仿宋_GB2312" w:cs="Times New Roman"/>
          <w:color w:val="auto"/>
          <w:kern w:val="2"/>
          <w:sz w:val="28"/>
          <w:szCs w:val="24"/>
          <w:highlight w:val="none"/>
          <w:lang w:val="en-US" w:eastAsia="zh-CN" w:bidi="ar-SA"/>
        </w:rPr>
        <w:t>”指标，预期指标值</w:t>
      </w:r>
      <w:r>
        <w:rPr>
          <w:rFonts w:hint="eastAsia" w:ascii="Times New Roman" w:cs="Times New Roman"/>
          <w:color w:val="auto"/>
          <w:kern w:val="2"/>
          <w:sz w:val="28"/>
          <w:szCs w:val="24"/>
          <w:highlight w:val="none"/>
          <w:lang w:val="en-US" w:eastAsia="zh-CN" w:bidi="ar-SA"/>
        </w:rPr>
        <w:t>为12辆</w:t>
      </w:r>
      <w:r>
        <w:rPr>
          <w:rFonts w:hint="eastAsia" w:ascii="Times New Roman" w:hAnsi="Times New Roman" w:cs="Times New Roman"/>
          <w:color w:val="auto"/>
          <w:kern w:val="2"/>
          <w:sz w:val="28"/>
          <w:szCs w:val="24"/>
          <w:highlight w:val="none"/>
          <w:lang w:val="en-US" w:eastAsia="zh-CN" w:bidi="ar-SA"/>
        </w:rPr>
        <w:t>；</w:t>
      </w:r>
    </w:p>
    <w:p w14:paraId="30DBF37F">
      <w:pPr>
        <w:ind w:firstLine="560"/>
        <w:rPr>
          <w:rFonts w:hint="eastAsia"/>
          <w:color w:val="auto"/>
          <w:highlight w:val="none"/>
        </w:rPr>
      </w:pPr>
      <w:r>
        <w:rPr>
          <w:rFonts w:hint="eastAsia"/>
          <w:color w:val="auto"/>
          <w:highlight w:val="none"/>
        </w:rPr>
        <w:t>②质量指标</w:t>
      </w:r>
    </w:p>
    <w:p w14:paraId="2EC19C0E">
      <w:pPr>
        <w:ind w:firstLine="560"/>
        <w:rPr>
          <w:rFonts w:hint="eastAsia" w:eastAsia="仿宋_GB2312"/>
          <w:color w:val="auto"/>
          <w:highlight w:val="none"/>
          <w:lang w:eastAsia="zh-CN"/>
        </w:rPr>
      </w:pPr>
      <w:r>
        <w:rPr>
          <w:rFonts w:hint="eastAsia"/>
          <w:color w:val="auto"/>
          <w:highlight w:val="none"/>
        </w:rPr>
        <w:t>“资金管理规范使用率”指标，预期指标值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619618D9">
      <w:pPr>
        <w:ind w:firstLine="560"/>
        <w:rPr>
          <w:rFonts w:hint="eastAsia" w:eastAsia="仿宋_GB2312"/>
          <w:color w:val="auto"/>
          <w:highlight w:val="none"/>
          <w:lang w:eastAsia="zh-CN"/>
        </w:rPr>
      </w:pPr>
      <w:r>
        <w:rPr>
          <w:rFonts w:hint="eastAsia"/>
          <w:color w:val="auto"/>
          <w:highlight w:val="none"/>
        </w:rPr>
        <w:t>“人居环境整治覆盖率”指标，预期指标值为</w:t>
      </w:r>
      <w:r>
        <w:rPr>
          <w:rFonts w:hint="eastAsia"/>
          <w:color w:val="auto"/>
          <w:highlight w:val="none"/>
          <w:lang w:eastAsia="zh-CN"/>
        </w:rPr>
        <w:t>大于等于</w:t>
      </w:r>
      <w:r>
        <w:rPr>
          <w:rFonts w:hint="eastAsia"/>
          <w:color w:val="auto"/>
          <w:highlight w:val="none"/>
          <w:lang w:val="en-US" w:eastAsia="zh-CN"/>
        </w:rPr>
        <w:t>95</w:t>
      </w:r>
      <w:r>
        <w:rPr>
          <w:rFonts w:hint="eastAsia"/>
          <w:color w:val="auto"/>
          <w:highlight w:val="none"/>
        </w:rPr>
        <w:t>%</w:t>
      </w:r>
      <w:r>
        <w:rPr>
          <w:rFonts w:hint="eastAsia"/>
          <w:color w:val="auto"/>
          <w:highlight w:val="none"/>
          <w:lang w:eastAsia="zh-CN"/>
        </w:rPr>
        <w:t>；</w:t>
      </w:r>
    </w:p>
    <w:p w14:paraId="63FF3004">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3A64136E">
      <w:pPr>
        <w:ind w:firstLine="560"/>
        <w:rPr>
          <w:color w:val="auto"/>
          <w:highlight w:val="none"/>
        </w:rPr>
      </w:pPr>
      <w:r>
        <w:rPr>
          <w:rFonts w:hint="eastAsia"/>
          <w:color w:val="auto"/>
          <w:highlight w:val="none"/>
        </w:rPr>
        <w:t>“</w:t>
      </w:r>
      <w:r>
        <w:rPr>
          <w:rFonts w:hint="eastAsia"/>
          <w:color w:val="auto"/>
          <w:highlight w:val="none"/>
          <w:lang w:val="en-US" w:eastAsia="zh-CN"/>
        </w:rPr>
        <w:t>资金及时拨付率</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95</w:t>
      </w:r>
      <w:r>
        <w:rPr>
          <w:rFonts w:hint="eastAsia"/>
          <w:color w:val="auto"/>
          <w:highlight w:val="none"/>
        </w:rPr>
        <w:t>%；</w:t>
      </w:r>
    </w:p>
    <w:p w14:paraId="42846DC5">
      <w:pPr>
        <w:ind w:firstLine="560"/>
        <w:rPr>
          <w:color w:val="auto"/>
          <w:highlight w:val="none"/>
        </w:rPr>
      </w:pPr>
      <w:r>
        <w:rPr>
          <w:rFonts w:hint="eastAsia"/>
          <w:color w:val="auto"/>
          <w:highlight w:val="none"/>
        </w:rPr>
        <w:t>“</w:t>
      </w:r>
      <w:r>
        <w:rPr>
          <w:rFonts w:hint="eastAsia"/>
          <w:color w:val="auto"/>
          <w:highlight w:val="none"/>
          <w:lang w:val="en-US" w:eastAsia="zh-CN"/>
        </w:rPr>
        <w:t>困难群众慰问及时率</w:t>
      </w:r>
      <w:r>
        <w:rPr>
          <w:rFonts w:hint="eastAsia"/>
          <w:color w:val="auto"/>
          <w:highlight w:val="none"/>
        </w:rPr>
        <w:t>”指标，预期指标值</w:t>
      </w:r>
      <w:r>
        <w:rPr>
          <w:rFonts w:hint="eastAsia"/>
          <w:color w:val="auto"/>
          <w:highlight w:val="none"/>
          <w:lang w:eastAsia="zh-CN"/>
        </w:rPr>
        <w:t>为</w:t>
      </w:r>
      <w:r>
        <w:rPr>
          <w:rFonts w:hint="eastAsia"/>
          <w:color w:val="auto"/>
          <w:highlight w:val="none"/>
        </w:rPr>
        <w:t>100%。</w:t>
      </w:r>
    </w:p>
    <w:p w14:paraId="47C4FCD1">
      <w:pPr>
        <w:ind w:firstLine="560"/>
        <w:rPr>
          <w:color w:val="auto"/>
          <w:highlight w:val="none"/>
        </w:rPr>
      </w:pPr>
      <w:r>
        <w:rPr>
          <w:rFonts w:hint="eastAsia"/>
          <w:color w:val="auto"/>
          <w:highlight w:val="none"/>
        </w:rPr>
        <w:t>④成本指标</w:t>
      </w:r>
    </w:p>
    <w:p w14:paraId="31B0AAD4">
      <w:pPr>
        <w:ind w:firstLine="560"/>
        <w:rPr>
          <w:color w:val="auto"/>
          <w:highlight w:val="none"/>
        </w:rPr>
      </w:pPr>
      <w:r>
        <w:rPr>
          <w:rFonts w:hint="eastAsia"/>
          <w:color w:val="auto"/>
          <w:highlight w:val="none"/>
        </w:rPr>
        <w:t>“</w:t>
      </w:r>
      <w:r>
        <w:rPr>
          <w:rFonts w:hint="eastAsia"/>
          <w:b w:val="0"/>
          <w:bCs w:val="0"/>
          <w:color w:val="auto"/>
          <w:highlight w:val="none"/>
          <w:lang w:val="en-US" w:eastAsia="zh-CN"/>
        </w:rPr>
        <w:t>租赁石土方机械费用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30</w:t>
      </w:r>
      <w:r>
        <w:rPr>
          <w:rFonts w:hint="eastAsia"/>
          <w:color w:val="auto"/>
          <w:highlight w:val="none"/>
        </w:rPr>
        <w:t>万元；</w:t>
      </w:r>
    </w:p>
    <w:p w14:paraId="6862EB20">
      <w:pPr>
        <w:ind w:firstLine="560"/>
        <w:rPr>
          <w:rFonts w:hint="eastAsia"/>
          <w:color w:val="auto"/>
          <w:highlight w:val="none"/>
        </w:rPr>
      </w:pPr>
      <w:r>
        <w:rPr>
          <w:rFonts w:hint="eastAsia"/>
          <w:color w:val="auto"/>
          <w:highlight w:val="none"/>
        </w:rPr>
        <w:t>“</w:t>
      </w:r>
      <w:r>
        <w:rPr>
          <w:rFonts w:hint="eastAsia"/>
          <w:b w:val="0"/>
          <w:bCs w:val="0"/>
          <w:color w:val="auto"/>
          <w:highlight w:val="none"/>
          <w:lang w:val="en-US" w:eastAsia="zh-CN"/>
        </w:rPr>
        <w:t>办公用品经费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15</w:t>
      </w:r>
      <w:r>
        <w:rPr>
          <w:rFonts w:hint="eastAsia"/>
          <w:color w:val="auto"/>
          <w:highlight w:val="none"/>
        </w:rPr>
        <w:t>万元</w:t>
      </w:r>
      <w:r>
        <w:rPr>
          <w:rFonts w:hint="eastAsia"/>
          <w:color w:val="auto"/>
          <w:highlight w:val="none"/>
          <w:lang w:eastAsia="zh-CN"/>
        </w:rPr>
        <w:t>；</w:t>
      </w:r>
    </w:p>
    <w:p w14:paraId="09CC43B8">
      <w:pPr>
        <w:ind w:firstLine="560"/>
        <w:rPr>
          <w:rFonts w:hint="eastAsia" w:eastAsia="仿宋_GB2312"/>
          <w:color w:val="auto"/>
          <w:highlight w:val="none"/>
          <w:lang w:eastAsia="zh-CN"/>
        </w:rPr>
      </w:pPr>
      <w:r>
        <w:rPr>
          <w:rFonts w:hint="eastAsia"/>
          <w:color w:val="auto"/>
          <w:highlight w:val="none"/>
        </w:rPr>
        <w:t>“</w:t>
      </w:r>
      <w:r>
        <w:rPr>
          <w:rFonts w:hint="eastAsia"/>
          <w:b w:val="0"/>
          <w:bCs w:val="0"/>
          <w:color w:val="auto"/>
          <w:highlight w:val="none"/>
          <w:lang w:val="en-US" w:eastAsia="zh-CN"/>
        </w:rPr>
        <w:t>车辆运行费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7</w:t>
      </w:r>
      <w:r>
        <w:rPr>
          <w:rFonts w:hint="eastAsia"/>
          <w:color w:val="auto"/>
          <w:highlight w:val="none"/>
        </w:rPr>
        <w:t>万元</w:t>
      </w:r>
      <w:r>
        <w:rPr>
          <w:rFonts w:hint="eastAsia"/>
          <w:color w:val="auto"/>
          <w:highlight w:val="none"/>
          <w:lang w:eastAsia="zh-CN"/>
        </w:rPr>
        <w:t>；</w:t>
      </w:r>
    </w:p>
    <w:p w14:paraId="5B9E5A69">
      <w:pPr>
        <w:ind w:firstLine="560"/>
        <w:rPr>
          <w:rFonts w:hint="eastAsia" w:eastAsia="仿宋_GB2312"/>
          <w:color w:val="auto"/>
          <w:highlight w:val="none"/>
          <w:lang w:eastAsia="zh-CN"/>
        </w:rPr>
      </w:pPr>
      <w:r>
        <w:rPr>
          <w:rFonts w:hint="eastAsia"/>
          <w:color w:val="auto"/>
          <w:highlight w:val="none"/>
        </w:rPr>
        <w:t>“</w:t>
      </w:r>
      <w:r>
        <w:rPr>
          <w:rFonts w:hint="eastAsia"/>
          <w:b w:val="0"/>
          <w:bCs w:val="0"/>
          <w:color w:val="auto"/>
          <w:highlight w:val="none"/>
          <w:lang w:val="en-US" w:eastAsia="zh-CN"/>
        </w:rPr>
        <w:t>通讯费、用水用电费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12</w:t>
      </w:r>
      <w:r>
        <w:rPr>
          <w:rFonts w:hint="eastAsia"/>
          <w:color w:val="auto"/>
          <w:highlight w:val="none"/>
        </w:rPr>
        <w:t>万元</w:t>
      </w:r>
      <w:r>
        <w:rPr>
          <w:rFonts w:hint="eastAsia"/>
          <w:color w:val="auto"/>
          <w:highlight w:val="none"/>
          <w:lang w:eastAsia="zh-CN"/>
        </w:rPr>
        <w:t>；</w:t>
      </w:r>
    </w:p>
    <w:p w14:paraId="592BB1D1">
      <w:pPr>
        <w:ind w:firstLine="560"/>
        <w:rPr>
          <w:rFonts w:hint="eastAsia" w:eastAsia="仿宋_GB2312"/>
          <w:color w:val="auto"/>
          <w:highlight w:val="none"/>
          <w:lang w:eastAsia="zh-CN"/>
        </w:rPr>
      </w:pPr>
      <w:r>
        <w:rPr>
          <w:rFonts w:hint="eastAsia"/>
          <w:color w:val="auto"/>
          <w:highlight w:val="none"/>
        </w:rPr>
        <w:t>“</w:t>
      </w:r>
      <w:r>
        <w:rPr>
          <w:rFonts w:hint="eastAsia"/>
          <w:b w:val="0"/>
          <w:bCs w:val="0"/>
          <w:color w:val="auto"/>
          <w:highlight w:val="none"/>
          <w:lang w:val="en-US" w:eastAsia="zh-CN"/>
        </w:rPr>
        <w:t>雇工劳务费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12</w:t>
      </w:r>
      <w:r>
        <w:rPr>
          <w:rFonts w:hint="eastAsia"/>
          <w:color w:val="auto"/>
          <w:highlight w:val="none"/>
        </w:rPr>
        <w:t>万元</w:t>
      </w:r>
      <w:r>
        <w:rPr>
          <w:rFonts w:hint="eastAsia"/>
          <w:color w:val="auto"/>
          <w:highlight w:val="none"/>
          <w:lang w:eastAsia="zh-CN"/>
        </w:rPr>
        <w:t>；</w:t>
      </w:r>
    </w:p>
    <w:p w14:paraId="402A395F">
      <w:pPr>
        <w:ind w:firstLine="560"/>
        <w:rPr>
          <w:rFonts w:hint="eastAsia" w:eastAsia="仿宋_GB2312"/>
          <w:color w:val="auto"/>
          <w:highlight w:val="none"/>
          <w:lang w:eastAsia="zh-CN"/>
        </w:rPr>
      </w:pPr>
      <w:r>
        <w:rPr>
          <w:rFonts w:hint="eastAsia"/>
          <w:color w:val="auto"/>
          <w:highlight w:val="none"/>
        </w:rPr>
        <w:t>“</w:t>
      </w:r>
      <w:r>
        <w:rPr>
          <w:rFonts w:hint="eastAsia"/>
          <w:b w:val="0"/>
          <w:bCs w:val="0"/>
          <w:color w:val="auto"/>
          <w:highlight w:val="none"/>
          <w:lang w:val="en-US" w:eastAsia="zh-CN"/>
        </w:rPr>
        <w:t>其他为民办事</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60</w:t>
      </w:r>
      <w:r>
        <w:rPr>
          <w:rFonts w:hint="eastAsia"/>
          <w:color w:val="auto"/>
          <w:highlight w:val="none"/>
        </w:rPr>
        <w:t>万元</w:t>
      </w:r>
      <w:r>
        <w:rPr>
          <w:rFonts w:hint="eastAsia"/>
          <w:color w:val="auto"/>
          <w:highlight w:val="none"/>
          <w:lang w:eastAsia="zh-CN"/>
        </w:rPr>
        <w:t>；</w:t>
      </w:r>
    </w:p>
    <w:p w14:paraId="090C314F">
      <w:pPr>
        <w:ind w:firstLine="560"/>
        <w:rPr>
          <w:rFonts w:hint="eastAsia" w:eastAsia="仿宋_GB2312"/>
          <w:color w:val="auto"/>
          <w:highlight w:val="none"/>
          <w:lang w:eastAsia="zh-CN"/>
        </w:rPr>
      </w:pPr>
      <w:r>
        <w:rPr>
          <w:rFonts w:hint="eastAsia"/>
          <w:color w:val="auto"/>
          <w:highlight w:val="none"/>
        </w:rPr>
        <w:t>“</w:t>
      </w:r>
      <w:r>
        <w:rPr>
          <w:rFonts w:hint="eastAsia"/>
          <w:b w:val="0"/>
          <w:bCs w:val="0"/>
          <w:color w:val="auto"/>
          <w:highlight w:val="none"/>
          <w:lang w:val="en-US" w:eastAsia="zh-CN"/>
        </w:rPr>
        <w:t>困难群众慰问费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rPr>
        <w:t>5万元</w:t>
      </w:r>
      <w:r>
        <w:rPr>
          <w:rFonts w:hint="eastAsia"/>
          <w:color w:val="auto"/>
          <w:highlight w:val="none"/>
          <w:lang w:eastAsia="zh-CN"/>
        </w:rPr>
        <w:t>；</w:t>
      </w:r>
    </w:p>
    <w:p w14:paraId="745EE5CF">
      <w:pPr>
        <w:ind w:firstLine="560"/>
        <w:rPr>
          <w:color w:val="auto"/>
          <w:highlight w:val="none"/>
        </w:rPr>
      </w:pPr>
      <w:r>
        <w:rPr>
          <w:rFonts w:hint="eastAsia"/>
          <w:color w:val="auto"/>
          <w:highlight w:val="none"/>
        </w:rPr>
        <w:t>“</w:t>
      </w:r>
      <w:r>
        <w:rPr>
          <w:rFonts w:hint="eastAsia"/>
          <w:b w:val="0"/>
          <w:bCs w:val="0"/>
          <w:color w:val="auto"/>
          <w:highlight w:val="none"/>
          <w:lang w:val="en-US" w:eastAsia="zh-CN"/>
        </w:rPr>
        <w:t>垃圾清运费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w:t>
      </w:r>
      <w:r>
        <w:rPr>
          <w:rFonts w:hint="eastAsia"/>
          <w:color w:val="auto"/>
          <w:highlight w:val="none"/>
        </w:rPr>
        <w:t>0万元。</w:t>
      </w:r>
    </w:p>
    <w:p w14:paraId="1AC1F579">
      <w:pPr>
        <w:ind w:firstLine="562"/>
        <w:rPr>
          <w:rFonts w:ascii="仿宋" w:hAnsi="仿宋" w:eastAsia="仿宋"/>
          <w:b/>
          <w:color w:val="auto"/>
          <w:highlight w:val="none"/>
        </w:rPr>
      </w:pPr>
      <w:r>
        <w:rPr>
          <w:rFonts w:hint="eastAsia" w:ascii="仿宋" w:hAnsi="仿宋" w:eastAsia="仿宋"/>
          <w:b/>
          <w:color w:val="auto"/>
          <w:highlight w:val="none"/>
        </w:rPr>
        <w:t>（2）项目效益目标</w:t>
      </w:r>
    </w:p>
    <w:p w14:paraId="742D2E0A">
      <w:pPr>
        <w:ind w:firstLine="560"/>
        <w:rPr>
          <w:color w:val="auto"/>
          <w:highlight w:val="none"/>
        </w:rPr>
      </w:pPr>
      <w:r>
        <w:rPr>
          <w:rFonts w:hint="eastAsia"/>
          <w:color w:val="auto"/>
          <w:highlight w:val="none"/>
        </w:rPr>
        <w:t>①经济效益指标</w:t>
      </w:r>
    </w:p>
    <w:p w14:paraId="583DAF8D">
      <w:pPr>
        <w:ind w:firstLine="560"/>
        <w:rPr>
          <w:rFonts w:hint="eastAsia" w:eastAsia="仿宋_GB2312"/>
          <w:color w:val="auto"/>
          <w:highlight w:val="none"/>
          <w:lang w:eastAsia="zh-CN"/>
        </w:rPr>
      </w:pPr>
      <w:r>
        <w:rPr>
          <w:rFonts w:hint="eastAsia"/>
          <w:color w:val="auto"/>
          <w:highlight w:val="none"/>
        </w:rPr>
        <w:t>“提高经济发展水平”指标，预期指标值为显著提高</w:t>
      </w:r>
      <w:r>
        <w:rPr>
          <w:rFonts w:hint="eastAsia"/>
          <w:color w:val="auto"/>
          <w:highlight w:val="none"/>
          <w:lang w:eastAsia="zh-CN"/>
        </w:rPr>
        <w:t>。</w:t>
      </w:r>
    </w:p>
    <w:p w14:paraId="3CE5E59E">
      <w:pPr>
        <w:ind w:firstLine="560"/>
        <w:rPr>
          <w:color w:val="auto"/>
          <w:highlight w:val="none"/>
        </w:rPr>
      </w:pPr>
      <w:r>
        <w:rPr>
          <w:rFonts w:hint="eastAsia"/>
          <w:color w:val="auto"/>
          <w:highlight w:val="none"/>
        </w:rPr>
        <w:t>②社会效益指标</w:t>
      </w:r>
    </w:p>
    <w:p w14:paraId="4DABC571">
      <w:pPr>
        <w:ind w:firstLine="560"/>
        <w:rPr>
          <w:color w:val="auto"/>
          <w:highlight w:val="none"/>
        </w:rPr>
      </w:pPr>
      <w:r>
        <w:rPr>
          <w:rFonts w:hint="eastAsia"/>
          <w:color w:val="auto"/>
          <w:highlight w:val="none"/>
        </w:rPr>
        <w:t>“</w:t>
      </w:r>
      <w:r>
        <w:rPr>
          <w:rFonts w:hint="eastAsia"/>
          <w:color w:val="auto"/>
          <w:highlight w:val="none"/>
          <w:lang w:val="en-US" w:eastAsia="zh-CN"/>
        </w:rPr>
        <w:t>提升村民幸福指数</w:t>
      </w:r>
      <w:r>
        <w:rPr>
          <w:rFonts w:hint="eastAsia"/>
          <w:color w:val="auto"/>
          <w:highlight w:val="none"/>
        </w:rPr>
        <w:t>”指标，预期指标值为</w:t>
      </w:r>
      <w:r>
        <w:rPr>
          <w:rFonts w:hint="eastAsia"/>
          <w:color w:val="auto"/>
          <w:highlight w:val="none"/>
          <w:lang w:val="en-US" w:eastAsia="zh-CN"/>
        </w:rPr>
        <w:t>显著提升</w:t>
      </w:r>
      <w:r>
        <w:rPr>
          <w:rFonts w:hint="eastAsia"/>
          <w:color w:val="auto"/>
          <w:highlight w:val="none"/>
        </w:rPr>
        <w:t>；</w:t>
      </w:r>
    </w:p>
    <w:p w14:paraId="1037249E">
      <w:pPr>
        <w:ind w:firstLine="560"/>
        <w:rPr>
          <w:color w:val="auto"/>
          <w:highlight w:val="none"/>
        </w:rPr>
      </w:pPr>
      <w:r>
        <w:rPr>
          <w:rFonts w:hint="eastAsia"/>
          <w:color w:val="auto"/>
          <w:highlight w:val="none"/>
        </w:rPr>
        <w:t>③生态效益指标</w:t>
      </w:r>
    </w:p>
    <w:p w14:paraId="30B20B81">
      <w:pPr>
        <w:ind w:firstLine="560"/>
        <w:rPr>
          <w:color w:val="auto"/>
          <w:highlight w:val="none"/>
        </w:rPr>
      </w:pPr>
      <w:r>
        <w:rPr>
          <w:rFonts w:hint="eastAsia"/>
          <w:color w:val="auto"/>
          <w:highlight w:val="none"/>
        </w:rPr>
        <w:t>“</w:t>
      </w:r>
      <w:r>
        <w:rPr>
          <w:rFonts w:hint="eastAsia"/>
          <w:color w:val="auto"/>
          <w:highlight w:val="none"/>
          <w:lang w:val="en-US" w:eastAsia="zh-CN"/>
        </w:rPr>
        <w:t>提升村落环境条件</w:t>
      </w:r>
      <w:r>
        <w:rPr>
          <w:rFonts w:hint="eastAsia"/>
          <w:color w:val="auto"/>
          <w:highlight w:val="none"/>
        </w:rPr>
        <w:t>”指标，预期指标值为</w:t>
      </w:r>
      <w:r>
        <w:rPr>
          <w:rFonts w:hint="eastAsia"/>
          <w:color w:val="auto"/>
          <w:highlight w:val="none"/>
          <w:lang w:val="en-US" w:eastAsia="zh-CN"/>
        </w:rPr>
        <w:t>显著提升</w:t>
      </w:r>
      <w:r>
        <w:rPr>
          <w:rFonts w:hint="eastAsia"/>
          <w:color w:val="auto"/>
          <w:highlight w:val="none"/>
        </w:rPr>
        <w:t>；</w:t>
      </w:r>
    </w:p>
    <w:p w14:paraId="22AF1408">
      <w:pPr>
        <w:ind w:firstLine="560"/>
        <w:rPr>
          <w:color w:val="auto"/>
          <w:highlight w:val="none"/>
        </w:rPr>
      </w:pPr>
      <w:r>
        <w:rPr>
          <w:rFonts w:hint="eastAsia"/>
          <w:color w:val="auto"/>
          <w:highlight w:val="none"/>
        </w:rPr>
        <w:t>④可持续影响</w:t>
      </w:r>
    </w:p>
    <w:p w14:paraId="422AF6A0">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无</w:t>
      </w:r>
    </w:p>
    <w:p w14:paraId="3A893CD9">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14:paraId="1164E72C">
      <w:pPr>
        <w:ind w:firstLine="560"/>
        <w:rPr>
          <w:color w:val="auto"/>
          <w:highlight w:val="none"/>
        </w:rPr>
      </w:pPr>
      <w:r>
        <w:rPr>
          <w:rFonts w:hint="eastAsia"/>
          <w:color w:val="auto"/>
          <w:highlight w:val="none"/>
        </w:rPr>
        <w:t>①满意度指标</w:t>
      </w:r>
    </w:p>
    <w:p w14:paraId="5B4CB171">
      <w:pPr>
        <w:ind w:firstLine="560"/>
        <w:rPr>
          <w:rFonts w:hint="eastAsia" w:eastAsia="仿宋_GB2312"/>
          <w:color w:val="auto"/>
          <w:highlight w:val="none"/>
          <w:lang w:eastAsia="zh-CN"/>
        </w:rPr>
      </w:pPr>
      <w:r>
        <w:rPr>
          <w:rFonts w:hint="eastAsia"/>
          <w:color w:val="auto"/>
          <w:highlight w:val="none"/>
        </w:rPr>
        <w:t>“</w:t>
      </w:r>
      <w:r>
        <w:rPr>
          <w:rFonts w:hint="eastAsia"/>
          <w:color w:val="auto"/>
          <w:highlight w:val="none"/>
          <w:lang w:val="en-US" w:eastAsia="zh-CN"/>
        </w:rPr>
        <w:t>村民满意度</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rPr>
        <w:t>95%</w:t>
      </w:r>
      <w:r>
        <w:rPr>
          <w:rFonts w:hint="eastAsia"/>
          <w:color w:val="auto"/>
          <w:highlight w:val="none"/>
          <w:lang w:eastAsia="zh-CN"/>
        </w:rPr>
        <w:t>。</w:t>
      </w:r>
    </w:p>
    <w:p w14:paraId="3EEE4646">
      <w:pPr>
        <w:pStyle w:val="3"/>
        <w:ind w:firstLine="640"/>
        <w:rPr>
          <w:color w:val="auto"/>
          <w:highlight w:val="none"/>
        </w:rPr>
      </w:pPr>
      <w:r>
        <w:rPr>
          <w:rFonts w:hint="eastAsia"/>
          <w:color w:val="auto"/>
          <w:highlight w:val="none"/>
        </w:rPr>
        <w:t>二、绩效评价工作开展情况</w:t>
      </w:r>
    </w:p>
    <w:p w14:paraId="2627000F">
      <w:pPr>
        <w:pStyle w:val="4"/>
        <w:numPr>
          <w:ilvl w:val="0"/>
          <w:numId w:val="2"/>
        </w:numPr>
        <w:ind w:firstLine="643"/>
        <w:rPr>
          <w:rFonts w:ascii="楷体" w:hAnsi="楷体" w:cs="楷体"/>
          <w:color w:val="auto"/>
          <w:szCs w:val="32"/>
          <w:highlight w:val="none"/>
        </w:rPr>
      </w:pPr>
      <w:bookmarkStart w:id="0" w:name="_Toc5258"/>
      <w:bookmarkStart w:id="1" w:name="_Toc480473081"/>
      <w:bookmarkStart w:id="2" w:name="_Toc26632"/>
      <w:bookmarkStart w:id="3" w:name="_Toc5462343"/>
      <w:bookmarkStart w:id="4" w:name="_Toc21664"/>
      <w:bookmarkStart w:id="5" w:name="_Toc22169_WPSOffice_Level2"/>
      <w:bookmarkStart w:id="6" w:name="_Toc12868"/>
      <w:bookmarkStart w:id="7" w:name="_Toc2292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6BF97DF5">
      <w:pPr>
        <w:pStyle w:val="2"/>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1D0C3299">
      <w:pPr>
        <w:spacing w:line="600" w:lineRule="exact"/>
        <w:ind w:firstLine="560"/>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14:paraId="1C574F78">
      <w:pPr>
        <w:spacing w:line="600" w:lineRule="exact"/>
        <w:ind w:firstLine="560"/>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5C22D6E6">
      <w:pPr>
        <w:pStyle w:val="2"/>
        <w:ind w:firstLine="562"/>
        <w:rPr>
          <w:color w:val="auto"/>
          <w:highlight w:val="none"/>
        </w:rPr>
      </w:pPr>
      <w:r>
        <w:rPr>
          <w:rFonts w:hint="eastAsia"/>
          <w:color w:val="auto"/>
          <w:highlight w:val="none"/>
        </w:rPr>
        <w:t>2.绩效评价的对象和范围</w:t>
      </w:r>
    </w:p>
    <w:p w14:paraId="774D2056">
      <w:pPr>
        <w:spacing w:line="240" w:lineRule="atLeast"/>
        <w:ind w:left="0" w:leftChars="0" w:firstLine="562" w:firstLineChars="200"/>
        <w:jc w:val="both"/>
        <w:rPr>
          <w:rFonts w:hint="eastAsia" w:ascii="Times New Roman" w:hAnsi="Times New Roman" w:cs="Times New Roman"/>
          <w:color w:val="auto"/>
          <w:highlight w:val="none"/>
          <w:lang w:eastAsia="zh-CN"/>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年度我单位实施的</w:t>
      </w:r>
      <w:r>
        <w:rPr>
          <w:rFonts w:hint="eastAsia" w:ascii="Times New Roman" w:hAnsi="Times New Roman" w:cs="Times New Roman"/>
          <w:color w:val="auto"/>
          <w:highlight w:val="none"/>
          <w:lang w:val="en-US" w:eastAsia="zh-CN"/>
        </w:rPr>
        <w:t>夏</w:t>
      </w:r>
      <w:r>
        <w:rPr>
          <w:rFonts w:hint="eastAsia" w:ascii="Times New Roman" w:hAnsi="Times New Roman" w:cs="Times New Roman"/>
          <w:color w:val="auto"/>
          <w:highlight w:val="none"/>
          <w:lang w:eastAsia="zh-CN"/>
        </w:rPr>
        <w:t>镇乡镇基层运转综合业务项目经费</w:t>
      </w:r>
    </w:p>
    <w:p w14:paraId="6827953D">
      <w:pPr>
        <w:ind w:left="0" w:leftChars="0" w:firstLine="0" w:firstLineChars="0"/>
        <w:rPr>
          <w:rFonts w:hint="eastAsia"/>
          <w:color w:val="auto"/>
          <w:highlight w:val="none"/>
        </w:rPr>
      </w:pPr>
      <w:r>
        <w:rPr>
          <w:rFonts w:hint="eastAsia"/>
          <w:color w:val="auto"/>
          <w:highlight w:val="none"/>
        </w:rPr>
        <w:t>项目开展部门绩效评价，</w:t>
      </w:r>
      <w:r>
        <w:rPr>
          <w:rFonts w:hint="eastAsia"/>
          <w:color w:val="auto"/>
          <w:highlight w:val="none"/>
          <w:lang w:eastAsia="zh-CN"/>
        </w:rPr>
        <w:t>评价核心</w:t>
      </w:r>
      <w:r>
        <w:rPr>
          <w:rFonts w:hint="eastAsia"/>
          <w:color w:val="auto"/>
          <w:highlight w:val="none"/>
          <w:lang w:val="en-US" w:eastAsia="zh-CN"/>
        </w:rPr>
        <w:t>内容</w:t>
      </w:r>
      <w:r>
        <w:rPr>
          <w:rFonts w:hint="eastAsia"/>
          <w:color w:val="auto"/>
          <w:highlight w:val="none"/>
          <w:lang w:eastAsia="zh-CN"/>
        </w:rPr>
        <w:t>为项目资金</w:t>
      </w:r>
      <w:r>
        <w:rPr>
          <w:rFonts w:hint="eastAsia"/>
          <w:color w:val="auto"/>
          <w:highlight w:val="none"/>
          <w:lang w:val="en-US" w:eastAsia="zh-CN"/>
        </w:rPr>
        <w:t>执行情况</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14:paraId="30798C94">
      <w:pP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14:paraId="4D68ACEC">
      <w:pPr>
        <w:pStyle w:val="4"/>
        <w:numPr>
          <w:ilvl w:val="0"/>
          <w:numId w:val="2"/>
        </w:numPr>
        <w:ind w:firstLine="643"/>
        <w:rPr>
          <w:color w:val="auto"/>
          <w:highlight w:val="none"/>
        </w:rPr>
      </w:pPr>
      <w:r>
        <w:rPr>
          <w:rFonts w:hint="eastAsia"/>
          <w:color w:val="auto"/>
          <w:highlight w:val="none"/>
        </w:rPr>
        <w:t>绩效评价原则、评价指标体系、评价方法评价标准</w:t>
      </w:r>
    </w:p>
    <w:p w14:paraId="2400107C">
      <w:pPr>
        <w:pStyle w:val="2"/>
        <w:ind w:firstLine="562"/>
        <w:rPr>
          <w:color w:val="auto"/>
          <w:highlight w:val="none"/>
        </w:rPr>
      </w:pPr>
      <w:r>
        <w:rPr>
          <w:rFonts w:hint="eastAsia"/>
          <w:color w:val="auto"/>
          <w:highlight w:val="none"/>
        </w:rPr>
        <w:t>1.绩效评价原则</w:t>
      </w:r>
    </w:p>
    <w:p w14:paraId="59602D44">
      <w:pPr>
        <w:spacing w:line="600" w:lineRule="exact"/>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14:paraId="40651495">
      <w:pPr>
        <w:spacing w:line="600" w:lineRule="exact"/>
        <w:ind w:firstLine="560"/>
        <w:rPr>
          <w:color w:val="auto"/>
          <w:highlight w:val="none"/>
        </w:rPr>
      </w:pPr>
      <w:r>
        <w:rPr>
          <w:rFonts w:hint="eastAsia"/>
          <w:color w:val="auto"/>
          <w:highlight w:val="none"/>
        </w:rPr>
        <w:t>根据以上原则，绩效评价应遵循如下要求：</w:t>
      </w:r>
    </w:p>
    <w:p w14:paraId="642F2D26">
      <w:pPr>
        <w:spacing w:line="600" w:lineRule="exact"/>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14:paraId="56F53444">
      <w:pPr>
        <w:spacing w:line="600" w:lineRule="exact"/>
        <w:ind w:firstLine="560"/>
        <w:rPr>
          <w:color w:val="auto"/>
          <w:highlight w:val="none"/>
        </w:rPr>
      </w:pPr>
      <w:r>
        <w:rPr>
          <w:rFonts w:hint="eastAsia"/>
          <w:color w:val="auto"/>
          <w:highlight w:val="none"/>
        </w:rPr>
        <w:t>（2）保证评价结果的真实性、公正性，提高评价报告的公信力。</w:t>
      </w:r>
    </w:p>
    <w:p w14:paraId="01898FBE">
      <w:pP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14:paraId="41A62EEF">
      <w:pPr>
        <w:pStyle w:val="2"/>
        <w:ind w:firstLine="562"/>
        <w:rPr>
          <w:color w:val="auto"/>
          <w:highlight w:val="none"/>
        </w:rPr>
      </w:pPr>
      <w:bookmarkStart w:id="8" w:name="_Toc428278230"/>
      <w:bookmarkStart w:id="9" w:name="_Toc419984722"/>
      <w:bookmarkStart w:id="10" w:name="_Toc1913"/>
      <w:bookmarkStart w:id="11" w:name="_Toc26131"/>
      <w:r>
        <w:rPr>
          <w:rFonts w:hint="eastAsia"/>
          <w:color w:val="auto"/>
          <w:highlight w:val="none"/>
        </w:rPr>
        <w:t>2.绩效评价指标体系</w:t>
      </w:r>
      <w:bookmarkEnd w:id="8"/>
      <w:bookmarkEnd w:id="9"/>
      <w:bookmarkEnd w:id="10"/>
      <w:bookmarkEnd w:id="11"/>
    </w:p>
    <w:p w14:paraId="7C6D696A">
      <w:pPr>
        <w:ind w:firstLine="560"/>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项目成本（12分）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14:paraId="3F4D03BB">
      <w:pPr>
        <w:bidi w:val="0"/>
        <w:rPr>
          <w:rFonts w:hint="eastAsia"/>
          <w:color w:val="auto"/>
          <w:highlight w:val="none"/>
          <w:lang w:eastAsia="zh-CN"/>
        </w:rPr>
      </w:pPr>
      <w:r>
        <w:rPr>
          <w:rFonts w:hint="eastAsia"/>
          <w:color w:val="auto"/>
          <w:highlight w:val="none"/>
        </w:rPr>
        <w:t>一级指标为：决策、过程、产出、</w:t>
      </w:r>
      <w:r>
        <w:rPr>
          <w:rFonts w:hint="eastAsia"/>
          <w:color w:val="auto"/>
          <w:highlight w:val="none"/>
          <w:lang w:val="en-US" w:eastAsia="zh-CN"/>
        </w:rPr>
        <w:t>成本、</w:t>
      </w:r>
      <w:r>
        <w:rPr>
          <w:rFonts w:hint="eastAsia"/>
          <w:color w:val="auto"/>
          <w:highlight w:val="none"/>
        </w:rPr>
        <w:t>效益</w:t>
      </w:r>
      <w:r>
        <w:rPr>
          <w:rFonts w:hint="eastAsia"/>
          <w:color w:val="auto"/>
          <w:highlight w:val="none"/>
          <w:lang w:eastAsia="zh-CN"/>
        </w:rPr>
        <w:t>。</w:t>
      </w:r>
    </w:p>
    <w:p w14:paraId="7BEEA95D">
      <w:pPr>
        <w:bidi w:val="0"/>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14:paraId="4D0D93E6">
      <w:pPr>
        <w:ind w:firstLine="560"/>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14:paraId="0457BA44">
      <w:pPr>
        <w:ind w:firstLine="560"/>
        <w:rPr>
          <w:color w:val="auto"/>
          <w:highlight w:val="none"/>
        </w:rPr>
      </w:pPr>
      <w:r>
        <w:rPr>
          <w:rFonts w:hint="eastAsia"/>
          <w:color w:val="auto"/>
          <w:highlight w:val="none"/>
        </w:rPr>
        <w:t>指标体系包括指标体系表</w:t>
      </w:r>
      <w:r>
        <w:rPr>
          <w:rFonts w:hint="eastAsia"/>
          <w:color w:val="auto"/>
          <w:highlight w:val="none"/>
          <w:lang w:val="en-US" w:eastAsia="zh-CN"/>
        </w:rPr>
        <w:t>和</w:t>
      </w:r>
      <w:r>
        <w:rPr>
          <w:rFonts w:hint="eastAsia"/>
          <w:color w:val="auto"/>
          <w:highlight w:val="none"/>
        </w:rPr>
        <w:t>综合</w:t>
      </w:r>
      <w:r>
        <w:rPr>
          <w:rFonts w:hint="eastAsia"/>
          <w:color w:val="auto"/>
          <w:highlight w:val="none"/>
          <w:lang w:val="en-US" w:eastAsia="zh-CN"/>
        </w:rPr>
        <w:t>得分表</w:t>
      </w:r>
      <w:r>
        <w:rPr>
          <w:rFonts w:hint="eastAsia"/>
          <w:color w:val="auto"/>
          <w:highlight w:val="none"/>
        </w:rPr>
        <w:t>两部分，指标体系表是支持评价的基础数据，各指标的权重由该项目绩效评价小组根据绩效评价原理和评价需求，在调研基础上依据指标的重要性制定形成。综合</w:t>
      </w:r>
      <w:r>
        <w:rPr>
          <w:rFonts w:hint="eastAsia"/>
          <w:color w:val="auto"/>
          <w:highlight w:val="none"/>
          <w:lang w:val="en-US" w:eastAsia="zh-CN"/>
        </w:rPr>
        <w:t>得分表</w:t>
      </w:r>
      <w:r>
        <w:rPr>
          <w:rFonts w:hint="eastAsia"/>
          <w:color w:val="auto"/>
          <w:highlight w:val="none"/>
        </w:rPr>
        <w:t>是</w:t>
      </w:r>
      <w:r>
        <w:rPr>
          <w:rFonts w:hint="eastAsia"/>
          <w:color w:val="auto"/>
          <w:highlight w:val="none"/>
          <w:lang w:val="en-US" w:eastAsia="zh-CN"/>
        </w:rPr>
        <w:t>项目一级指标汇总得分表</w:t>
      </w:r>
      <w:r>
        <w:rPr>
          <w:rFonts w:hint="eastAsia"/>
          <w:color w:val="auto"/>
          <w:highlight w:val="none"/>
        </w:rPr>
        <w:t>。详细指标体系见</w:t>
      </w:r>
      <w:r>
        <w:rPr>
          <w:rFonts w:hint="eastAsia"/>
          <w:color w:val="auto"/>
          <w:highlight w:val="none"/>
          <w:lang w:eastAsia="zh-CN"/>
        </w:rPr>
        <w:t>《</w:t>
      </w:r>
      <w:r>
        <w:rPr>
          <w:rFonts w:hint="eastAsia"/>
          <w:color w:val="auto"/>
          <w:highlight w:val="none"/>
        </w:rPr>
        <w:t>附件1：项目绩效评价指标体系表和项目综合得分表</w:t>
      </w:r>
      <w:r>
        <w:rPr>
          <w:rFonts w:hint="eastAsia"/>
          <w:color w:val="auto"/>
          <w:highlight w:val="none"/>
          <w:lang w:eastAsia="zh-CN"/>
        </w:rPr>
        <w:t>》</w:t>
      </w:r>
      <w:r>
        <w:rPr>
          <w:rFonts w:hint="eastAsia"/>
          <w:color w:val="auto"/>
          <w:highlight w:val="none"/>
        </w:rPr>
        <w:t>。</w:t>
      </w:r>
    </w:p>
    <w:p w14:paraId="034C2510">
      <w:pPr>
        <w:pStyle w:val="2"/>
        <w:ind w:firstLine="562"/>
        <w:rPr>
          <w:color w:val="auto"/>
          <w:highlight w:val="none"/>
        </w:rPr>
      </w:pPr>
      <w:r>
        <w:rPr>
          <w:rFonts w:hint="eastAsia"/>
          <w:color w:val="auto"/>
          <w:highlight w:val="none"/>
        </w:rPr>
        <w:t>3.评价方法</w:t>
      </w:r>
    </w:p>
    <w:p w14:paraId="0D97DC99">
      <w:pPr>
        <w:bidi w:val="0"/>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14:paraId="2C0D24D1">
      <w:pPr>
        <w:bidi w:val="0"/>
        <w:rPr>
          <w:rFonts w:hint="eastAsia"/>
          <w:color w:val="auto"/>
          <w:highlight w:val="none"/>
        </w:rPr>
      </w:pPr>
      <w:r>
        <w:rPr>
          <w:rFonts w:hint="eastAsia"/>
          <w:color w:val="auto"/>
          <w:highlight w:val="none"/>
        </w:rPr>
        <w:t>三级指标分析环节：总体采用比较法，同时辅以成本效益法、因素分析法以及公众评判法，根据不同三级指标类型进行逐项分析。</w:t>
      </w:r>
    </w:p>
    <w:p w14:paraId="09B73AA8">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14:paraId="730046C7">
      <w:pP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14:paraId="41435896">
      <w:pP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14:paraId="7F9EB147">
      <w:pP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w:t>
      </w:r>
    </w:p>
    <w:p w14:paraId="20ACEE35">
      <w:pPr>
        <w:bidi w:val="0"/>
        <w:rPr>
          <w:rFonts w:hint="eastAsia"/>
          <w:color w:val="auto"/>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14:paraId="377321DF">
      <w:pPr>
        <w:pStyle w:val="2"/>
        <w:ind w:firstLine="562"/>
        <w:rPr>
          <w:color w:val="auto"/>
          <w:highlight w:val="none"/>
        </w:rPr>
      </w:pPr>
      <w:r>
        <w:rPr>
          <w:rFonts w:hint="eastAsia"/>
          <w:color w:val="auto"/>
          <w:highlight w:val="none"/>
        </w:rPr>
        <w:t>4.评价标准</w:t>
      </w:r>
    </w:p>
    <w:p w14:paraId="605CAB3C">
      <w:pP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61537323">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14:paraId="592A6DD7">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14:paraId="11032B7F">
      <w:pPr>
        <w:ind w:firstLine="560"/>
        <w:rPr>
          <w:color w:val="auto"/>
          <w:highlight w:val="none"/>
        </w:rPr>
      </w:pPr>
      <w:r>
        <w:rPr>
          <w:rFonts w:hint="eastAsia" w:ascii="Times New Roman" w:hAnsi="Times New Roman" w:cs="Times New Roman"/>
          <w:color w:val="auto"/>
          <w:highlight w:val="none"/>
          <w:lang w:val="en-US" w:eastAsia="zh-CN"/>
        </w:rPr>
        <w:t>（4）财政部门和预算部门确认或认可的其他标准。</w:t>
      </w:r>
    </w:p>
    <w:p w14:paraId="7973D7D4">
      <w:pPr>
        <w:pStyle w:val="4"/>
        <w:numPr>
          <w:ilvl w:val="0"/>
          <w:numId w:val="2"/>
        </w:numPr>
        <w:ind w:firstLine="643"/>
        <w:rPr>
          <w:color w:val="auto"/>
          <w:highlight w:val="none"/>
        </w:rPr>
      </w:pPr>
      <w:r>
        <w:rPr>
          <w:rFonts w:hint="eastAsia"/>
          <w:color w:val="auto"/>
          <w:highlight w:val="none"/>
        </w:rPr>
        <w:t>绩效评价工作过程</w:t>
      </w:r>
    </w:p>
    <w:p w14:paraId="15684ED6">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1FB83977">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2023年3月6日，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14:paraId="31265CCB">
      <w:pPr>
        <w:ind w:firstLine="560"/>
        <w:rPr>
          <w:rFonts w:hint="default"/>
          <w:color w:val="auto"/>
          <w:highlight w:val="none"/>
          <w:lang w:val="en-US" w:eastAsia="zh-CN"/>
        </w:rPr>
      </w:pPr>
      <w:r>
        <w:rPr>
          <w:rFonts w:hint="eastAsia"/>
          <w:color w:val="auto"/>
          <w:highlight w:val="none"/>
          <w:lang w:val="en-US" w:eastAsia="zh-CN"/>
        </w:rPr>
        <w:t>（1）评价组组长：赵思扬，</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2081BCB5">
      <w:pPr>
        <w:ind w:firstLine="560"/>
        <w:rPr>
          <w:rFonts w:hint="eastAsia"/>
          <w:color w:val="auto"/>
          <w:highlight w:val="none"/>
          <w:lang w:val="en-US" w:eastAsia="zh-CN"/>
        </w:rPr>
      </w:pPr>
      <w:r>
        <w:rPr>
          <w:rFonts w:hint="eastAsia"/>
          <w:color w:val="auto"/>
          <w:highlight w:val="none"/>
          <w:lang w:val="en-US" w:eastAsia="zh-CN"/>
        </w:rPr>
        <w:t>（2）评价组成员：艾合买提·卡迪尔，</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4F57B598">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（3）评价组成员：吐尔尼亚斯汗·玉苏甫，</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0278E8EA">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477E5076">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6313D897">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4288D631">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199A27B2">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15</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2D5F094C">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2013238F">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14:paraId="2B4F877A">
      <w:pPr>
        <w:pStyle w:val="2"/>
        <w:bidi w:val="0"/>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14:paraId="399084B0">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0BBC14BE">
      <w:pPr>
        <w:rPr>
          <w:color w:val="auto"/>
          <w:highlight w:val="none"/>
        </w:rPr>
      </w:pPr>
      <w:r>
        <w:rPr>
          <w:rFonts w:hint="eastAsia"/>
          <w:color w:val="auto"/>
          <w:highlight w:val="none"/>
        </w:rPr>
        <w:t>　</w:t>
      </w:r>
    </w:p>
    <w:p w14:paraId="75B2DE91">
      <w:pPr>
        <w:pStyle w:val="3"/>
        <w:numPr>
          <w:ilvl w:val="0"/>
          <w:numId w:val="3"/>
        </w:numPr>
        <w:ind w:firstLine="640"/>
        <w:rPr>
          <w:color w:val="auto"/>
          <w:highlight w:val="none"/>
        </w:rPr>
      </w:pPr>
      <w:r>
        <w:rPr>
          <w:rFonts w:hint="eastAsia"/>
          <w:color w:val="auto"/>
          <w:highlight w:val="none"/>
        </w:rPr>
        <w:t>综合评价情况及评价结论</w:t>
      </w:r>
    </w:p>
    <w:p w14:paraId="1AF2646C">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6587926F">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211B16C0">
      <w:pPr>
        <w:bidi w:val="0"/>
        <w:rPr>
          <w:rFonts w:hint="eastAsia"/>
          <w:color w:val="auto"/>
          <w:highlight w:val="none"/>
          <w:lang w:eastAsia="zh-CN"/>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w:t>
      </w:r>
      <w:r>
        <w:rPr>
          <w:rFonts w:hint="eastAsia"/>
          <w:color w:val="auto"/>
          <w:highlight w:val="none"/>
          <w:lang w:eastAsia="zh-CN"/>
        </w:rPr>
        <w:t xml:space="preserve">。 </w:t>
      </w:r>
    </w:p>
    <w:p w14:paraId="701ABE5C">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实际到位资金与预算资金的比率，用以反映和考核资金落实情况对项目实施的总体保障程度。项目预算资金按照计划执行，能反映或考核项目预算执行情况。项目资金使用符合相关的财务管理制度规定，能反映和考核项目资金的规范运行情况。</w:t>
      </w:r>
    </w:p>
    <w:p w14:paraId="19879C8E">
      <w:pPr>
        <w:pStyle w:val="2"/>
        <w:bidi w:val="0"/>
        <w:rPr>
          <w:b w:val="0"/>
          <w:bCs w:val="0"/>
          <w:color w:val="auto"/>
          <w:highlight w:val="none"/>
        </w:rPr>
      </w:pPr>
      <w:r>
        <w:rPr>
          <w:rFonts w:hint="eastAsia" w:cs="Times New Roman"/>
          <w:b w:val="0"/>
          <w:bCs w:val="0"/>
          <w:color w:val="auto"/>
          <w:highlight w:val="none"/>
          <w:lang w:val="en-US" w:eastAsia="zh-CN"/>
        </w:rPr>
        <w:t>项目产出方面：截止2023年12月底，乡镇基层运转综合业务项目经费主要保障了我镇12个村社区日常工作正常运行，保证了12辆巡逻车正常运行；</w:t>
      </w:r>
      <w:r>
        <w:rPr>
          <w:rFonts w:hint="eastAsia"/>
          <w:b w:val="0"/>
          <w:bCs w:val="0"/>
          <w:color w:val="auto"/>
          <w:highlight w:val="none"/>
        </w:rPr>
        <w:t>项目资金主要用于支付</w:t>
      </w:r>
      <w:r>
        <w:rPr>
          <w:rFonts w:hint="eastAsia"/>
          <w:b w:val="0"/>
          <w:bCs w:val="0"/>
          <w:color w:val="auto"/>
          <w:highlight w:val="none"/>
          <w:lang w:val="en-US" w:eastAsia="zh-CN"/>
        </w:rPr>
        <w:t>租赁石土方机械费用15.71万元，办公用品经费15.47万元，车辆运行费1.08</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通讯费、用水用电费61.44万元，雇工劳务费7.61万元，其他为民办事47.4万元，困难群众慰问费0.26万元，垃圾清运费2.02万元</w:t>
      </w:r>
      <w:r>
        <w:rPr>
          <w:rFonts w:hint="eastAsia"/>
          <w:b w:val="0"/>
          <w:bCs w:val="0"/>
          <w:color w:val="auto"/>
          <w:highlight w:val="none"/>
        </w:rPr>
        <w:t>。</w:t>
      </w:r>
    </w:p>
    <w:p w14:paraId="02C35AF1">
      <w:pPr>
        <w:bidi w:val="0"/>
        <w:rPr>
          <w:rFonts w:hint="eastAsia"/>
          <w:color w:val="auto"/>
          <w:highlight w:val="none"/>
          <w:lang w:val="en-US" w:eastAsia="zh-CN"/>
        </w:rPr>
      </w:pPr>
      <w:r>
        <w:rPr>
          <w:rFonts w:hint="eastAsia"/>
          <w:color w:val="auto"/>
          <w:highlight w:val="none"/>
          <w:lang w:eastAsia="zh-CN"/>
        </w:rPr>
        <w:t>项目效益方面：</w:t>
      </w:r>
      <w:r>
        <w:rPr>
          <w:rFonts w:hint="eastAsia"/>
          <w:color w:val="auto"/>
          <w:highlight w:val="none"/>
          <w:lang w:val="en-US" w:eastAsia="zh-CN"/>
        </w:rPr>
        <w:t>资金管理得到规范使用，保持12个村社区正常开展各类工作，进一步完善了辖区公共服务设施，人居环境得到有效改善；</w:t>
      </w:r>
      <w:r>
        <w:rPr>
          <w:rFonts w:hint="eastAsia"/>
          <w:color w:val="auto"/>
          <w:highlight w:val="none"/>
          <w:lang w:eastAsia="zh-CN"/>
        </w:rPr>
        <w:t>受益群众人数</w:t>
      </w:r>
      <w:r>
        <w:rPr>
          <w:rFonts w:hint="eastAsia"/>
          <w:color w:val="auto"/>
          <w:highlight w:val="none"/>
          <w:lang w:val="en-US" w:eastAsia="zh-CN"/>
        </w:rPr>
        <w:t>31108人，提高了群众对政府工作的满意度，落实了镇社会稳定。</w:t>
      </w:r>
    </w:p>
    <w:p w14:paraId="183525F8">
      <w:pPr>
        <w:pStyle w:val="4"/>
        <w:bidi w:val="0"/>
        <w:rPr>
          <w:rFonts w:hint="eastAsia"/>
          <w:color w:val="auto"/>
          <w:highlight w:val="none"/>
        </w:rPr>
      </w:pPr>
      <w:r>
        <w:rPr>
          <w:rFonts w:hint="eastAsia"/>
          <w:color w:val="auto"/>
          <w:highlight w:val="none"/>
        </w:rPr>
        <w:t>（二）综合评价结论</w:t>
      </w:r>
    </w:p>
    <w:bookmarkEnd w:id="14"/>
    <w:p w14:paraId="14FBF0E5">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92.51分，绩效评级为“优秀”。综合评价结论如下：本项目决策指标共设置6个，满分20分，得分率100%；项目过程指标共设置5个，满分20分，得分率100%；项目产出指标共设置7个，满分24分，得分率100%；项目成本指标共设置8个，满分12分，得分率37.5%；项目效益指标共设置4个，满分24分，得分率100%。</w:t>
      </w:r>
    </w:p>
    <w:p w14:paraId="1A8C94E3">
      <w:pPr>
        <w:pStyle w:val="2"/>
        <w:ind w:left="0" w:leftChars="0" w:firstLine="0" w:firstLineChars="0"/>
        <w:rPr>
          <w:rFonts w:hint="eastAsia"/>
          <w:color w:val="auto"/>
          <w:highlight w:val="none"/>
          <w:lang w:val="en-US" w:eastAsia="zh-CN"/>
        </w:rPr>
      </w:pPr>
    </w:p>
    <w:p w14:paraId="3BCC6E7E">
      <w:pPr>
        <w:pStyle w:val="3"/>
        <w:numPr>
          <w:ilvl w:val="0"/>
          <w:numId w:val="3"/>
        </w:numPr>
        <w:ind w:firstLine="640"/>
        <w:rPr>
          <w:rFonts w:hint="eastAsia"/>
          <w:color w:val="auto"/>
          <w:highlight w:val="none"/>
        </w:rPr>
      </w:pPr>
      <w:r>
        <w:rPr>
          <w:rFonts w:hint="eastAsia"/>
          <w:color w:val="auto"/>
          <w:highlight w:val="none"/>
        </w:rPr>
        <w:t>绩效评价指标分析</w:t>
      </w:r>
    </w:p>
    <w:p w14:paraId="7442326E">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4D0CF974">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1CFADEFD">
      <w:pPr>
        <w:pStyle w:val="2"/>
        <w:bidi w:val="0"/>
        <w:rPr>
          <w:rFonts w:hint="eastAsia"/>
          <w:color w:val="auto"/>
          <w:highlight w:val="none"/>
          <w:lang w:val="en-US" w:eastAsia="zh-CN"/>
        </w:rPr>
      </w:pPr>
      <w:r>
        <w:rPr>
          <w:rFonts w:hint="eastAsia"/>
          <w:color w:val="auto"/>
          <w:highlight w:val="none"/>
          <w:lang w:val="en-US" w:eastAsia="zh-CN"/>
        </w:rPr>
        <w:t>1.项目立项情况分析</w:t>
      </w:r>
    </w:p>
    <w:p w14:paraId="15CBC126">
      <w:pPr>
        <w:bidi w:val="0"/>
        <w:rPr>
          <w:rFonts w:hint="eastAsia"/>
          <w:b/>
          <w:bCs/>
          <w:color w:val="auto"/>
          <w:highlight w:val="none"/>
        </w:rPr>
      </w:pPr>
      <w:r>
        <w:rPr>
          <w:rFonts w:hint="eastAsia"/>
          <w:b/>
          <w:bCs/>
          <w:color w:val="auto"/>
          <w:highlight w:val="none"/>
        </w:rPr>
        <w:t>（1）立项依据充分性：</w:t>
      </w:r>
    </w:p>
    <w:p w14:paraId="6F6A9FDE">
      <w:pPr>
        <w:bidi w:val="0"/>
        <w:rPr>
          <w:rFonts w:hint="eastAsia"/>
          <w:color w:val="auto"/>
          <w:highlight w:val="none"/>
        </w:rPr>
      </w:pPr>
      <w:r>
        <w:rPr>
          <w:rFonts w:hint="eastAsia"/>
          <w:color w:val="auto"/>
          <w:highlight w:val="none"/>
        </w:rPr>
        <w:t>项目立项符合《中华人民共和国预算法》</w:t>
      </w:r>
      <w:r>
        <w:rPr>
          <w:rFonts w:hint="eastAsia"/>
          <w:color w:val="auto"/>
          <w:highlight w:val="none"/>
          <w:lang w:eastAsia="zh-CN"/>
        </w:rPr>
        <w:t>、</w:t>
      </w:r>
      <w:r>
        <w:rPr>
          <w:rFonts w:hint="eastAsia"/>
          <w:color w:val="auto"/>
          <w:highlight w:val="none"/>
        </w:rPr>
        <w:t>《中共中央国务院关于全面实施预算绩效管理的意见》（中发〔2018〕34号）、《项目支出绩效评价管理办法》（财预〔2020〕10号）等国家法律法规关于</w:t>
      </w:r>
      <w:r>
        <w:rPr>
          <w:rFonts w:hint="eastAsia"/>
          <w:color w:val="auto"/>
          <w:highlight w:val="none"/>
          <w:lang w:eastAsia="zh-CN"/>
        </w:rPr>
        <w:t>“十四五”规划</w:t>
      </w:r>
      <w:r>
        <w:rPr>
          <w:rFonts w:hint="eastAsia"/>
          <w:color w:val="auto"/>
          <w:highlight w:val="none"/>
        </w:rPr>
        <w:t>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w:t>
      </w:r>
      <w:r>
        <w:rPr>
          <w:rFonts w:hint="eastAsia"/>
          <w:color w:val="auto"/>
          <w:highlight w:val="none"/>
          <w:lang w:val="en-US" w:eastAsia="zh-CN"/>
        </w:rPr>
        <w:t>夏镇乡镇基层运转综合业务项目经费</w:t>
      </w:r>
      <w:r>
        <w:rPr>
          <w:rFonts w:hint="eastAsia"/>
          <w:color w:val="auto"/>
          <w:highlight w:val="none"/>
        </w:rPr>
        <w:t>工作这一部门职责范围相符，属于部门履职所需；根据《财政资金直接支付申请书》，本项目资金性质为</w:t>
      </w:r>
      <w:r>
        <w:rPr>
          <w:rFonts w:hint="eastAsia"/>
          <w:color w:val="auto"/>
          <w:highlight w:val="none"/>
          <w:lang w:val="en-US" w:eastAsia="zh-CN"/>
        </w:rPr>
        <w:t>县级</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2013299</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4BA2730E">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4125612A">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资金申请</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单位按照程序向县财政局提交了资金申请报告、支出明细等相关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20F2D849">
      <w:pPr>
        <w:pStyle w:val="2"/>
        <w:bidi w:val="0"/>
        <w:rPr>
          <w:rFonts w:hint="eastAsia"/>
          <w:color w:val="auto"/>
          <w:highlight w:val="none"/>
          <w:lang w:val="en-US" w:eastAsia="zh-CN"/>
        </w:rPr>
      </w:pPr>
      <w:r>
        <w:rPr>
          <w:rFonts w:hint="eastAsia"/>
          <w:color w:val="auto"/>
          <w:highlight w:val="none"/>
          <w:lang w:val="en-US" w:eastAsia="zh-CN"/>
        </w:rPr>
        <w:t>2.绩效目标情况分析</w:t>
      </w:r>
    </w:p>
    <w:p w14:paraId="6AAD36D7">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10821D8E">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主要是保障正常运转，完善村级基层基础设施，改善村容村貌，建设美丽乡村等公益事业建设。</w:t>
      </w:r>
      <w:r>
        <w:rPr>
          <w:rFonts w:hint="eastAsia"/>
          <w:color w:val="auto"/>
          <w:highlight w:val="none"/>
          <w:lang w:eastAsia="zh-CN"/>
        </w:rPr>
        <w:t>。</w:t>
      </w:r>
    </w:p>
    <w:p w14:paraId="1464B4E8">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4AAFAECE">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14:paraId="2264CAAD">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151</w:t>
      </w:r>
      <w:r>
        <w:rPr>
          <w:color w:val="auto"/>
          <w:highlight w:val="none"/>
        </w:rPr>
        <w:t>万元，</w:t>
      </w:r>
      <w:bookmarkStart w:id="18" w:name="_GoBack"/>
      <w:bookmarkEnd w:id="18"/>
      <w:r>
        <w:rPr>
          <w:color w:val="auto"/>
          <w:highlight w:val="none"/>
        </w:rPr>
        <w:t>《财政项目支出绩效目标表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151</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4CCD8F53">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5F1E3291">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555806B2">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4BF1EE50">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14:paraId="3444F9DB">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14:paraId="02272340">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452F1F05">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14:paraId="72E6A3E6">
      <w:pPr>
        <w:pStyle w:val="2"/>
        <w:bidi w:val="0"/>
        <w:rPr>
          <w:color w:val="auto"/>
          <w:highlight w:val="none"/>
        </w:rPr>
      </w:pPr>
      <w:r>
        <w:rPr>
          <w:rFonts w:hint="eastAsia"/>
          <w:color w:val="auto"/>
          <w:highlight w:val="none"/>
          <w:lang w:val="en-US" w:eastAsia="zh-CN"/>
        </w:rPr>
        <w:t>3.资金投入情况分析</w:t>
      </w:r>
    </w:p>
    <w:p w14:paraId="379EE8D0">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768755B1">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3408B4FB">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151</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基层综合业务</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14:paraId="3BB2FC0F">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14:paraId="404E4A88">
      <w:pPr>
        <w:pStyle w:val="2"/>
        <w:bidi w:val="0"/>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w:t>
      </w:r>
      <w:r>
        <w:rPr>
          <w:rFonts w:hint="eastAsia"/>
          <w:b w:val="0"/>
          <w:bCs w:val="0"/>
          <w:color w:val="auto"/>
          <w:highlight w:val="none"/>
          <w:lang w:val="en-US" w:eastAsia="zh-CN"/>
        </w:rPr>
        <w:t>租赁石土方机械费用15.71万元，办公用品经费15.47万元，车辆运行费1.08</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通讯费、用水用电费61.44万元，雇工劳务费7.61万元，其他为民办事47.4万元，困难群众慰问费0.26万元，垃圾清运费2.02万元</w:t>
      </w:r>
      <w:r>
        <w:rPr>
          <w:rFonts w:hint="eastAsia"/>
          <w:b w:val="0"/>
          <w:bCs w:val="0"/>
          <w:color w:val="auto"/>
          <w:highlight w:val="none"/>
        </w:rPr>
        <w:t>。</w:t>
      </w:r>
      <w:r>
        <w:rPr>
          <w:rFonts w:hint="eastAsia" w:ascii="仿宋_GB2312" w:cs="仿宋_GB2312"/>
          <w:color w:val="auto"/>
          <w:sz w:val="28"/>
          <w:szCs w:val="28"/>
          <w:highlight w:val="none"/>
        </w:rPr>
        <w:t>预算确定资金量与实际工作任务相匹配。</w:t>
      </w:r>
    </w:p>
    <w:p w14:paraId="3B3E9261">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14:paraId="2F23E1BF">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2A5123F8">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托党字【2017】83号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14:paraId="281BE643">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151</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47064185">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3A309567">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7708B0AD">
      <w:pPr>
        <w:pStyle w:val="2"/>
        <w:bidi w:val="0"/>
        <w:rPr>
          <w:rFonts w:hint="eastAsia"/>
          <w:color w:val="auto"/>
          <w:highlight w:val="none"/>
          <w:lang w:val="en-US" w:eastAsia="zh-CN"/>
        </w:rPr>
      </w:pPr>
      <w:r>
        <w:rPr>
          <w:rFonts w:hint="eastAsia"/>
          <w:color w:val="auto"/>
          <w:highlight w:val="none"/>
          <w:lang w:val="en-US" w:eastAsia="zh-CN"/>
        </w:rPr>
        <w:t>1.资金管理情况分析</w:t>
      </w:r>
    </w:p>
    <w:p w14:paraId="46FFCD04">
      <w:pPr>
        <w:bidi w:val="0"/>
        <w:rPr>
          <w:rFonts w:hint="eastAsia"/>
          <w:b/>
          <w:bCs/>
          <w:color w:val="auto"/>
          <w:highlight w:val="none"/>
        </w:rPr>
      </w:pPr>
      <w:r>
        <w:rPr>
          <w:rFonts w:hint="eastAsia"/>
          <w:b/>
          <w:bCs/>
          <w:color w:val="auto"/>
          <w:highlight w:val="none"/>
        </w:rPr>
        <w:t>（1）资金到位率：</w:t>
      </w:r>
    </w:p>
    <w:p w14:paraId="06A56210">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151</w:t>
      </w:r>
      <w:r>
        <w:rPr>
          <w:rFonts w:hint="eastAsia"/>
          <w:color w:val="auto"/>
          <w:highlight w:val="none"/>
        </w:rPr>
        <w:t>万元，实际到位资金</w:t>
      </w:r>
      <w:r>
        <w:rPr>
          <w:rFonts w:hint="eastAsia"/>
          <w:color w:val="auto"/>
          <w:highlight w:val="none"/>
          <w:lang w:val="en-US" w:eastAsia="zh-CN"/>
        </w:rPr>
        <w:t>151</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4B139315">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176B84AC">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1A96583C">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151</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150.99</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150.99</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151</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99.99</w:t>
      </w:r>
      <w:r>
        <w:rPr>
          <w:rFonts w:hint="eastAsia" w:ascii="仿宋_GB2312" w:cs="仿宋_GB2312"/>
          <w:color w:val="auto"/>
          <w:sz w:val="28"/>
          <w:szCs w:val="28"/>
          <w:highlight w:val="none"/>
        </w:rPr>
        <w:t>%。</w:t>
      </w:r>
    </w:p>
    <w:p w14:paraId="11AB4D45">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99.99</w:t>
      </w:r>
      <w:r>
        <w:rPr>
          <w:rFonts w:hint="eastAsia" w:ascii="仿宋_GB2312" w:cs="仿宋_GB2312"/>
          <w:color w:val="auto"/>
          <w:sz w:val="28"/>
          <w:szCs w:val="28"/>
          <w:highlight w:val="none"/>
        </w:rPr>
        <w:t>%</w:t>
      </w:r>
    </w:p>
    <w:p w14:paraId="37E597C5">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7DC4E5F2">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托克逊县夏镇人民政府</w:t>
      </w:r>
      <w:r>
        <w:rPr>
          <w:rFonts w:hint="eastAsia"/>
          <w:color w:val="auto"/>
          <w:highlight w:val="none"/>
        </w:rPr>
        <w:t>资金管理办法》，资金的拨付有完整的审批程序和手续，资金实际使用方向与预算批复用途一致，不存在截留、挤占、挪用、虚列支出的情况。</w:t>
      </w:r>
    </w:p>
    <w:p w14:paraId="54293C96">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79BD6729">
      <w:pPr>
        <w:pStyle w:val="2"/>
        <w:bidi w:val="0"/>
        <w:rPr>
          <w:rFonts w:hint="eastAsia"/>
          <w:color w:val="auto"/>
          <w:highlight w:val="none"/>
          <w:lang w:val="en-US" w:eastAsia="zh-CN"/>
        </w:rPr>
      </w:pPr>
      <w:r>
        <w:rPr>
          <w:rFonts w:hint="eastAsia"/>
          <w:color w:val="auto"/>
          <w:highlight w:val="none"/>
          <w:lang w:val="en-US" w:eastAsia="zh-CN"/>
        </w:rPr>
        <w:t>2.组织实施情况分析</w:t>
      </w:r>
    </w:p>
    <w:p w14:paraId="34177EA8">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4549EC68">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财务管理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内部控制</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托克逊县夏镇人民政府</w:t>
      </w:r>
      <w:r>
        <w:rPr>
          <w:rFonts w:hint="eastAsia"/>
          <w:color w:val="auto"/>
          <w:highlight w:val="none"/>
        </w:rPr>
        <w:t>采购业务管理制度》《</w:t>
      </w:r>
      <w:r>
        <w:rPr>
          <w:rFonts w:hint="eastAsia"/>
          <w:color w:val="auto"/>
          <w:highlight w:val="none"/>
          <w:lang w:val="en-US" w:eastAsia="zh-CN"/>
        </w:rPr>
        <w:t>托克逊县夏镇人民政府</w:t>
      </w:r>
      <w:r>
        <w:rPr>
          <w:rFonts w:hint="eastAsia"/>
          <w:color w:val="auto"/>
          <w:highlight w:val="none"/>
        </w:rPr>
        <w:t>合同管理制度》等，上述已建立的制度均符合行政事业单位内控管理要求，财务和业务管理制度合法、合规、完整，本项目执行符合上述制度规定。</w:t>
      </w:r>
    </w:p>
    <w:p w14:paraId="6DE6CC65">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0592B42D">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0E6E30B8">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符合我单位已制定《</w:t>
      </w:r>
      <w:r>
        <w:rPr>
          <w:rFonts w:hint="eastAsia"/>
          <w:color w:val="auto"/>
          <w:highlight w:val="none"/>
          <w:lang w:val="en-US" w:eastAsia="zh-CN"/>
        </w:rPr>
        <w:t>财务管理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内部控制</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托克逊县夏镇人民政府</w:t>
      </w:r>
      <w:r>
        <w:rPr>
          <w:rFonts w:hint="eastAsia"/>
          <w:color w:val="auto"/>
          <w:highlight w:val="none"/>
        </w:rPr>
        <w:t>采购业务管理制度》《</w:t>
      </w:r>
      <w:r>
        <w:rPr>
          <w:rFonts w:hint="eastAsia"/>
          <w:color w:val="auto"/>
          <w:highlight w:val="none"/>
          <w:lang w:val="en-US" w:eastAsia="zh-CN"/>
        </w:rPr>
        <w:t>托克逊县夏镇人民政府</w:t>
      </w:r>
      <w:r>
        <w:rPr>
          <w:rFonts w:hint="eastAsia"/>
          <w:color w:val="auto"/>
          <w:highlight w:val="none"/>
        </w:rPr>
        <w:t>合同管理制度》等，上述已建立的制度均符合行政事业单位内控管理要求，财务和业务管理制度合法、合规、完整，本项目执行符合上述制度规定。</w:t>
      </w:r>
    </w:p>
    <w:p w14:paraId="2FF4B275">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00F0ACEB">
      <w:pPr>
        <w:bidi w:val="0"/>
        <w:rPr>
          <w:rFonts w:hint="eastAsia"/>
          <w:color w:val="auto"/>
          <w:highlight w:val="none"/>
        </w:rPr>
      </w:pPr>
      <w:r>
        <w:rPr>
          <w:rFonts w:hint="eastAsia"/>
          <w:color w:val="auto"/>
          <w:highlight w:val="none"/>
        </w:rPr>
        <w:t>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14:paraId="1E030CA9">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14:paraId="1106D172">
      <w:pPr>
        <w:bidi w:val="0"/>
        <w:rPr>
          <w:rFonts w:hint="eastAsia"/>
          <w:color w:val="auto"/>
          <w:highlight w:val="none"/>
          <w:lang w:eastAsia="zh-CN"/>
        </w:rPr>
      </w:pPr>
      <w:r>
        <w:rPr>
          <w:rFonts w:hint="eastAsia"/>
          <w:color w:val="auto"/>
          <w:highlight w:val="none"/>
          <w:lang w:eastAsia="zh-CN"/>
        </w:rPr>
        <w:t>③本项目不存在调整。</w:t>
      </w:r>
    </w:p>
    <w:p w14:paraId="6C66CFA4">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14:paraId="328615B9">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482707FB">
      <w:pPr>
        <w:pStyle w:val="2"/>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36E39F56">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14:paraId="4DFA9099">
      <w:pPr>
        <w:pStyle w:val="2"/>
        <w:bidi w:val="0"/>
        <w:rPr>
          <w:rFonts w:hint="eastAsia"/>
          <w:color w:val="auto"/>
          <w:highlight w:val="none"/>
          <w:lang w:val="en-US" w:eastAsia="zh-CN"/>
        </w:rPr>
      </w:pPr>
      <w:r>
        <w:rPr>
          <w:rFonts w:hint="eastAsia"/>
          <w:color w:val="auto"/>
          <w:highlight w:val="none"/>
          <w:lang w:val="en-US" w:eastAsia="zh-CN"/>
        </w:rPr>
        <w:t>1.数量指标完成情况分析</w:t>
      </w:r>
    </w:p>
    <w:p w14:paraId="01863DC2">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村（社区）正常运转数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12个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35E31D72">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维护洒水车、垃圾车（人居环境政治）</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17辆</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17辆</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4662BE97">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保障巡逻车维修及燃料供应</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12辆</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12辆</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7FF3176F">
      <w:pPr>
        <w:pStyle w:val="2"/>
        <w:bidi w:val="0"/>
        <w:rPr>
          <w:rFonts w:hint="eastAsia"/>
          <w:color w:val="auto"/>
          <w:highlight w:val="none"/>
          <w:lang w:val="en-US" w:eastAsia="zh-CN"/>
        </w:rPr>
      </w:pPr>
      <w:r>
        <w:rPr>
          <w:rFonts w:hint="eastAsia"/>
          <w:color w:val="auto"/>
          <w:highlight w:val="none"/>
          <w:lang w:val="en-US" w:eastAsia="zh-CN"/>
        </w:rPr>
        <w:t>2.质量指标完成情况分析</w:t>
      </w:r>
    </w:p>
    <w:p w14:paraId="3FD81C59">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资金管理规范使用率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7F495174">
      <w:pPr>
        <w:bidi w:val="0"/>
        <w:rPr>
          <w:rFonts w:hint="eastAsia" w:eastAsia="仿宋_GB2312"/>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人居环境整治覆盖率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6C3E5406">
      <w:pPr>
        <w:pStyle w:val="2"/>
        <w:bidi w:val="0"/>
        <w:rPr>
          <w:rFonts w:hint="eastAsia"/>
          <w:color w:val="auto"/>
          <w:highlight w:val="none"/>
        </w:rPr>
      </w:pPr>
      <w:r>
        <w:rPr>
          <w:rFonts w:hint="eastAsia"/>
          <w:color w:val="auto"/>
          <w:highlight w:val="none"/>
          <w:lang w:val="en-US" w:eastAsia="zh-CN"/>
        </w:rPr>
        <w:t>3.时效指标完成情况分析</w:t>
      </w:r>
    </w:p>
    <w:p w14:paraId="7309BAE9">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项目及时完成率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1684A4A6">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困难群众慰问及时率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2BDCFD38">
      <w:pPr>
        <w:keepNext/>
        <w:keepLines/>
        <w:widowControl w:val="0"/>
        <w:bidi w:val="0"/>
        <w:spacing w:line="560" w:lineRule="exact"/>
        <w:ind w:firstLine="643" w:firstLineChars="200"/>
        <w:jc w:val="both"/>
        <w:outlineLvl w:val="2"/>
        <w:rPr>
          <w:rFonts w:hint="eastAsia" w:ascii="仿宋_GB2312" w:hAnsi="仿宋_GB2312" w:eastAsia="仿宋_GB2312" w:cs="仿宋_GB2312"/>
          <w:b/>
          <w:bCs/>
          <w:color w:val="auto"/>
          <w:kern w:val="0"/>
          <w:sz w:val="32"/>
          <w:szCs w:val="32"/>
          <w:highlight w:val="none"/>
          <w:lang w:val="en-US" w:eastAsia="zh-CN" w:bidi="ar-SA"/>
        </w:rPr>
      </w:pPr>
      <w:r>
        <w:rPr>
          <w:rFonts w:hint="eastAsia" w:ascii="仿宋_GB2312" w:hAnsi="仿宋_GB2312" w:eastAsia="仿宋_GB2312" w:cs="仿宋_GB2312"/>
          <w:b/>
          <w:bCs/>
          <w:color w:val="auto"/>
          <w:kern w:val="0"/>
          <w:sz w:val="32"/>
          <w:szCs w:val="32"/>
          <w:highlight w:val="none"/>
          <w:lang w:val="en-US" w:eastAsia="zh-CN" w:bidi="ar-SA"/>
        </w:rPr>
        <w:t>（四）项目成本情况</w:t>
      </w:r>
    </w:p>
    <w:p w14:paraId="74AD7726">
      <w:pPr>
        <w:bidi w:val="0"/>
        <w:rPr>
          <w:rFonts w:hint="eastAsia"/>
          <w:color w:val="auto"/>
          <w:highlight w:val="none"/>
        </w:rPr>
      </w:pPr>
      <w:r>
        <w:rPr>
          <w:rFonts w:hint="eastAsia" w:ascii="仿宋_GB2312" w:hAnsi="Times New Roman" w:cs="仿宋_GB2312"/>
          <w:color w:val="auto"/>
          <w:sz w:val="28"/>
          <w:szCs w:val="28"/>
          <w:highlight w:val="none"/>
        </w:rPr>
        <w:t>项目产出类指标包括</w:t>
      </w:r>
      <w:r>
        <w:rPr>
          <w:rFonts w:hint="eastAsia" w:ascii="仿宋_GB2312" w:hAnsi="Times New Roman" w:cs="仿宋_GB2312"/>
          <w:color w:val="auto"/>
          <w:sz w:val="28"/>
          <w:szCs w:val="28"/>
          <w:highlight w:val="none"/>
          <w:lang w:val="en-US" w:eastAsia="zh-CN"/>
        </w:rPr>
        <w:t>经济成本、社会成本、生态环境成本三</w:t>
      </w:r>
      <w:r>
        <w:rPr>
          <w:rFonts w:hint="eastAsia" w:ascii="仿宋_GB2312" w:hAnsi="Times New Roman" w:cs="仿宋_GB2312"/>
          <w:color w:val="auto"/>
          <w:sz w:val="28"/>
          <w:szCs w:val="28"/>
          <w:highlight w:val="none"/>
        </w:rPr>
        <w:t>方面的内容，</w:t>
      </w:r>
      <w:r>
        <w:rPr>
          <w:rFonts w:hint="eastAsia" w:ascii="仿宋_GB2312" w:hAnsi="Times New Roman" w:cs="仿宋_GB2312"/>
          <w:color w:val="auto"/>
          <w:sz w:val="28"/>
          <w:szCs w:val="28"/>
          <w:highlight w:val="none"/>
          <w:lang w:val="en-US" w:eastAsia="zh-CN"/>
        </w:rPr>
        <w:t>本项目仅涉及经济成本指标，</w:t>
      </w:r>
      <w:r>
        <w:rPr>
          <w:rFonts w:hint="eastAsia" w:ascii="仿宋_GB2312" w:hAnsi="Times New Roman" w:cs="仿宋_GB2312"/>
          <w:color w:val="auto"/>
          <w:sz w:val="28"/>
          <w:szCs w:val="28"/>
          <w:highlight w:val="none"/>
        </w:rPr>
        <w:t>权重分为</w:t>
      </w:r>
      <w:r>
        <w:rPr>
          <w:rFonts w:hint="eastAsia" w:ascii="仿宋_GB2312" w:hAnsi="Times New Roman" w:cs="仿宋_GB2312"/>
          <w:color w:val="auto"/>
          <w:sz w:val="28"/>
          <w:szCs w:val="28"/>
          <w:highlight w:val="none"/>
          <w:lang w:val="en-US" w:eastAsia="zh-CN"/>
        </w:rPr>
        <w:t>12</w:t>
      </w:r>
      <w:r>
        <w:rPr>
          <w:rFonts w:hint="eastAsia" w:ascii="仿宋_GB2312" w:hAnsi="Times New Roman" w:cs="仿宋_GB2312"/>
          <w:color w:val="auto"/>
          <w:sz w:val="28"/>
          <w:szCs w:val="28"/>
          <w:highlight w:val="none"/>
        </w:rPr>
        <w:t>分，实际得分</w:t>
      </w:r>
      <w:r>
        <w:rPr>
          <w:rFonts w:hint="eastAsia" w:ascii="仿宋_GB2312" w:hAnsi="Times New Roman" w:cs="仿宋_GB2312"/>
          <w:color w:val="auto"/>
          <w:sz w:val="28"/>
          <w:szCs w:val="28"/>
          <w:highlight w:val="none"/>
          <w:lang w:val="en-US" w:eastAsia="zh-CN"/>
        </w:rPr>
        <w:t>4.51</w:t>
      </w:r>
      <w:r>
        <w:rPr>
          <w:rFonts w:hint="eastAsia" w:ascii="仿宋_GB2312" w:hAnsi="Times New Roman" w:cs="仿宋_GB2312"/>
          <w:color w:val="auto"/>
          <w:sz w:val="28"/>
          <w:szCs w:val="28"/>
          <w:highlight w:val="none"/>
        </w:rPr>
        <w:t>分。</w:t>
      </w:r>
    </w:p>
    <w:p w14:paraId="2CB55010">
      <w:pPr>
        <w:pStyle w:val="2"/>
        <w:bidi w:val="0"/>
        <w:rPr>
          <w:rFonts w:hint="eastAsia" w:ascii="仿宋_GB2312" w:hAnsi="仿宋_GB2312" w:eastAsia="仿宋_GB2312" w:cs="仿宋_GB2312"/>
          <w:b/>
          <w:bCs/>
          <w:color w:val="auto"/>
          <w:kern w:val="0"/>
          <w:sz w:val="32"/>
          <w:szCs w:val="32"/>
          <w:highlight w:val="none"/>
          <w:lang w:val="en-US" w:eastAsia="zh-CN" w:bidi="ar-SA"/>
        </w:rPr>
      </w:pPr>
      <w:r>
        <w:rPr>
          <w:rFonts w:hint="eastAsia"/>
          <w:color w:val="auto"/>
          <w:highlight w:val="none"/>
          <w:lang w:val="en-US" w:eastAsia="zh-CN"/>
        </w:rPr>
        <w:t>1.经济成本指标完成情况分析</w:t>
      </w:r>
    </w:p>
    <w:p w14:paraId="39F07463">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租赁石土方机械费用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小于等于30万元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15.71万元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52.37</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47.63%；</w:t>
      </w:r>
      <w:r>
        <w:rPr>
          <w:rFonts w:hint="eastAsia" w:ascii="仿宋_GB2312" w:hAnsi="仿宋_GB2312" w:cs="仿宋_GB2312"/>
          <w:color w:val="auto"/>
          <w:sz w:val="28"/>
          <w:szCs w:val="28"/>
          <w:highlight w:val="none"/>
        </w:rPr>
        <w:t>偏差原因：根据县级财力安排，优先确保三保支出，厉行节约。改进措施：有单位绩效牵头部门组织相关科室填报绩效目标表，严格内部审核程序，确保测算项目符合单位实际情况，提高准确率。</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0.942</w:t>
      </w:r>
      <w:r>
        <w:rPr>
          <w:rFonts w:hint="eastAsia" w:ascii="仿宋_GB2312" w:hAnsi="仿宋_GB2312" w:cs="仿宋_GB2312"/>
          <w:color w:val="auto"/>
          <w:sz w:val="28"/>
          <w:szCs w:val="28"/>
          <w:highlight w:val="none"/>
        </w:rPr>
        <w:t>分。</w:t>
      </w:r>
    </w:p>
    <w:p w14:paraId="707E41CA">
      <w:pPr>
        <w:pStyle w:val="11"/>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办公用品经费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15万元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15.47万元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偏差原因：目标设定不合理。改进措施：对目标进行科学规划。</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5DB1044D">
      <w:pPr>
        <w:pStyle w:val="11"/>
        <w:jc w:val="left"/>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车辆运行费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7万元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1.08万元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15.43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84.57</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偏差原因：根据县级财力安排，优先确保三保支出，厉行节约。改进措施：有单位绩效牵头部门组织相关科室填报绩效目标表，严格内部审核程序，确保测算项目符合单位实际情况，提高准确率。</w:t>
      </w:r>
      <w:r>
        <w:rPr>
          <w:rFonts w:hint="eastAsia" w:ascii="仿宋_GB2312" w:cs="仿宋_GB2312"/>
          <w:color w:val="auto"/>
          <w:sz w:val="28"/>
          <w:szCs w:val="28"/>
          <w:highlight w:val="none"/>
        </w:rPr>
        <w:t>本指标满分</w:t>
      </w:r>
      <w:r>
        <w:rPr>
          <w:rFonts w:hint="eastAsia"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cs="仿宋_GB2312"/>
          <w:color w:val="auto"/>
          <w:sz w:val="28"/>
          <w:szCs w:val="28"/>
          <w:highlight w:val="none"/>
          <w:lang w:val="en-US" w:eastAsia="zh-CN"/>
        </w:rPr>
        <w:t>0.72</w:t>
      </w:r>
      <w:r>
        <w:rPr>
          <w:rFonts w:hint="eastAsia" w:ascii="仿宋_GB2312" w:hAnsi="仿宋_GB2312" w:cs="仿宋_GB2312"/>
          <w:color w:val="auto"/>
          <w:sz w:val="28"/>
          <w:szCs w:val="28"/>
          <w:highlight w:val="none"/>
        </w:rPr>
        <w:t>分。</w:t>
      </w:r>
    </w:p>
    <w:p w14:paraId="0CCEA561">
      <w:pPr>
        <w:pStyle w:val="11"/>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通讯费、用水用电费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12万元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61.44万元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偏差原因：目标设定不合理。改进措施：对目标进行科学规划。</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24002699">
      <w:pPr>
        <w:pStyle w:val="11"/>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雇工劳务费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12万元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7.61万元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63.42</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36.58</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偏差原因：根据县级财力安排，优先确保三保支出，厉行节约。改进措施：有单位绩效牵头部门组织相关科室填报绩效目标表，严格内部审核程序，确保测算项目符合单位实际情况，提高准确率。</w:t>
      </w:r>
      <w:r>
        <w:rPr>
          <w:rFonts w:hint="eastAsia" w:ascii="仿宋_GB2312" w:cs="仿宋_GB2312"/>
          <w:color w:val="auto"/>
          <w:sz w:val="28"/>
          <w:szCs w:val="28"/>
          <w:highlight w:val="none"/>
        </w:rPr>
        <w:t>本指标满分</w:t>
      </w:r>
      <w:r>
        <w:rPr>
          <w:rFonts w:hint="eastAsia"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cs="仿宋_GB2312"/>
          <w:color w:val="auto"/>
          <w:sz w:val="28"/>
          <w:szCs w:val="28"/>
          <w:highlight w:val="none"/>
          <w:lang w:val="en-US" w:eastAsia="zh-CN"/>
        </w:rPr>
        <w:t>0.762</w:t>
      </w:r>
      <w:r>
        <w:rPr>
          <w:rFonts w:hint="eastAsia" w:ascii="仿宋_GB2312" w:hAnsi="仿宋_GB2312" w:cs="仿宋_GB2312"/>
          <w:color w:val="auto"/>
          <w:sz w:val="28"/>
          <w:szCs w:val="28"/>
          <w:highlight w:val="none"/>
        </w:rPr>
        <w:t>分。</w:t>
      </w:r>
    </w:p>
    <w:p w14:paraId="041A146D">
      <w:pPr>
        <w:pStyle w:val="11"/>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其他为民办事</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60万元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47.4万元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79</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21</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偏差原因：根据县级财力安排，优先确保三保支出，厉行节约。改进措施：有单位绩效牵头部门组织相关科室填报绩效目标表，严格内部审核程序，确保测算项目符合单位实际情况，提高准确率。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cs="仿宋_GB2312"/>
          <w:color w:val="auto"/>
          <w:sz w:val="28"/>
          <w:szCs w:val="28"/>
          <w:highlight w:val="none"/>
          <w:lang w:val="en-US" w:eastAsia="zh-CN"/>
        </w:rPr>
        <w:t>1.62</w:t>
      </w:r>
      <w:r>
        <w:rPr>
          <w:rFonts w:hint="eastAsia" w:ascii="仿宋_GB2312" w:hAnsi="仿宋_GB2312" w:cs="仿宋_GB2312"/>
          <w:color w:val="auto"/>
          <w:sz w:val="28"/>
          <w:szCs w:val="28"/>
          <w:highlight w:val="none"/>
        </w:rPr>
        <w:t>分。</w:t>
      </w:r>
    </w:p>
    <w:p w14:paraId="73844A55">
      <w:pPr>
        <w:pStyle w:val="11"/>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困难群众慰问费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5万元</w:t>
      </w:r>
      <w:r>
        <w:rPr>
          <w:rFonts w:hint="eastAsia" w:ascii="仿宋_GB2312" w:hAnsi="仿宋_GB2312" w:cs="仿宋_GB2312"/>
          <w:color w:val="auto"/>
          <w:sz w:val="28"/>
          <w:szCs w:val="28"/>
          <w:highlight w:val="none"/>
        </w:rPr>
        <w:t>，实际完成指标值为</w:t>
      </w:r>
      <w:r>
        <w:rPr>
          <w:rFonts w:hint="eastAsia" w:hAnsi="仿宋_GB2312" w:cs="仿宋_GB2312"/>
          <w:color w:val="auto"/>
          <w:sz w:val="28"/>
          <w:szCs w:val="28"/>
          <w:highlight w:val="none"/>
          <w:lang w:val="en-US" w:eastAsia="zh-CN"/>
        </w:rPr>
        <w:t>0.26</w:t>
      </w:r>
      <w:r>
        <w:rPr>
          <w:rFonts w:hint="eastAsia" w:ascii="仿宋_GB2312" w:hAnsi="仿宋_GB2312" w:cs="仿宋_GB2312"/>
          <w:color w:val="auto"/>
          <w:sz w:val="28"/>
          <w:szCs w:val="28"/>
          <w:highlight w:val="none"/>
          <w:lang w:val="en-US" w:eastAsia="zh-CN"/>
        </w:rPr>
        <w:t>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5.2</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94.8</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偏差原因：根据县级财力安排，优先确保三保支出，厉行节约。改进措施：有单位绩效牵头部门组织相关科室填报绩效目标表，严格内部审核程序，确保测算项目符合单位实际情况，提高准确率。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cs="仿宋_GB2312"/>
          <w:color w:val="auto"/>
          <w:sz w:val="28"/>
          <w:szCs w:val="28"/>
          <w:highlight w:val="none"/>
          <w:lang w:val="en-US" w:eastAsia="zh-CN"/>
        </w:rPr>
        <w:t>0.096</w:t>
      </w:r>
      <w:r>
        <w:rPr>
          <w:rFonts w:hint="eastAsia" w:ascii="仿宋_GB2312" w:hAnsi="仿宋_GB2312" w:cs="仿宋_GB2312"/>
          <w:color w:val="auto"/>
          <w:sz w:val="28"/>
          <w:szCs w:val="28"/>
          <w:highlight w:val="none"/>
        </w:rPr>
        <w:t>分。</w:t>
      </w:r>
    </w:p>
    <w:p w14:paraId="78C668E0">
      <w:pPr>
        <w:pStyle w:val="11"/>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垃圾清运费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10万元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2.02万元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20.2</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79.8</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偏差原因：根据县级财力安排，优先确保三保支出，厉行节约。改进措施：有单位绩效牵头部门组织相关科室填报绩效目标表，严格内部审核程序，确保测算项目符合单位实际情况，提高准确率。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hAnsi="仿宋_GB2312" w:cs="仿宋_GB2312"/>
          <w:color w:val="auto"/>
          <w:sz w:val="28"/>
          <w:szCs w:val="28"/>
          <w:highlight w:val="none"/>
          <w:lang w:val="en-US" w:eastAsia="zh-CN"/>
        </w:rPr>
        <w:t>0</w:t>
      </w:r>
      <w:r>
        <w:rPr>
          <w:rFonts w:hint="eastAsia" w:cs="仿宋_GB2312"/>
          <w:color w:val="auto"/>
          <w:sz w:val="28"/>
          <w:szCs w:val="28"/>
          <w:highlight w:val="none"/>
          <w:lang w:val="en-US" w:eastAsia="zh-CN"/>
        </w:rPr>
        <w:t>.366</w:t>
      </w:r>
      <w:r>
        <w:rPr>
          <w:rFonts w:hint="eastAsia" w:ascii="仿宋_GB2312" w:hAnsi="仿宋_GB2312" w:cs="仿宋_GB2312"/>
          <w:color w:val="auto"/>
          <w:sz w:val="28"/>
          <w:szCs w:val="28"/>
          <w:highlight w:val="none"/>
        </w:rPr>
        <w:t>分。</w:t>
      </w:r>
    </w:p>
    <w:p w14:paraId="04952D83">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14:paraId="443F5CEB">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4</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4</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0F1D74EC">
      <w:pPr>
        <w:pStyle w:val="2"/>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14:paraId="4F0AF990">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提高经济发展水平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显著提高”</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5.6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5.6</w:t>
      </w:r>
      <w:r>
        <w:rPr>
          <w:rFonts w:hint="eastAsia" w:ascii="仿宋_GB2312" w:hAnsi="仿宋_GB2312" w:cs="仿宋_GB2312"/>
          <w:color w:val="auto"/>
          <w:sz w:val="28"/>
          <w:szCs w:val="28"/>
          <w:highlight w:val="none"/>
        </w:rPr>
        <w:t>分。</w:t>
      </w:r>
    </w:p>
    <w:p w14:paraId="15494751">
      <w:pPr>
        <w:pStyle w:val="2"/>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4B497D37">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提升村民幸福指数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显著提升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5.6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5.6</w:t>
      </w:r>
      <w:r>
        <w:rPr>
          <w:rFonts w:hint="eastAsia" w:ascii="仿宋_GB2312" w:hAnsi="仿宋_GB2312" w:cs="仿宋_GB2312"/>
          <w:color w:val="auto"/>
          <w:sz w:val="28"/>
          <w:szCs w:val="28"/>
          <w:highlight w:val="none"/>
        </w:rPr>
        <w:t>分。</w:t>
      </w:r>
    </w:p>
    <w:p w14:paraId="2665DE73">
      <w:pPr>
        <w:pStyle w:val="2"/>
        <w:bidi w:val="0"/>
        <w:rPr>
          <w:rFonts w:hint="eastAsia"/>
          <w:color w:val="auto"/>
          <w:highlight w:val="none"/>
          <w:lang w:val="en-US" w:eastAsia="zh-CN"/>
        </w:rPr>
      </w:pPr>
      <w:r>
        <w:rPr>
          <w:rFonts w:hint="eastAsia"/>
          <w:color w:val="auto"/>
          <w:highlight w:val="none"/>
          <w:lang w:val="en-US" w:eastAsia="zh-CN"/>
        </w:rPr>
        <w:t>3.生态效益指标完成情况分析</w:t>
      </w:r>
    </w:p>
    <w:p w14:paraId="03D45B27">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提升村落环境条件</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显著提升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4.8</w:t>
      </w:r>
      <w:r>
        <w:rPr>
          <w:rFonts w:hint="eastAsia" w:ascii="仿宋_GB2312" w:hAnsi="仿宋_GB2312" w:cs="仿宋_GB2312"/>
          <w:color w:val="auto"/>
          <w:sz w:val="28"/>
          <w:szCs w:val="28"/>
          <w:highlight w:val="none"/>
        </w:rPr>
        <w:t>分。</w:t>
      </w:r>
    </w:p>
    <w:p w14:paraId="5DCF88AC">
      <w:pPr>
        <w:pStyle w:val="2"/>
        <w:bidi w:val="0"/>
        <w:rPr>
          <w:rFonts w:hint="eastAsia"/>
          <w:color w:val="auto"/>
          <w:highlight w:val="none"/>
          <w:lang w:val="en-US" w:eastAsia="zh-CN"/>
        </w:rPr>
      </w:pPr>
      <w:r>
        <w:rPr>
          <w:rFonts w:hint="eastAsia"/>
          <w:color w:val="auto"/>
          <w:highlight w:val="none"/>
          <w:lang w:val="en-US" w:eastAsia="zh-CN"/>
        </w:rPr>
        <w:t>4.可持续影响指标完成情况分析</w:t>
      </w:r>
    </w:p>
    <w:p w14:paraId="5F7D4686">
      <w:pPr>
        <w:bidi w:val="0"/>
        <w:rPr>
          <w:rFonts w:hint="default"/>
          <w:color w:val="auto"/>
          <w:highlight w:val="none"/>
          <w:lang w:val="en-US" w:eastAsia="zh-CN"/>
        </w:rPr>
      </w:pPr>
      <w:r>
        <w:rPr>
          <w:rFonts w:hint="eastAsia" w:ascii="仿宋_GB2312" w:hAnsi="仿宋_GB2312" w:cs="仿宋_GB2312"/>
          <w:color w:val="auto"/>
          <w:sz w:val="28"/>
          <w:szCs w:val="28"/>
          <w:highlight w:val="none"/>
          <w:lang w:val="en-US" w:eastAsia="zh-CN"/>
        </w:rPr>
        <w:t>无</w:t>
      </w:r>
    </w:p>
    <w:p w14:paraId="179A294A">
      <w:pPr>
        <w:pStyle w:val="2"/>
        <w:bidi w:val="0"/>
        <w:rPr>
          <w:rFonts w:hint="eastAsia"/>
          <w:color w:val="auto"/>
          <w:highlight w:val="none"/>
          <w:lang w:val="en-US" w:eastAsia="zh-CN"/>
        </w:rPr>
      </w:pPr>
      <w:r>
        <w:rPr>
          <w:rFonts w:hint="eastAsia"/>
          <w:color w:val="auto"/>
          <w:highlight w:val="none"/>
          <w:lang w:val="en-US" w:eastAsia="zh-CN"/>
        </w:rPr>
        <w:t>5.满意度指标完成情况分析</w:t>
      </w:r>
    </w:p>
    <w:p w14:paraId="2845211B">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受益群众满意度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r>
        <w:rPr>
          <w:rFonts w:hint="eastAsia" w:ascii="仿宋_GB2312"/>
          <w:color w:val="auto"/>
          <w:sz w:val="28"/>
          <w:szCs w:val="28"/>
          <w:highlight w:val="none"/>
        </w:rPr>
        <w:t>。</w:t>
      </w:r>
      <w:bookmarkEnd w:id="15"/>
    </w:p>
    <w:p w14:paraId="6FFF8166">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14:paraId="1499A639">
      <w:pPr>
        <w:bidi w:val="0"/>
        <w:rPr>
          <w:rFonts w:hint="eastAsia"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资金151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资金121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150.99</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99.99</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83.05</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w:t>
      </w:r>
      <w:r>
        <w:rPr>
          <w:rFonts w:hint="eastAsia"/>
          <w:color w:val="auto"/>
          <w:highlight w:val="none"/>
        </w:rPr>
        <w:t>偏差</w:t>
      </w:r>
      <w:r>
        <w:rPr>
          <w:rFonts w:hint="eastAsia"/>
          <w:color w:val="auto"/>
          <w:highlight w:val="none"/>
          <w:lang w:val="en-US" w:eastAsia="zh-CN"/>
        </w:rPr>
        <w:t>值为</w:t>
      </w:r>
      <w:r>
        <w:rPr>
          <w:rFonts w:hint="eastAsia" w:ascii="仿宋_GB2312" w:hAnsi="仿宋_GB2312" w:cs="仿宋_GB2312"/>
          <w:color w:val="auto"/>
          <w:sz w:val="28"/>
          <w:szCs w:val="28"/>
          <w:highlight w:val="none"/>
          <w:lang w:val="en-US" w:eastAsia="zh-CN"/>
        </w:rPr>
        <w:t>-16.94</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eastAsia="zh-CN"/>
        </w:rPr>
        <w:t>，</w:t>
      </w:r>
      <w:r>
        <w:rPr>
          <w:rFonts w:hint="eastAsia" w:cs="仿宋_GB2312"/>
          <w:color w:val="auto"/>
          <w:sz w:val="28"/>
          <w:szCs w:val="28"/>
          <w:highlight w:val="none"/>
          <w:lang w:val="en-US" w:eastAsia="zh-CN"/>
        </w:rPr>
        <w:t>主要存在偏差情况及原因是：</w:t>
      </w:r>
    </w:p>
    <w:p w14:paraId="19C5ABE8">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租赁石土方机械费用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小于等于30万元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15.71万元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52.37</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47.63%；</w:t>
      </w:r>
      <w:r>
        <w:rPr>
          <w:rFonts w:hint="eastAsia" w:ascii="仿宋_GB2312" w:hAnsi="仿宋_GB2312" w:cs="仿宋_GB2312"/>
          <w:color w:val="auto"/>
          <w:sz w:val="28"/>
          <w:szCs w:val="28"/>
          <w:highlight w:val="none"/>
        </w:rPr>
        <w:t>偏差原因：根据县级财力安排，优先确保三保支出，厉行节约。改进措施：有单位绩效牵头部门组织相关科室填报绩效目标表，严格内部审核程序，确保测算项目符合单位实际情况，提高准确率。</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0.942</w:t>
      </w:r>
      <w:r>
        <w:rPr>
          <w:rFonts w:hint="eastAsia" w:ascii="仿宋_GB2312" w:hAnsi="仿宋_GB2312" w:cs="仿宋_GB2312"/>
          <w:color w:val="auto"/>
          <w:sz w:val="28"/>
          <w:szCs w:val="28"/>
          <w:highlight w:val="none"/>
        </w:rPr>
        <w:t>分。</w:t>
      </w:r>
    </w:p>
    <w:p w14:paraId="5D33DD6D">
      <w:pPr>
        <w:pStyle w:val="11"/>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办公用品经费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15万元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15.47万元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偏差原因：目标设定不合理。改进措施：对目标进行科学规划。</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1FE392CD">
      <w:pPr>
        <w:pStyle w:val="11"/>
        <w:jc w:val="left"/>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车辆运行费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7万元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1.08万元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15.43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84.57</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偏差原因：根据县级财力安排，优先确保三保支出，厉行节约。改进措施：有单位绩效牵头部门组织相关科室填报绩效目标表，严格内部审核程序，确保测算项目符合单位实际情况，提高准确率。</w:t>
      </w:r>
      <w:r>
        <w:rPr>
          <w:rFonts w:hint="eastAsia" w:ascii="仿宋_GB2312" w:cs="仿宋_GB2312"/>
          <w:color w:val="auto"/>
          <w:sz w:val="28"/>
          <w:szCs w:val="28"/>
          <w:highlight w:val="none"/>
        </w:rPr>
        <w:t>本指标满分</w:t>
      </w:r>
      <w:r>
        <w:rPr>
          <w:rFonts w:hint="eastAsia"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cs="仿宋_GB2312"/>
          <w:color w:val="auto"/>
          <w:sz w:val="28"/>
          <w:szCs w:val="28"/>
          <w:highlight w:val="none"/>
          <w:lang w:val="en-US" w:eastAsia="zh-CN"/>
        </w:rPr>
        <w:t>0.72</w:t>
      </w:r>
      <w:r>
        <w:rPr>
          <w:rFonts w:hint="eastAsia" w:ascii="仿宋_GB2312" w:hAnsi="仿宋_GB2312" w:cs="仿宋_GB2312"/>
          <w:color w:val="auto"/>
          <w:sz w:val="28"/>
          <w:szCs w:val="28"/>
          <w:highlight w:val="none"/>
        </w:rPr>
        <w:t>分。</w:t>
      </w:r>
    </w:p>
    <w:p w14:paraId="6DB2DB20">
      <w:pPr>
        <w:pStyle w:val="11"/>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通讯费、用水用电费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12万元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61.44万元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偏差原因：目标设定不合理。改进措施：对目标进行科学规划。</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2BA4C91D">
      <w:pPr>
        <w:pStyle w:val="11"/>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雇工劳务费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12万元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7.61万元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63.42</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36.58</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偏差原因：根据县级财力安排，优先确保三保支出，厉行节约。改进措施：有单位绩效牵头部门组织相关科室填报绩效目标表，严格内部审核程序，确保测算项目符合单位实际情况，提高准确率。</w:t>
      </w:r>
      <w:r>
        <w:rPr>
          <w:rFonts w:hint="eastAsia" w:ascii="仿宋_GB2312" w:cs="仿宋_GB2312"/>
          <w:color w:val="auto"/>
          <w:sz w:val="28"/>
          <w:szCs w:val="28"/>
          <w:highlight w:val="none"/>
        </w:rPr>
        <w:t>本指标满分</w:t>
      </w:r>
      <w:r>
        <w:rPr>
          <w:rFonts w:hint="eastAsia"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cs="仿宋_GB2312"/>
          <w:color w:val="auto"/>
          <w:sz w:val="28"/>
          <w:szCs w:val="28"/>
          <w:highlight w:val="none"/>
          <w:lang w:val="en-US" w:eastAsia="zh-CN"/>
        </w:rPr>
        <w:t>0.762</w:t>
      </w:r>
      <w:r>
        <w:rPr>
          <w:rFonts w:hint="eastAsia" w:ascii="仿宋_GB2312" w:hAnsi="仿宋_GB2312" w:cs="仿宋_GB2312"/>
          <w:color w:val="auto"/>
          <w:sz w:val="28"/>
          <w:szCs w:val="28"/>
          <w:highlight w:val="none"/>
        </w:rPr>
        <w:t>分。</w:t>
      </w:r>
    </w:p>
    <w:p w14:paraId="79252F40">
      <w:pPr>
        <w:pStyle w:val="11"/>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其他为民办事</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60万元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47.4万元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79</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21</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偏差原因：根据县级财力安排，优先确保三保支出，厉行节约。改进措施：有单位绩效牵头部门组织相关科室填报绩效目标表，严格内部审核程序，确保测算项目符合单位实际情况，提高准确率。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cs="仿宋_GB2312"/>
          <w:color w:val="auto"/>
          <w:sz w:val="28"/>
          <w:szCs w:val="28"/>
          <w:highlight w:val="none"/>
          <w:lang w:val="en-US" w:eastAsia="zh-CN"/>
        </w:rPr>
        <w:t>1.62</w:t>
      </w:r>
      <w:r>
        <w:rPr>
          <w:rFonts w:hint="eastAsia" w:ascii="仿宋_GB2312" w:hAnsi="仿宋_GB2312" w:cs="仿宋_GB2312"/>
          <w:color w:val="auto"/>
          <w:sz w:val="28"/>
          <w:szCs w:val="28"/>
          <w:highlight w:val="none"/>
        </w:rPr>
        <w:t>分。</w:t>
      </w:r>
    </w:p>
    <w:p w14:paraId="67062067">
      <w:pPr>
        <w:pStyle w:val="11"/>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困难群众慰问费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5万元</w:t>
      </w:r>
      <w:r>
        <w:rPr>
          <w:rFonts w:hint="eastAsia" w:ascii="仿宋_GB2312" w:hAnsi="仿宋_GB2312" w:cs="仿宋_GB2312"/>
          <w:color w:val="auto"/>
          <w:sz w:val="28"/>
          <w:szCs w:val="28"/>
          <w:highlight w:val="none"/>
        </w:rPr>
        <w:t>，实际完成指标值为</w:t>
      </w:r>
      <w:r>
        <w:rPr>
          <w:rFonts w:hint="eastAsia" w:hAnsi="仿宋_GB2312" w:cs="仿宋_GB2312"/>
          <w:color w:val="auto"/>
          <w:sz w:val="28"/>
          <w:szCs w:val="28"/>
          <w:highlight w:val="none"/>
          <w:lang w:val="en-US" w:eastAsia="zh-CN"/>
        </w:rPr>
        <w:t>0.26</w:t>
      </w:r>
      <w:r>
        <w:rPr>
          <w:rFonts w:hint="eastAsia" w:ascii="仿宋_GB2312" w:hAnsi="仿宋_GB2312" w:cs="仿宋_GB2312"/>
          <w:color w:val="auto"/>
          <w:sz w:val="28"/>
          <w:szCs w:val="28"/>
          <w:highlight w:val="none"/>
          <w:lang w:val="en-US" w:eastAsia="zh-CN"/>
        </w:rPr>
        <w:t>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5.2</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94.8</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偏差原因：根据县级财力安排，优先确保三保支出，厉行节约。改进措施：有单位绩效牵头部门组织相关科室填报绩效目标表，严格内部审核程序，确保测算项目符合单位实际情况，提高准确率。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cs="仿宋_GB2312"/>
          <w:color w:val="auto"/>
          <w:sz w:val="28"/>
          <w:szCs w:val="28"/>
          <w:highlight w:val="none"/>
          <w:lang w:val="en-US" w:eastAsia="zh-CN"/>
        </w:rPr>
        <w:t>0.096</w:t>
      </w:r>
      <w:r>
        <w:rPr>
          <w:rFonts w:hint="eastAsia" w:ascii="仿宋_GB2312" w:hAnsi="仿宋_GB2312" w:cs="仿宋_GB2312"/>
          <w:color w:val="auto"/>
          <w:sz w:val="28"/>
          <w:szCs w:val="28"/>
          <w:highlight w:val="none"/>
        </w:rPr>
        <w:t>分。</w:t>
      </w:r>
    </w:p>
    <w:p w14:paraId="203C1B71">
      <w:pPr>
        <w:pStyle w:val="11"/>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垃圾清运费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w:t>
      </w:r>
      <w:r>
        <w:rPr>
          <w:rFonts w:hint="eastAsia" w:ascii="仿宋_GB2312" w:hAnsi="仿宋_GB2312" w:cs="仿宋_GB2312"/>
          <w:color w:val="auto"/>
          <w:sz w:val="28"/>
          <w:szCs w:val="28"/>
          <w:highlight w:val="none"/>
          <w:lang w:val="en-US" w:eastAsia="zh-CN"/>
        </w:rPr>
        <w:t>10万元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2.02万元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20.2</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hAnsi="仿宋_GB2312" w:cs="仿宋_GB2312"/>
          <w:color w:val="auto"/>
          <w:sz w:val="28"/>
          <w:szCs w:val="28"/>
          <w:highlight w:val="none"/>
          <w:lang w:val="en-US" w:eastAsia="zh-CN"/>
        </w:rPr>
        <w:t>79.8</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偏差原因：根据县级财力安排，优先确保三保支出，厉行节约。改进措施：有单位绩效牵头部门组织相关科室填报绩效目标表，严格内部审核程序，确保测算项目符合单位实际情况，提高准确率。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hAnsi="仿宋_GB2312" w:cs="仿宋_GB2312"/>
          <w:color w:val="auto"/>
          <w:sz w:val="28"/>
          <w:szCs w:val="28"/>
          <w:highlight w:val="none"/>
          <w:lang w:val="en-US" w:eastAsia="zh-CN"/>
        </w:rPr>
        <w:t>0</w:t>
      </w:r>
      <w:r>
        <w:rPr>
          <w:rFonts w:hint="eastAsia" w:cs="仿宋_GB2312"/>
          <w:color w:val="auto"/>
          <w:sz w:val="28"/>
          <w:szCs w:val="28"/>
          <w:highlight w:val="none"/>
          <w:lang w:val="en-US" w:eastAsia="zh-CN"/>
        </w:rPr>
        <w:t>.366</w:t>
      </w:r>
      <w:r>
        <w:rPr>
          <w:rFonts w:hint="eastAsia" w:ascii="仿宋_GB2312" w:hAnsi="仿宋_GB2312" w:cs="仿宋_GB2312"/>
          <w:color w:val="auto"/>
          <w:sz w:val="28"/>
          <w:szCs w:val="28"/>
          <w:highlight w:val="none"/>
        </w:rPr>
        <w:t>分。</w:t>
      </w:r>
    </w:p>
    <w:p w14:paraId="4D8E0109">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00E29431">
      <w:pPr>
        <w:pStyle w:val="4"/>
        <w:numPr>
          <w:ilvl w:val="0"/>
          <w:numId w:val="4"/>
        </w:numPr>
        <w:ind w:firstLine="643"/>
        <w:rPr>
          <w:color w:val="auto"/>
          <w:highlight w:val="none"/>
        </w:rPr>
      </w:pPr>
      <w:bookmarkStart w:id="16" w:name="_Toc1921"/>
      <w:bookmarkStart w:id="17" w:name="_Toc28290"/>
      <w:r>
        <w:rPr>
          <w:rFonts w:hint="eastAsia"/>
          <w:color w:val="auto"/>
          <w:highlight w:val="none"/>
        </w:rPr>
        <w:t>主要经验及做法</w:t>
      </w:r>
    </w:p>
    <w:p w14:paraId="0BB071F1">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color w:val="auto"/>
          <w:highlight w:val="none"/>
          <w:lang w:val="en-US" w:eastAsia="zh-CN"/>
        </w:rPr>
      </w:pPr>
      <w:r>
        <w:rPr>
          <w:rFonts w:hint="eastAsia" w:ascii="仿宋_GB2312" w:hAnsi="仿宋_GB2312" w:eastAsia="仿宋_GB2312" w:cs="仿宋_GB2312"/>
          <w:b w:val="0"/>
          <w:color w:val="auto"/>
          <w:kern w:val="2"/>
          <w:sz w:val="28"/>
          <w:szCs w:val="28"/>
          <w:highlight w:val="none"/>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仿宋_GB2312" w:hAnsi="仿宋_GB2312" w:cs="仿宋_GB2312"/>
          <w:b w:val="0"/>
          <w:color w:val="auto"/>
          <w:kern w:val="2"/>
          <w:sz w:val="28"/>
          <w:szCs w:val="28"/>
          <w:highlight w:val="none"/>
          <w:lang w:val="en-US" w:eastAsia="zh-CN" w:bidi="ar-SA"/>
        </w:rPr>
        <w:t>。</w:t>
      </w:r>
    </w:p>
    <w:bookmarkEnd w:id="16"/>
    <w:bookmarkEnd w:id="17"/>
    <w:p w14:paraId="4C870872">
      <w:pPr>
        <w:pStyle w:val="4"/>
        <w:numPr>
          <w:ilvl w:val="0"/>
          <w:numId w:val="4"/>
        </w:numPr>
        <w:ind w:firstLine="643"/>
        <w:rPr>
          <w:color w:val="auto"/>
          <w:highlight w:val="none"/>
        </w:rPr>
      </w:pPr>
      <w:r>
        <w:rPr>
          <w:rFonts w:hint="eastAsia"/>
          <w:color w:val="auto"/>
          <w:highlight w:val="none"/>
        </w:rPr>
        <w:t>存在的问题及原因分析</w:t>
      </w:r>
    </w:p>
    <w:p w14:paraId="2F2B3CB2">
      <w:pPr>
        <w:pStyle w:val="3"/>
        <w:ind w:firstLine="640"/>
        <w:rPr>
          <w:rFonts w:hint="eastAsia" w:ascii="仿宋_GB2312" w:hAnsi="仿宋_GB2312" w:eastAsia="仿宋_GB2312" w:cs="仿宋_GB2312"/>
          <w:b w:val="0"/>
          <w:color w:val="auto"/>
          <w:kern w:val="2"/>
          <w:sz w:val="28"/>
          <w:szCs w:val="28"/>
          <w:highlight w:val="none"/>
          <w:lang w:val="en-US" w:eastAsia="zh-CN" w:bidi="ar-SA"/>
        </w:rPr>
      </w:pPr>
      <w:r>
        <w:rPr>
          <w:rFonts w:hint="eastAsia" w:ascii="仿宋_GB2312" w:hAnsi="仿宋_GB2312" w:eastAsia="仿宋_GB2312" w:cs="仿宋_GB2312"/>
          <w:b w:val="0"/>
          <w:color w:val="auto"/>
          <w:kern w:val="2"/>
          <w:sz w:val="28"/>
          <w:szCs w:val="28"/>
          <w:highlight w:val="none"/>
          <w:lang w:val="en-US" w:eastAsia="zh-CN" w:bidi="ar-SA"/>
        </w:rPr>
        <w:t>1.预算绩效管理理念还未深入，预算绩效管理主体意识不强，未将预算绩效管理作为加强预算管理，提升资金使用绩效的有效管理模式，绩效管理工作大都为被动应付，存在被财政推着走的情况。</w:t>
      </w:r>
    </w:p>
    <w:p w14:paraId="19FC0AE0">
      <w:pPr>
        <w:keepNext/>
        <w:keepLines/>
        <w:ind w:firstLine="544"/>
        <w:rPr>
          <w:color w:val="auto"/>
          <w:spacing w:val="-4"/>
          <w:szCs w:val="32"/>
          <w:highlight w:val="none"/>
        </w:rPr>
      </w:pPr>
      <w:r>
        <w:rPr>
          <w:rFonts w:hint="eastAsia"/>
          <w:color w:val="auto"/>
          <w:spacing w:val="-4"/>
          <w:szCs w:val="32"/>
          <w:highlight w:val="none"/>
        </w:rPr>
        <w:t>2.部门内部协调机制不完善，绩效自评工作主要由财务人员牵头并完成，各相关业务科室在预算绩效管理方面的分工职责不够明确。</w:t>
      </w:r>
    </w:p>
    <w:p w14:paraId="426E6E8A">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b w:val="0"/>
          <w:color w:val="auto"/>
          <w:kern w:val="2"/>
          <w:sz w:val="28"/>
          <w:szCs w:val="28"/>
          <w:highlight w:val="none"/>
          <w:lang w:val="en-US" w:eastAsia="zh-CN" w:bidi="ar-SA"/>
        </w:rPr>
      </w:pPr>
    </w:p>
    <w:p w14:paraId="56A5C739">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auto"/>
          <w:highlight w:val="none"/>
          <w:lang w:eastAsia="zh-CN"/>
        </w:rPr>
      </w:pPr>
    </w:p>
    <w:p w14:paraId="2FF9BD2D">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14:paraId="10B0407E">
      <w:pPr>
        <w:ind w:firstLine="560"/>
        <w:rPr>
          <w:color w:val="auto"/>
          <w:highlight w:val="none"/>
        </w:rPr>
      </w:pPr>
      <w:r>
        <w:rPr>
          <w:rFonts w:hint="eastAsia"/>
          <w:color w:val="auto"/>
          <w:highlight w:val="none"/>
        </w:rPr>
        <w:t>1．加强责任制度落实。分清预算职责，完善单位绩效考核机制，保证预算资金按照目标执行。</w:t>
      </w:r>
    </w:p>
    <w:p w14:paraId="068B38F8">
      <w:pPr>
        <w:ind w:firstLine="560"/>
        <w:rPr>
          <w:color w:val="auto"/>
          <w:highlight w:val="none"/>
        </w:rPr>
      </w:pPr>
      <w:r>
        <w:rPr>
          <w:rFonts w:hint="eastAsia"/>
          <w:color w:val="auto"/>
          <w:highlight w:val="none"/>
        </w:rPr>
        <w:t>2．加强单位各科室之间对预算编制的充分沟通，目前预算编制主要由财务部门负责，财务人员重点在于对数据的统计分析，缺乏对单位项目实际情况的了解，应与各科室加强沟通，使得预算得到有效执行。</w:t>
      </w:r>
    </w:p>
    <w:p w14:paraId="5235920D">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color w:val="auto"/>
          <w:highlight w:val="none"/>
          <w:lang w:eastAsia="zh-CN"/>
        </w:rPr>
      </w:pPr>
    </w:p>
    <w:p w14:paraId="411A6AEC">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3416E346">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1EF2636F">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14:paraId="3312AF0B">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14:paraId="16560FEE">
      <w:pPr>
        <w:rPr>
          <w:rFonts w:hint="default"/>
          <w:color w:val="auto"/>
          <w:highlight w:val="none"/>
          <w:lang w:val="en-US" w:eastAsia="zh-CN"/>
        </w:rPr>
      </w:pPr>
    </w:p>
    <w:p w14:paraId="55F863C6">
      <w:pPr>
        <w:rPr>
          <w:color w:val="auto"/>
          <w:highlight w:val="none"/>
        </w:rPr>
      </w:pP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36CEC">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6A3E4">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D8573">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3D8DF">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42CDB6">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42CDB6">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F2300">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18960">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0ED1F">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19537A"/>
    <w:multiLevelType w:val="singleLevel"/>
    <w:tmpl w:val="9F19537A"/>
    <w:lvl w:ilvl="0" w:tentative="0">
      <w:start w:val="3"/>
      <w:numFmt w:val="decimal"/>
      <w:lvlText w:val="%1."/>
      <w:lvlJc w:val="left"/>
      <w:pPr>
        <w:tabs>
          <w:tab w:val="left" w:pos="312"/>
        </w:tabs>
      </w:p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yMDYzYjkxNDIxZjk2OTI5ODIxMDg5MDVhNzkyOTcifQ=="/>
  </w:docVars>
  <w:rsids>
    <w:rsidRoot w:val="00000000"/>
    <w:rsid w:val="05681DF7"/>
    <w:rsid w:val="05B3379B"/>
    <w:rsid w:val="09394E08"/>
    <w:rsid w:val="11A54597"/>
    <w:rsid w:val="17B35DB7"/>
    <w:rsid w:val="17EB49E9"/>
    <w:rsid w:val="1C2C52F0"/>
    <w:rsid w:val="1E0A555B"/>
    <w:rsid w:val="2190618E"/>
    <w:rsid w:val="237D7C81"/>
    <w:rsid w:val="26DD7C2A"/>
    <w:rsid w:val="29EA605E"/>
    <w:rsid w:val="35496A51"/>
    <w:rsid w:val="39330366"/>
    <w:rsid w:val="437E31D6"/>
    <w:rsid w:val="52C55120"/>
    <w:rsid w:val="53F8370C"/>
    <w:rsid w:val="545013B5"/>
    <w:rsid w:val="575C0FB8"/>
    <w:rsid w:val="594A6647"/>
    <w:rsid w:val="59B614C3"/>
    <w:rsid w:val="6E40332C"/>
    <w:rsid w:val="6E8B7C84"/>
    <w:rsid w:val="75196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Body Text Indent"/>
    <w:basedOn w:val="1"/>
    <w:qFormat/>
    <w:uiPriority w:val="0"/>
    <w:pPr>
      <w:ind w:firstLine="645"/>
    </w:pPr>
    <w:rPr>
      <w:rFonts w:ascii="仿宋_GB2312" w:eastAsia="仿宋_GB2312"/>
      <w:sz w:val="32"/>
      <w:szCs w:val="3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First Indent 2"/>
    <w:basedOn w:val="8"/>
    <w:qFormat/>
    <w:uiPriority w:val="0"/>
    <w:pPr>
      <w:ind w:firstLine="420" w:firstLineChars="200"/>
    </w:pPr>
  </w:style>
  <w:style w:type="character" w:styleId="14">
    <w:name w:val="Strong"/>
    <w:basedOn w:val="13"/>
    <w:qFormat/>
    <w:uiPriority w:val="0"/>
    <w:rPr>
      <w:b/>
      <w:bCs/>
    </w:rPr>
  </w:style>
  <w:style w:type="paragraph" w:customStyle="1" w:styleId="15">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12649</Words>
  <Characters>13495</Characters>
  <Lines>0</Lines>
  <Paragraphs>0</Paragraphs>
  <TotalTime>6</TotalTime>
  <ScaleCrop>false</ScaleCrop>
  <LinksUpToDate>false</LinksUpToDate>
  <CharactersWithSpaces>13511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2024-11-19T02:55:17Z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AA090C67A49E42169EA2946A32A3886B_13</vt:lpwstr>
  </property>
</Properties>
</file>