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9B294">
      <w:pPr>
        <w:spacing w:line="240" w:lineRule="atLeast"/>
        <w:ind w:left="0" w:leftChars="0" w:firstLine="0" w:firstLineChars="0"/>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lang w:eastAsia="zh-CN"/>
        </w:rPr>
        <w:t>托克逊县市场监督管理局</w:t>
      </w:r>
      <w:r>
        <w:rPr>
          <w:rFonts w:hint="eastAsia" w:ascii="黑体" w:hAnsi="黑体" w:eastAsia="黑体" w:cs="黑体"/>
          <w:b/>
          <w:bCs/>
          <w:color w:val="auto"/>
          <w:sz w:val="36"/>
          <w:szCs w:val="36"/>
          <w:highlight w:val="none"/>
          <w:lang w:val="en-US" w:eastAsia="zh-CN"/>
        </w:rPr>
        <w:t>2023年自治区药品抽检经费</w:t>
      </w:r>
      <w:r>
        <w:rPr>
          <w:rFonts w:hint="eastAsia" w:ascii="黑体" w:hAnsi="黑体" w:eastAsia="黑体" w:cs="黑体"/>
          <w:b/>
          <w:bCs/>
          <w:color w:val="auto"/>
          <w:sz w:val="36"/>
          <w:szCs w:val="36"/>
          <w:highlight w:val="none"/>
        </w:rPr>
        <w:t>项目支出绩效评价报告</w:t>
      </w:r>
    </w:p>
    <w:p w14:paraId="18F919AB">
      <w:pPr>
        <w:pStyle w:val="4"/>
        <w:ind w:firstLine="640"/>
        <w:rPr>
          <w:rFonts w:hint="eastAsia"/>
          <w:color w:val="auto"/>
          <w:highlight w:val="none"/>
        </w:rPr>
      </w:pPr>
    </w:p>
    <w:p w14:paraId="4E340B2B">
      <w:pPr>
        <w:pStyle w:val="4"/>
        <w:ind w:firstLine="640"/>
        <w:rPr>
          <w:color w:val="auto"/>
          <w:highlight w:val="none"/>
        </w:rPr>
      </w:pPr>
      <w:r>
        <w:rPr>
          <w:rFonts w:hint="eastAsia"/>
          <w:color w:val="auto"/>
          <w:highlight w:val="none"/>
        </w:rPr>
        <w:t>一、基本情况</w:t>
      </w:r>
    </w:p>
    <w:p w14:paraId="6699477A">
      <w:pPr>
        <w:pStyle w:val="5"/>
        <w:ind w:firstLine="643"/>
        <w:rPr>
          <w:color w:val="auto"/>
          <w:highlight w:val="none"/>
        </w:rPr>
      </w:pPr>
      <w:r>
        <w:rPr>
          <w:rFonts w:hint="eastAsia"/>
          <w:color w:val="auto"/>
          <w:highlight w:val="none"/>
        </w:rPr>
        <w:t>（一）项目概况</w:t>
      </w:r>
      <w:bookmarkStart w:id="18" w:name="_GoBack"/>
      <w:bookmarkEnd w:id="18"/>
    </w:p>
    <w:p w14:paraId="0B2324E3">
      <w:pPr>
        <w:pStyle w:val="6"/>
        <w:ind w:firstLine="562"/>
        <w:rPr>
          <w:color w:val="auto"/>
          <w:highlight w:val="none"/>
        </w:rPr>
      </w:pPr>
      <w:r>
        <w:rPr>
          <w:rFonts w:hint="eastAsia"/>
          <w:color w:val="auto"/>
          <w:highlight w:val="none"/>
        </w:rPr>
        <w:t>1.项目背景</w:t>
      </w:r>
    </w:p>
    <w:p w14:paraId="22A869AF">
      <w:pPr>
        <w:pStyle w:val="5"/>
        <w:ind w:firstLine="643"/>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lang w:eastAsia="zh-CN"/>
        </w:rPr>
        <w:t>为了保障公众用药安全，保障药品市场的正常秩序，防范和惩治药品领域违法违规行为，对药品的生产、流通和使用环节进行全方位监督和管理，加大对药品违法行为的查处力度，防止药品安全质量问题，保障消费者的药品质量安全。</w:t>
      </w:r>
    </w:p>
    <w:p w14:paraId="6CF6F00D">
      <w:pPr>
        <w:pStyle w:val="6"/>
        <w:ind w:firstLine="562"/>
        <w:rPr>
          <w:color w:val="auto"/>
          <w:highlight w:val="none"/>
        </w:rPr>
      </w:pPr>
      <w:r>
        <w:rPr>
          <w:rFonts w:hint="eastAsia"/>
          <w:color w:val="auto"/>
          <w:highlight w:val="none"/>
        </w:rPr>
        <w:t>2.主要内容</w:t>
      </w:r>
    </w:p>
    <w:p w14:paraId="4C975F79">
      <w:pPr>
        <w:ind w:firstLine="560"/>
        <w:rPr>
          <w:rFonts w:hint="eastAsia"/>
          <w:color w:val="auto"/>
          <w:highlight w:val="none"/>
          <w:lang w:val="en-US" w:eastAsia="zh-CN"/>
        </w:rPr>
      </w:pPr>
      <w:r>
        <w:rPr>
          <w:rFonts w:hint="eastAsia"/>
          <w:color w:val="auto"/>
          <w:highlight w:val="none"/>
          <w:lang w:val="en-US" w:eastAsia="zh-CN"/>
        </w:rPr>
        <w:t>项目名称：综合业务项目</w:t>
      </w:r>
    </w:p>
    <w:p w14:paraId="1456F646">
      <w:pPr>
        <w:ind w:firstLine="562"/>
        <w:rPr>
          <w:color w:val="auto"/>
          <w:highlight w:val="none"/>
        </w:rPr>
      </w:pPr>
      <w:r>
        <w:rPr>
          <w:rFonts w:hint="eastAsia"/>
          <w:color w:val="auto"/>
          <w:highlight w:val="none"/>
          <w:lang w:val="en-US" w:eastAsia="zh-CN"/>
        </w:rPr>
        <w:t>项目主要内容：对药品经营户开展监督检查工作不少于50家次，保证药品安全专项检查工作正常开展；组织人员开展法律法规宣传活动，开展不少于10次的法律法规宣传活动；发放不少于5000份药品安全宣传资料，提高公众对药品安全的认识和意识，增强公众的食品药品安全意识和自我保护能力。</w:t>
      </w:r>
    </w:p>
    <w:p w14:paraId="4724AAB7">
      <w:pPr>
        <w:pStyle w:val="6"/>
        <w:ind w:firstLine="562"/>
        <w:rPr>
          <w:color w:val="auto"/>
          <w:highlight w:val="none"/>
        </w:rPr>
      </w:pPr>
      <w:r>
        <w:rPr>
          <w:rFonts w:hint="eastAsia"/>
          <w:color w:val="auto"/>
          <w:highlight w:val="none"/>
          <w:lang w:val="en-US" w:eastAsia="zh-CN"/>
        </w:rPr>
        <w:t>3</w:t>
      </w:r>
      <w:r>
        <w:rPr>
          <w:rFonts w:hint="eastAsia"/>
          <w:color w:val="auto"/>
          <w:highlight w:val="none"/>
        </w:rPr>
        <w:t>.实施情况</w:t>
      </w:r>
    </w:p>
    <w:p w14:paraId="4E839D8A">
      <w:pPr>
        <w:ind w:firstLine="560"/>
        <w:jc w:val="left"/>
        <w:rPr>
          <w:color w:val="auto"/>
          <w:highlight w:val="none"/>
        </w:rPr>
      </w:pPr>
      <w:r>
        <w:rPr>
          <w:rFonts w:hint="eastAsia"/>
          <w:color w:val="auto"/>
          <w:highlight w:val="none"/>
          <w:lang w:val="en-US" w:eastAsia="zh-CN"/>
        </w:rPr>
        <w:t>项目</w:t>
      </w:r>
      <w:r>
        <w:rPr>
          <w:color w:val="auto"/>
          <w:highlight w:val="none"/>
        </w:rPr>
        <w:t>实施主体：</w:t>
      </w:r>
    </w:p>
    <w:p w14:paraId="0A537C2D">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14:paraId="04785854">
      <w:pPr>
        <w:rPr>
          <w:rFonts w:hint="default"/>
          <w:color w:val="auto"/>
          <w:highlight w:val="none"/>
          <w:lang w:val="en-US" w:eastAsia="zh-CN"/>
        </w:rPr>
      </w:pPr>
      <w:r>
        <w:rPr>
          <w:rFonts w:hint="eastAsia"/>
          <w:color w:val="auto"/>
          <w:highlight w:val="none"/>
          <w:lang w:val="en-US" w:eastAsia="zh-CN"/>
        </w:rPr>
        <w:t>项目实施情况：截止到2023年12月31日，本项目已发放宣传资料5600份，切实提高群众食品药品安全意识；通过强化药品安全监管，对药品经营户开展了54次监督检查，深入开展了城乡结合部和农村地区的药品质量安全专项整治、医疗机构药械质量安全专项整治，以及制售假劣中药饮片专项行动，切实保障了公众的用药安全；利用“3.15”国际消费者权益日、医疗器械安全宣传周等活动，加大了药械化从业人员宣传培训力度，已宣传12次，切实规范了药械化经营、使用行为；组织了各类宣传培训活动，积极推进消费维权进农村、进社区、进校园活动；有效发挥了12315平台作用，及时办理了投诉举报，保护了用药者的合法权益和用药安全。</w:t>
      </w:r>
    </w:p>
    <w:p w14:paraId="6B6B8FA1">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178C9486">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14:paraId="6D696FD8">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4</w:t>
      </w:r>
      <w:r>
        <w:rPr>
          <w:color w:val="auto"/>
          <w:highlight w:val="none"/>
        </w:rPr>
        <w:t>万元，其中财政资金</w:t>
      </w:r>
      <w:r>
        <w:rPr>
          <w:rFonts w:hint="eastAsia"/>
          <w:color w:val="auto"/>
          <w:highlight w:val="none"/>
          <w:lang w:val="en-US" w:eastAsia="zh-CN"/>
        </w:rPr>
        <w:t>4</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4</w:t>
      </w:r>
      <w:r>
        <w:rPr>
          <w:color w:val="auto"/>
          <w:highlight w:val="none"/>
        </w:rPr>
        <w:t>万元，预算资金到位率为</w:t>
      </w:r>
      <w:r>
        <w:rPr>
          <w:rFonts w:hint="eastAsia"/>
          <w:color w:val="auto"/>
          <w:highlight w:val="none"/>
          <w:lang w:val="en-US" w:eastAsia="zh-CN"/>
        </w:rPr>
        <w:t>100</w:t>
      </w:r>
      <w:r>
        <w:rPr>
          <w:color w:val="auto"/>
          <w:highlight w:val="none"/>
        </w:rPr>
        <w:t>%。</w:t>
      </w:r>
    </w:p>
    <w:p w14:paraId="44D22C3C">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14:paraId="1E6AFC4F">
      <w:pPr>
        <w:pStyle w:val="6"/>
        <w:bidi w:val="0"/>
        <w:rPr>
          <w:b w:val="0"/>
          <w:bCs w:val="0"/>
          <w:color w:val="auto"/>
          <w:highlight w:val="none"/>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4</w:t>
      </w:r>
      <w:r>
        <w:rPr>
          <w:rFonts w:hint="eastAsia"/>
          <w:b w:val="0"/>
          <w:bCs w:val="0"/>
          <w:color w:val="auto"/>
          <w:highlight w:val="none"/>
        </w:rPr>
        <w:t>万元，预算执行率</w:t>
      </w:r>
      <w:r>
        <w:rPr>
          <w:rFonts w:hint="eastAsia"/>
          <w:b w:val="0"/>
          <w:bCs w:val="0"/>
          <w:color w:val="auto"/>
          <w:highlight w:val="none"/>
          <w:lang w:val="en-US" w:eastAsia="zh-CN"/>
        </w:rPr>
        <w:t>100</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rPr>
        <w:t>项目资金主要用于支付</w:t>
      </w:r>
      <w:r>
        <w:rPr>
          <w:rFonts w:hint="eastAsia"/>
          <w:b w:val="0"/>
          <w:bCs w:val="0"/>
          <w:color w:val="auto"/>
          <w:highlight w:val="none"/>
          <w:lang w:val="en-US" w:eastAsia="zh-CN"/>
        </w:rPr>
        <w:t>药品安全宣传材料的</w:t>
      </w:r>
      <w:r>
        <w:rPr>
          <w:rFonts w:hint="eastAsia"/>
          <w:b w:val="0"/>
          <w:bCs w:val="0"/>
          <w:color w:val="auto"/>
          <w:highlight w:val="none"/>
          <w:lang w:eastAsia="zh-CN"/>
        </w:rPr>
        <w:t>印刷</w:t>
      </w:r>
      <w:r>
        <w:rPr>
          <w:rFonts w:hint="eastAsia"/>
          <w:b w:val="0"/>
          <w:bCs w:val="0"/>
          <w:color w:val="auto"/>
          <w:highlight w:val="none"/>
        </w:rPr>
        <w:t>费用</w:t>
      </w:r>
      <w:r>
        <w:rPr>
          <w:rFonts w:hint="eastAsia"/>
          <w:b w:val="0"/>
          <w:bCs w:val="0"/>
          <w:color w:val="auto"/>
          <w:highlight w:val="none"/>
          <w:lang w:val="en-US" w:eastAsia="zh-CN"/>
        </w:rPr>
        <w:t>3.188</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办公费0.812万元</w:t>
      </w:r>
      <w:r>
        <w:rPr>
          <w:rFonts w:hint="eastAsia"/>
          <w:b w:val="0"/>
          <w:bCs w:val="0"/>
          <w:color w:val="auto"/>
          <w:highlight w:val="none"/>
        </w:rPr>
        <w:t>。</w:t>
      </w:r>
    </w:p>
    <w:p w14:paraId="505A8A72">
      <w:pPr>
        <w:pStyle w:val="5"/>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14:paraId="2491CFAB">
      <w:pPr>
        <w:pStyle w:val="6"/>
        <w:bidi w:val="0"/>
        <w:rPr>
          <w:color w:val="auto"/>
          <w:highlight w:val="none"/>
        </w:rPr>
      </w:pPr>
      <w:r>
        <w:rPr>
          <w:rFonts w:hint="eastAsia"/>
          <w:color w:val="auto"/>
          <w:highlight w:val="none"/>
        </w:rPr>
        <w:t>1.总体目标</w:t>
      </w:r>
    </w:p>
    <w:p w14:paraId="54DC2660">
      <w:pPr>
        <w:pStyle w:val="6"/>
        <w:bidi w:val="0"/>
        <w:rPr>
          <w:rFonts w:hint="default" w:ascii="宋体" w:hAnsi="宋体" w:eastAsia="宋体"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w:t>
      </w:r>
      <w:r>
        <w:rPr>
          <w:rFonts w:hint="eastAsia"/>
          <w:b w:val="0"/>
          <w:bCs w:val="0"/>
          <w:color w:val="auto"/>
          <w:highlight w:val="none"/>
          <w:lang w:val="en-US" w:eastAsia="zh-CN"/>
        </w:rPr>
        <w:t xml:space="preserve">开展对药品、化妆品、医疗器械经营户开展专项检查工作，有力保障“两品一械”质量安全和人民群众用药用械用妆安全，为人民群众的生命健康安全提供有效保障。       </w:t>
      </w:r>
    </w:p>
    <w:p w14:paraId="2E343075">
      <w:pPr>
        <w:pStyle w:val="6"/>
        <w:ind w:firstLine="562"/>
        <w:rPr>
          <w:color w:val="auto"/>
          <w:highlight w:val="none"/>
        </w:rPr>
      </w:pPr>
      <w:r>
        <w:rPr>
          <w:rFonts w:hint="eastAsia"/>
          <w:color w:val="auto"/>
          <w:highlight w:val="none"/>
        </w:rPr>
        <w:t>2.阶段性目标</w:t>
      </w:r>
    </w:p>
    <w:p w14:paraId="481B40A0">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155C1D58">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14:paraId="62FC70EB">
      <w:pPr>
        <w:ind w:firstLine="560"/>
        <w:rPr>
          <w:color w:val="auto"/>
          <w:highlight w:val="none"/>
        </w:rPr>
      </w:pPr>
      <w:r>
        <w:rPr>
          <w:rFonts w:hint="eastAsia"/>
          <w:color w:val="auto"/>
          <w:highlight w:val="none"/>
        </w:rPr>
        <w:t>①数量指标</w:t>
      </w:r>
    </w:p>
    <w:p w14:paraId="6DD217CD">
      <w:pPr>
        <w:ind w:firstLine="560"/>
        <w:rPr>
          <w:rFonts w:hint="default"/>
          <w:color w:val="auto"/>
          <w:highlight w:val="none"/>
          <w:lang w:val="en-US" w:eastAsia="zh-CN"/>
        </w:rPr>
      </w:pPr>
      <w:r>
        <w:rPr>
          <w:rFonts w:hint="eastAsia"/>
          <w:color w:val="auto"/>
          <w:highlight w:val="none"/>
          <w:lang w:val="en-US" w:eastAsia="zh-CN"/>
        </w:rPr>
        <w:t>“各类宣传资料印刷、发放”指标，预期指标值为大于等于5000.0份。</w:t>
      </w:r>
    </w:p>
    <w:p w14:paraId="4E69BE92">
      <w:pPr>
        <w:ind w:firstLine="560"/>
        <w:rPr>
          <w:rFonts w:hint="default"/>
          <w:color w:val="auto"/>
          <w:highlight w:val="none"/>
          <w:lang w:val="en-US"/>
        </w:rPr>
      </w:pPr>
      <w:r>
        <w:rPr>
          <w:rFonts w:hint="eastAsia"/>
          <w:color w:val="auto"/>
          <w:highlight w:val="none"/>
        </w:rPr>
        <w:t>“药品经营户检查次数”指标，预期指标值为</w:t>
      </w:r>
      <w:r>
        <w:rPr>
          <w:rFonts w:hint="eastAsia"/>
          <w:color w:val="auto"/>
          <w:highlight w:val="none"/>
          <w:lang w:eastAsia="zh-CN"/>
        </w:rPr>
        <w:t>大于等于</w:t>
      </w:r>
      <w:r>
        <w:rPr>
          <w:rFonts w:hint="eastAsia"/>
          <w:color w:val="auto"/>
          <w:highlight w:val="none"/>
          <w:lang w:val="en-US" w:eastAsia="zh-CN"/>
        </w:rPr>
        <w:t>5</w:t>
      </w:r>
      <w:r>
        <w:rPr>
          <w:rFonts w:hint="eastAsia"/>
          <w:color w:val="auto"/>
          <w:highlight w:val="none"/>
        </w:rPr>
        <w:t>0.0次</w:t>
      </w:r>
      <w:r>
        <w:rPr>
          <w:rFonts w:hint="eastAsia"/>
          <w:color w:val="auto"/>
          <w:highlight w:val="none"/>
          <w:lang w:val="en-US" w:eastAsia="zh-CN"/>
        </w:rPr>
        <w:t>。</w:t>
      </w:r>
    </w:p>
    <w:p w14:paraId="72D160D7">
      <w:pPr>
        <w:ind w:firstLine="560"/>
        <w:rPr>
          <w:rFonts w:hint="default"/>
          <w:color w:val="auto"/>
          <w:highlight w:val="none"/>
          <w:lang w:val="en-US"/>
        </w:rPr>
      </w:pPr>
      <w:r>
        <w:rPr>
          <w:rFonts w:hint="eastAsia"/>
          <w:color w:val="auto"/>
          <w:highlight w:val="none"/>
        </w:rPr>
        <w:t>“法律法规宣传次数”指标，预期指标值为</w:t>
      </w:r>
      <w:r>
        <w:rPr>
          <w:rFonts w:hint="eastAsia"/>
          <w:color w:val="auto"/>
          <w:highlight w:val="none"/>
          <w:lang w:eastAsia="zh-CN"/>
        </w:rPr>
        <w:t>大于等于</w:t>
      </w:r>
      <w:r>
        <w:rPr>
          <w:rFonts w:hint="eastAsia"/>
          <w:color w:val="auto"/>
          <w:highlight w:val="none"/>
        </w:rPr>
        <w:t>10.0次</w:t>
      </w:r>
      <w:r>
        <w:rPr>
          <w:rFonts w:hint="eastAsia"/>
          <w:color w:val="auto"/>
          <w:highlight w:val="none"/>
          <w:lang w:val="en-US" w:eastAsia="zh-CN"/>
        </w:rPr>
        <w:t>。</w:t>
      </w:r>
    </w:p>
    <w:p w14:paraId="0505DAB0">
      <w:pPr>
        <w:ind w:firstLine="560"/>
        <w:rPr>
          <w:color w:val="auto"/>
          <w:highlight w:val="none"/>
        </w:rPr>
      </w:pPr>
      <w:r>
        <w:rPr>
          <w:rFonts w:hint="eastAsia"/>
          <w:color w:val="auto"/>
          <w:highlight w:val="none"/>
        </w:rPr>
        <w:t>②质量指标</w:t>
      </w:r>
    </w:p>
    <w:p w14:paraId="2927BEC1">
      <w:pPr>
        <w:ind w:firstLine="560"/>
        <w:rPr>
          <w:rFonts w:hint="eastAsia"/>
          <w:color w:val="auto"/>
          <w:highlight w:val="none"/>
          <w:lang w:val="en-US" w:eastAsia="zh-CN"/>
        </w:rPr>
      </w:pPr>
      <w:r>
        <w:rPr>
          <w:rFonts w:hint="eastAsia"/>
          <w:color w:val="auto"/>
          <w:highlight w:val="none"/>
          <w:lang w:val="en-US" w:eastAsia="zh-CN"/>
        </w:rPr>
        <w:t>“资金规范管理使用率”指标，预期指标值等于100%。</w:t>
      </w:r>
    </w:p>
    <w:p w14:paraId="67B800EB">
      <w:pPr>
        <w:ind w:firstLine="560"/>
        <w:rPr>
          <w:rFonts w:hint="eastAsia"/>
          <w:color w:val="auto"/>
          <w:highlight w:val="none"/>
          <w:lang w:val="en-US" w:eastAsia="zh-CN"/>
        </w:rPr>
      </w:pPr>
      <w:r>
        <w:rPr>
          <w:rFonts w:hint="eastAsia"/>
          <w:color w:val="auto"/>
          <w:highlight w:val="none"/>
          <w:lang w:val="en-US" w:eastAsia="zh-CN"/>
        </w:rPr>
        <w:t>“药品经营户检查覆盖率”指标，预期指标值等于100%。</w:t>
      </w:r>
    </w:p>
    <w:p w14:paraId="4ADFB99D">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14:paraId="2121685A">
      <w:pPr>
        <w:ind w:firstLine="560"/>
        <w:rPr>
          <w:color w:val="auto"/>
          <w:highlight w:val="none"/>
        </w:rPr>
      </w:pPr>
      <w:r>
        <w:rPr>
          <w:rFonts w:hint="eastAsia"/>
          <w:color w:val="auto"/>
          <w:highlight w:val="none"/>
        </w:rPr>
        <w:t>“项目及时完成率”指标，预期指标值为100%</w:t>
      </w:r>
      <w:r>
        <w:rPr>
          <w:rFonts w:hint="eastAsia"/>
          <w:color w:val="auto"/>
          <w:highlight w:val="none"/>
          <w:lang w:val="en-US" w:eastAsia="zh-CN"/>
        </w:rPr>
        <w:t>。</w:t>
      </w:r>
    </w:p>
    <w:p w14:paraId="745B532A">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14:paraId="1F8DC54E">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14:paraId="27054217">
      <w:pPr>
        <w:ind w:firstLine="560"/>
        <w:rPr>
          <w:rFonts w:hint="eastAsia"/>
          <w:color w:val="auto"/>
          <w:highlight w:val="none"/>
        </w:rPr>
      </w:pPr>
      <w:r>
        <w:rPr>
          <w:rFonts w:hint="eastAsia"/>
          <w:color w:val="auto"/>
          <w:highlight w:val="none"/>
        </w:rPr>
        <w:t>“宣传品印制费”指标，预期指标值为</w:t>
      </w:r>
      <w:r>
        <w:rPr>
          <w:rFonts w:hint="eastAsia"/>
          <w:color w:val="auto"/>
          <w:highlight w:val="none"/>
          <w:lang w:eastAsia="zh-CN"/>
        </w:rPr>
        <w:t>小于等于</w:t>
      </w:r>
      <w:r>
        <w:rPr>
          <w:rFonts w:hint="eastAsia"/>
          <w:color w:val="auto"/>
          <w:highlight w:val="none"/>
          <w:lang w:val="en-US" w:eastAsia="zh-CN"/>
        </w:rPr>
        <w:t>3.188</w:t>
      </w:r>
      <w:r>
        <w:rPr>
          <w:rFonts w:hint="eastAsia"/>
          <w:color w:val="auto"/>
          <w:highlight w:val="none"/>
        </w:rPr>
        <w:t>万元；</w:t>
      </w:r>
    </w:p>
    <w:p w14:paraId="380B7B32">
      <w:pPr>
        <w:ind w:firstLine="560"/>
        <w:rPr>
          <w:rFonts w:hint="eastAsia"/>
          <w:color w:val="auto"/>
          <w:highlight w:val="none"/>
        </w:rPr>
      </w:pPr>
      <w:r>
        <w:rPr>
          <w:rFonts w:hint="eastAsia"/>
          <w:color w:val="auto"/>
          <w:highlight w:val="none"/>
        </w:rPr>
        <w:t>“</w:t>
      </w:r>
      <w:r>
        <w:rPr>
          <w:rFonts w:hint="eastAsia"/>
          <w:color w:val="auto"/>
          <w:highlight w:val="none"/>
          <w:lang w:eastAsia="zh-CN"/>
        </w:rPr>
        <w:t>日常办公支出</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0.812</w:t>
      </w:r>
      <w:r>
        <w:rPr>
          <w:rFonts w:hint="eastAsia"/>
          <w:color w:val="auto"/>
          <w:highlight w:val="none"/>
        </w:rPr>
        <w:t>万元；</w:t>
      </w:r>
    </w:p>
    <w:p w14:paraId="5EAA5ABB">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14:paraId="364E7C86">
      <w:pPr>
        <w:ind w:firstLine="560"/>
        <w:rPr>
          <w:color w:val="auto"/>
          <w:highlight w:val="none"/>
        </w:rPr>
      </w:pPr>
      <w:r>
        <w:rPr>
          <w:rFonts w:hint="eastAsia"/>
          <w:color w:val="auto"/>
          <w:highlight w:val="none"/>
        </w:rPr>
        <w:t>①社会效益指标</w:t>
      </w:r>
    </w:p>
    <w:p w14:paraId="51CD56B7">
      <w:pPr>
        <w:ind w:firstLine="560"/>
        <w:rPr>
          <w:color w:val="auto"/>
          <w:highlight w:val="none"/>
        </w:rPr>
      </w:pPr>
      <w:r>
        <w:rPr>
          <w:rFonts w:hint="eastAsia"/>
          <w:color w:val="auto"/>
          <w:highlight w:val="none"/>
        </w:rPr>
        <w:t>“保障用药者的合法权益”指标，预期指标值为效果显著；</w:t>
      </w:r>
    </w:p>
    <w:p w14:paraId="3E3E3797">
      <w:pPr>
        <w:ind w:firstLine="560"/>
        <w:rPr>
          <w:rFonts w:hint="eastAsia" w:hAnsi="Arial" w:cs="宋体"/>
          <w:bCs/>
          <w:color w:val="auto"/>
          <w:highlight w:val="none"/>
        </w:rPr>
      </w:pPr>
      <w:r>
        <w:rPr>
          <w:rFonts w:hint="eastAsia" w:hAnsi="Arial" w:cs="宋体"/>
          <w:bCs/>
          <w:color w:val="auto"/>
          <w:highlight w:val="none"/>
        </w:rPr>
        <w:t>“</w:t>
      </w:r>
      <w:r>
        <w:rPr>
          <w:rFonts w:hint="eastAsia" w:hAnsi="Arial" w:cs="宋体"/>
          <w:bCs/>
          <w:color w:val="auto"/>
          <w:highlight w:val="none"/>
          <w:lang w:val="en-US" w:eastAsia="zh-CN"/>
        </w:rPr>
        <w:t>保障公众用药安全</w:t>
      </w:r>
      <w:r>
        <w:rPr>
          <w:rFonts w:hint="eastAsia" w:hAnsi="Arial" w:cs="宋体"/>
          <w:bCs/>
          <w:color w:val="auto"/>
          <w:highlight w:val="none"/>
        </w:rPr>
        <w:t>”指标，预期指标值为</w:t>
      </w:r>
      <w:r>
        <w:rPr>
          <w:rFonts w:hint="eastAsia" w:hAnsi="Arial" w:cs="宋体"/>
          <w:bCs/>
          <w:color w:val="auto"/>
          <w:highlight w:val="none"/>
          <w:lang w:val="en-US" w:eastAsia="zh-CN"/>
        </w:rPr>
        <w:t>有效保障；</w:t>
      </w:r>
    </w:p>
    <w:p w14:paraId="2D27095A">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14:paraId="4C1747E1">
      <w:pPr>
        <w:ind w:firstLine="560"/>
        <w:rPr>
          <w:rFonts w:hint="eastAsia"/>
          <w:color w:val="auto"/>
          <w:highlight w:val="none"/>
        </w:rPr>
      </w:pPr>
      <w:r>
        <w:rPr>
          <w:rFonts w:hint="eastAsia"/>
          <w:color w:val="auto"/>
          <w:highlight w:val="none"/>
        </w:rPr>
        <w:t>“公众对药品监管满意度”指标，预期指标值为</w:t>
      </w:r>
      <w:r>
        <w:rPr>
          <w:rFonts w:hint="eastAsia"/>
          <w:color w:val="auto"/>
          <w:highlight w:val="none"/>
          <w:lang w:eastAsia="zh-CN"/>
        </w:rPr>
        <w:t>大于等于</w:t>
      </w:r>
      <w:r>
        <w:rPr>
          <w:rFonts w:hint="eastAsia"/>
          <w:color w:val="auto"/>
          <w:highlight w:val="none"/>
        </w:rPr>
        <w:t>95.0%；</w:t>
      </w:r>
    </w:p>
    <w:p w14:paraId="481B5A8D">
      <w:pPr>
        <w:pStyle w:val="4"/>
        <w:ind w:firstLine="640"/>
        <w:rPr>
          <w:color w:val="auto"/>
          <w:highlight w:val="none"/>
        </w:rPr>
      </w:pPr>
      <w:r>
        <w:rPr>
          <w:rFonts w:hint="eastAsia"/>
          <w:color w:val="auto"/>
          <w:highlight w:val="none"/>
        </w:rPr>
        <w:t>二、绩效评价工作开展情况</w:t>
      </w:r>
    </w:p>
    <w:p w14:paraId="0680DA67">
      <w:pPr>
        <w:pStyle w:val="5"/>
        <w:numPr>
          <w:ilvl w:val="0"/>
          <w:numId w:val="1"/>
        </w:numPr>
        <w:ind w:firstLine="643"/>
        <w:rPr>
          <w:rFonts w:ascii="楷体" w:hAnsi="楷体" w:cs="楷体"/>
          <w:color w:val="auto"/>
          <w:szCs w:val="32"/>
          <w:highlight w:val="none"/>
        </w:rPr>
      </w:pPr>
      <w:bookmarkStart w:id="0" w:name="_Toc22169_WPSOffice_Level2"/>
      <w:bookmarkStart w:id="1" w:name="_Toc12868"/>
      <w:bookmarkStart w:id="2" w:name="_Toc26632"/>
      <w:bookmarkStart w:id="3" w:name="_Toc480473081"/>
      <w:bookmarkStart w:id="4" w:name="_Toc21664"/>
      <w:bookmarkStart w:id="5" w:name="_Toc5462343"/>
      <w:bookmarkStart w:id="6" w:name="_Toc5258"/>
      <w:bookmarkStart w:id="7" w:name="_Toc2292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7E5DEC8F">
      <w:pPr>
        <w:pStyle w:val="6"/>
        <w:ind w:firstLine="562"/>
        <w:rPr>
          <w:rFonts w:hint="eastAsia"/>
          <w:color w:val="auto"/>
          <w:highlight w:val="none"/>
        </w:rPr>
      </w:pPr>
      <w:r>
        <w:rPr>
          <w:rFonts w:hint="eastAsia"/>
          <w:color w:val="auto"/>
          <w:highlight w:val="none"/>
        </w:rPr>
        <w:t>1.绩效评价的目的</w:t>
      </w:r>
    </w:p>
    <w:p w14:paraId="1BF6E463">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14:paraId="131FC37B">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14:paraId="545B6B17">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661584B5">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08B1678A">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583C54CE">
      <w:pPr>
        <w:pStyle w:val="6"/>
        <w:ind w:firstLine="562"/>
        <w:rPr>
          <w:rFonts w:hint="eastAsia"/>
          <w:color w:val="auto"/>
          <w:highlight w:val="none"/>
        </w:rPr>
      </w:pPr>
      <w:r>
        <w:rPr>
          <w:rFonts w:hint="eastAsia"/>
          <w:color w:val="auto"/>
          <w:highlight w:val="none"/>
        </w:rPr>
        <w:t>2.绩效评价对象</w:t>
      </w:r>
    </w:p>
    <w:p w14:paraId="131B8855">
      <w:pPr>
        <w:ind w:firstLine="560"/>
        <w:rPr>
          <w:color w:val="auto"/>
          <w:highlight w:val="none"/>
        </w:rPr>
      </w:pPr>
      <w:r>
        <w:rPr>
          <w:rFonts w:hint="eastAsia"/>
          <w:color w:val="auto"/>
          <w:highlight w:val="none"/>
        </w:rPr>
        <w:t>此次我单位根据《财政支出绩效评价管理暂行办法》（财预〔2020〕10号）文件要求实施评价工作，本次评价对象为自治区药品抽检经费</w:t>
      </w:r>
      <w:r>
        <w:rPr>
          <w:rFonts w:hint="eastAsia"/>
          <w:color w:val="auto"/>
          <w:highlight w:val="none"/>
          <w:lang w:val="en-US" w:eastAsia="zh-CN"/>
        </w:rPr>
        <w:t>项目</w:t>
      </w:r>
      <w:r>
        <w:rPr>
          <w:rFonts w:hint="eastAsia"/>
          <w:color w:val="auto"/>
          <w:highlight w:val="none"/>
        </w:rPr>
        <w:t>，评价核心为项目</w:t>
      </w:r>
      <w:r>
        <w:rPr>
          <w:rFonts w:hint="eastAsia"/>
          <w:color w:val="auto"/>
          <w:highlight w:val="none"/>
          <w:lang w:val="en-US" w:eastAsia="zh-CN"/>
        </w:rPr>
        <w:t>的资金投入、产出及效益</w:t>
      </w:r>
      <w:r>
        <w:rPr>
          <w:rFonts w:hint="eastAsia"/>
          <w:color w:val="auto"/>
          <w:highlight w:val="none"/>
        </w:rPr>
        <w:t>。</w:t>
      </w:r>
    </w:p>
    <w:p w14:paraId="5176D727">
      <w:pPr>
        <w:pStyle w:val="6"/>
        <w:ind w:firstLine="562"/>
        <w:rPr>
          <w:rFonts w:hint="eastAsia"/>
          <w:color w:val="auto"/>
          <w:highlight w:val="none"/>
        </w:rPr>
      </w:pPr>
      <w:r>
        <w:rPr>
          <w:rFonts w:hint="eastAsia"/>
          <w:color w:val="auto"/>
          <w:highlight w:val="none"/>
        </w:rPr>
        <w:t>3.绩效评价范围</w:t>
      </w:r>
    </w:p>
    <w:p w14:paraId="7A4D22CF">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14:paraId="7A03C4BB">
      <w:pPr>
        <w:pStyle w:val="5"/>
        <w:numPr>
          <w:ilvl w:val="0"/>
          <w:numId w:val="1"/>
        </w:numPr>
        <w:ind w:firstLine="643"/>
        <w:rPr>
          <w:color w:val="auto"/>
          <w:highlight w:val="none"/>
        </w:rPr>
      </w:pPr>
      <w:r>
        <w:rPr>
          <w:rFonts w:hint="eastAsia"/>
          <w:color w:val="auto"/>
          <w:highlight w:val="none"/>
        </w:rPr>
        <w:t>绩效评价原则、评价指标体系、评价方法评价标准</w:t>
      </w:r>
    </w:p>
    <w:p w14:paraId="44E0D5E5">
      <w:pPr>
        <w:pStyle w:val="6"/>
        <w:ind w:firstLine="562"/>
        <w:rPr>
          <w:color w:val="auto"/>
          <w:highlight w:val="none"/>
        </w:rPr>
      </w:pPr>
      <w:r>
        <w:rPr>
          <w:rFonts w:hint="eastAsia"/>
          <w:color w:val="auto"/>
          <w:highlight w:val="none"/>
        </w:rPr>
        <w:t>1.绩效评价原则</w:t>
      </w:r>
    </w:p>
    <w:p w14:paraId="1ADA9F95">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14:paraId="7BAF3D24">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14:paraId="665BD0A6">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837DDD8">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14:paraId="1DAD8B75">
      <w:pPr>
        <w:snapToGrid w:val="0"/>
        <w:ind w:firstLine="560"/>
        <w:rPr>
          <w:color w:val="auto"/>
          <w:highlight w:val="none"/>
        </w:rPr>
      </w:pPr>
      <w:r>
        <w:rPr>
          <w:rFonts w:hint="eastAsia"/>
          <w:color w:val="auto"/>
          <w:highlight w:val="none"/>
        </w:rPr>
        <w:t>（4）公开透明。绩效评价结果应依法依规公开，并自觉接受社会监督。</w:t>
      </w:r>
    </w:p>
    <w:p w14:paraId="00161E48">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14:paraId="4EDB48B8">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14:paraId="3E0E4BA7">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14:paraId="3D66AA56">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14:paraId="24D610AF">
      <w:pPr>
        <w:pStyle w:val="6"/>
        <w:ind w:firstLine="562"/>
        <w:rPr>
          <w:color w:val="auto"/>
          <w:highlight w:val="none"/>
        </w:rPr>
      </w:pPr>
      <w:bookmarkStart w:id="8" w:name="_Toc419984722"/>
      <w:bookmarkStart w:id="9" w:name="_Toc1913"/>
      <w:bookmarkStart w:id="10" w:name="_Toc428278230"/>
      <w:bookmarkStart w:id="11" w:name="_Toc26131"/>
      <w:r>
        <w:rPr>
          <w:rFonts w:hint="eastAsia"/>
          <w:color w:val="auto"/>
          <w:highlight w:val="none"/>
        </w:rPr>
        <w:t>2.绩效评价指标体系</w:t>
      </w:r>
      <w:bookmarkEnd w:id="8"/>
      <w:bookmarkEnd w:id="9"/>
      <w:bookmarkEnd w:id="10"/>
      <w:bookmarkEnd w:id="11"/>
    </w:p>
    <w:p w14:paraId="59C90EC4">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14:paraId="0AF8559D">
      <w:pPr>
        <w:pStyle w:val="6"/>
        <w:ind w:firstLine="562"/>
        <w:rPr>
          <w:color w:val="auto"/>
          <w:highlight w:val="none"/>
        </w:rPr>
      </w:pPr>
      <w:r>
        <w:rPr>
          <w:rFonts w:hint="eastAsia"/>
          <w:color w:val="auto"/>
          <w:highlight w:val="none"/>
        </w:rPr>
        <w:t>3.评价方法</w:t>
      </w:r>
    </w:p>
    <w:p w14:paraId="2C6FD2AC">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03D986AC">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14:paraId="11488ED7">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438D5686">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14:paraId="53487E1F">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14:paraId="0B3E815F">
      <w:pPr>
        <w:pStyle w:val="2"/>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14:paraId="0D091672">
      <w:pPr>
        <w:pStyle w:val="2"/>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14:paraId="4037BC88">
      <w:pPr>
        <w:pStyle w:val="2"/>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14:paraId="2D4C49ED">
      <w:pPr>
        <w:pStyle w:val="2"/>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14:paraId="78F84EF7">
      <w:pPr>
        <w:pStyle w:val="2"/>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14:paraId="56CA8145">
      <w:pPr>
        <w:pStyle w:val="2"/>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14:paraId="5F9A7064">
      <w:pPr>
        <w:pStyle w:val="2"/>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14:paraId="5569E4F6">
      <w:pPr>
        <w:pStyle w:val="2"/>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14:paraId="40BF38DE">
      <w:pPr>
        <w:pStyle w:val="2"/>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14:paraId="1D15E4B3">
      <w:pPr>
        <w:pStyle w:val="2"/>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14:paraId="69AFDF22">
      <w:pPr>
        <w:pStyle w:val="2"/>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22EDF165">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14:paraId="02E096A0">
      <w:pPr>
        <w:pStyle w:val="6"/>
        <w:ind w:firstLine="562"/>
        <w:rPr>
          <w:color w:val="auto"/>
          <w:highlight w:val="none"/>
        </w:rPr>
      </w:pPr>
      <w:r>
        <w:rPr>
          <w:rFonts w:hint="eastAsia"/>
          <w:color w:val="auto"/>
          <w:highlight w:val="none"/>
        </w:rPr>
        <w:t>4.评价标准</w:t>
      </w:r>
    </w:p>
    <w:p w14:paraId="1BC29AC3">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63AF94B">
      <w:pPr>
        <w:pStyle w:val="5"/>
        <w:numPr>
          <w:ilvl w:val="0"/>
          <w:numId w:val="1"/>
        </w:numPr>
        <w:ind w:firstLine="643"/>
        <w:rPr>
          <w:color w:val="auto"/>
          <w:highlight w:val="none"/>
        </w:rPr>
      </w:pPr>
      <w:r>
        <w:rPr>
          <w:rFonts w:hint="eastAsia"/>
          <w:color w:val="auto"/>
          <w:highlight w:val="none"/>
        </w:rPr>
        <w:t>绩效评价工作过程</w:t>
      </w:r>
    </w:p>
    <w:p w14:paraId="3E8CBE34">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14:paraId="57D10F2E">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14:paraId="324366A2">
      <w:pPr>
        <w:ind w:firstLine="560"/>
        <w:rPr>
          <w:rFonts w:hint="default"/>
          <w:color w:val="auto"/>
          <w:highlight w:val="none"/>
          <w:lang w:val="en-US" w:eastAsia="zh-CN"/>
        </w:rPr>
      </w:pPr>
      <w:r>
        <w:rPr>
          <w:rFonts w:hint="eastAsia"/>
          <w:color w:val="auto"/>
          <w:highlight w:val="none"/>
          <w:lang w:val="en-US" w:eastAsia="zh-CN"/>
        </w:rPr>
        <w:t>（1）评价组组长：阿力木江·沙吾尔，</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4029E3B3">
      <w:pPr>
        <w:ind w:firstLine="560"/>
        <w:rPr>
          <w:rFonts w:hint="eastAsia"/>
          <w:color w:val="auto"/>
          <w:highlight w:val="none"/>
          <w:lang w:val="en-US" w:eastAsia="zh-CN"/>
        </w:rPr>
      </w:pPr>
      <w:r>
        <w:rPr>
          <w:rFonts w:hint="eastAsia"/>
          <w:color w:val="auto"/>
          <w:highlight w:val="none"/>
          <w:lang w:val="en-US" w:eastAsia="zh-CN"/>
        </w:rPr>
        <w:t>（2）评价组成员：古丽给娜·泰来提，</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39466B9E">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（3）评价组成员：马丽荣，</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14:paraId="1F722443">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14:paraId="59E5C80E">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14:paraId="38652EED">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14:paraId="2C5BEC49">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14:paraId="6AE865B2">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14:paraId="1C28C9E8">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14:paraId="643C5F1E">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14:paraId="7FFDC02F">
      <w:pPr>
        <w:pStyle w:val="6"/>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14:paraId="15EB6F2E">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61C2CDC">
      <w:pPr>
        <w:pStyle w:val="6"/>
        <w:bidi w:val="0"/>
        <w:rPr>
          <w:rFonts w:hint="eastAsia"/>
          <w:color w:val="auto"/>
          <w:highlight w:val="none"/>
          <w:lang w:val="en-US" w:eastAsia="zh-CN"/>
        </w:rPr>
      </w:pPr>
      <w:r>
        <w:rPr>
          <w:rFonts w:hint="eastAsia"/>
          <w:color w:val="auto"/>
          <w:highlight w:val="none"/>
          <w:lang w:val="en-US" w:eastAsia="zh-CN"/>
        </w:rPr>
        <w:t>5.归集档案</w:t>
      </w:r>
      <w:bookmarkEnd w:id="12"/>
    </w:p>
    <w:p w14:paraId="65D8B357">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14:paraId="26583F0D">
      <w:pPr>
        <w:pStyle w:val="4"/>
        <w:numPr>
          <w:ilvl w:val="0"/>
          <w:numId w:val="2"/>
        </w:numPr>
        <w:ind w:firstLine="640"/>
        <w:rPr>
          <w:color w:val="auto"/>
          <w:highlight w:val="none"/>
        </w:rPr>
      </w:pPr>
      <w:r>
        <w:rPr>
          <w:rFonts w:hint="eastAsia"/>
          <w:color w:val="auto"/>
          <w:highlight w:val="none"/>
        </w:rPr>
        <w:t>综合评价情况及评价结论</w:t>
      </w:r>
    </w:p>
    <w:p w14:paraId="444A0E4E">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5B134BC3">
      <w:pPr>
        <w:bidi w:val="0"/>
        <w:rPr>
          <w:rFonts w:hint="eastAsia"/>
          <w:color w:val="auto"/>
          <w:highlight w:val="none"/>
          <w:lang w:eastAsia="zh-CN"/>
        </w:rPr>
      </w:pPr>
      <w:bookmarkStart w:id="14" w:name="_Toc68364666"/>
      <w:r>
        <w:rPr>
          <w:rFonts w:hint="eastAsia"/>
          <w:color w:val="auto"/>
          <w:highlight w:val="none"/>
          <w:lang w:eastAsia="zh-CN"/>
        </w:rPr>
        <w:t>经评价，本项目基本达到了年初设立的绩效目标，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14:paraId="674D0998">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项目立项符合法律法规、相关政策、发展规划以及部门职责，项目申请、设立过程符合相关要求，项目所设定的绩效目标依据充分，符合客观实际，依据绩效目标设定的绩效指标清晰、可衡量，但成本指标不够明确；项目预算编制经过科学论证，资金额度与年度目标相适应，项目预算资金分配有测算依据，与补助单位或地方实际相适应</w:t>
      </w:r>
      <w:r>
        <w:rPr>
          <w:rFonts w:hint="eastAsia"/>
          <w:color w:val="auto"/>
          <w:highlight w:val="none"/>
        </w:rPr>
        <w:t xml:space="preserve">。 </w:t>
      </w:r>
    </w:p>
    <w:p w14:paraId="2A833670">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项目预算资金按照计划执行，项目资金使用符合相关的财务管理制度规定，项目实施单位的财务和业务管理制度健全，项目实施基本符合相关管理规定，但在预算绩效管理制度方面落实不够有效，缺少审核机制。</w:t>
      </w:r>
    </w:p>
    <w:p w14:paraId="28124B8D">
      <w:pPr>
        <w:rPr>
          <w:rFonts w:hint="default"/>
          <w:color w:val="auto"/>
          <w:highlight w:val="none"/>
          <w:lang w:val="en-US" w:eastAsia="zh-CN"/>
        </w:rPr>
      </w:pPr>
      <w:r>
        <w:rPr>
          <w:rFonts w:hint="eastAsia"/>
          <w:color w:val="auto"/>
          <w:highlight w:val="none"/>
          <w:lang w:eastAsia="zh-CN"/>
        </w:rPr>
        <w:t>项目产出和效益方面：</w:t>
      </w:r>
      <w:r>
        <w:rPr>
          <w:rFonts w:hint="eastAsia"/>
          <w:color w:val="auto"/>
          <w:highlight w:val="none"/>
          <w:lang w:val="en-US" w:eastAsia="zh-CN"/>
        </w:rPr>
        <w:t>1、截止到2023年12月31日，本项目已发放宣传资料5600份，切实提高了群众药品安全意识。2、开展药品经营户检查54次，深入开展城乡结合部和农村地区药品质量安全专项整治、医疗机构药械质量安全专项整治、打击制售假劣中药饮片专项行动，切实保障了公众的用药安全。3、利用“3.15”国际消费者权益日、医疗器械安全宣传周等活动，加大了对药械化从业人员的宣传培训力度，已宣传10次，切实规范了药械化经营、使用行为。4、组织各类宣传培训活动，积极推进了消费维权进农村、进社区、进校园活动。5、有效发挥12315平台作用，及时办理投诉举报，维护了消费者合法权益.</w:t>
      </w:r>
    </w:p>
    <w:p w14:paraId="76AA9E02">
      <w:pPr>
        <w:pStyle w:val="5"/>
        <w:bidi w:val="0"/>
        <w:rPr>
          <w:rFonts w:hint="eastAsia"/>
          <w:color w:val="auto"/>
          <w:highlight w:val="none"/>
        </w:rPr>
      </w:pPr>
      <w:r>
        <w:rPr>
          <w:rFonts w:hint="eastAsia"/>
          <w:color w:val="auto"/>
          <w:highlight w:val="none"/>
        </w:rPr>
        <w:t>（二）综合评价结论</w:t>
      </w:r>
    </w:p>
    <w:bookmarkEnd w:id="14"/>
    <w:p w14:paraId="6F16C84E">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97.8分，绩效评级为“优秀”。综合评价结论如下：本项目决策指标共设置6个，满分20分，得分率97%；项目过程指标共设置5个，满分20分，得分率92%；项目产出指标共设置6个，满分24分，得分率100%；项目成本指标共设置2个，满分12分，得分率100%；项目效益指标共设置3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14:paraId="233CAA28">
      <w:pPr>
        <w:pStyle w:val="4"/>
        <w:numPr>
          <w:ilvl w:val="0"/>
          <w:numId w:val="2"/>
        </w:numPr>
        <w:ind w:firstLine="640"/>
        <w:rPr>
          <w:rFonts w:hint="eastAsia"/>
          <w:color w:val="auto"/>
          <w:highlight w:val="none"/>
        </w:rPr>
      </w:pPr>
      <w:r>
        <w:rPr>
          <w:rFonts w:hint="eastAsia"/>
          <w:color w:val="auto"/>
          <w:highlight w:val="none"/>
        </w:rPr>
        <w:t>绩效评价指标分析</w:t>
      </w:r>
    </w:p>
    <w:p w14:paraId="00D68A3B">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14:paraId="7A111341">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19.4</w:t>
      </w:r>
      <w:r>
        <w:rPr>
          <w:rFonts w:hint="eastAsia" w:ascii="仿宋_GB2312" w:hAnsi="仿宋_GB2312" w:cs="仿宋_GB2312"/>
          <w:color w:val="auto"/>
          <w:sz w:val="28"/>
          <w:szCs w:val="28"/>
          <w:highlight w:val="none"/>
        </w:rPr>
        <w:t>分。</w:t>
      </w:r>
    </w:p>
    <w:p w14:paraId="075D6B17">
      <w:pPr>
        <w:pStyle w:val="6"/>
        <w:bidi w:val="0"/>
        <w:rPr>
          <w:rFonts w:hint="eastAsia"/>
          <w:color w:val="auto"/>
          <w:highlight w:val="none"/>
          <w:lang w:val="en-US" w:eastAsia="zh-CN"/>
        </w:rPr>
      </w:pPr>
      <w:r>
        <w:rPr>
          <w:rFonts w:hint="eastAsia"/>
          <w:color w:val="auto"/>
          <w:highlight w:val="none"/>
          <w:lang w:val="en-US" w:eastAsia="zh-CN"/>
        </w:rPr>
        <w:t>1.项目立项情况分析</w:t>
      </w:r>
    </w:p>
    <w:p w14:paraId="7400DF05">
      <w:pPr>
        <w:bidi w:val="0"/>
        <w:rPr>
          <w:rFonts w:hint="eastAsia"/>
          <w:b/>
          <w:bCs/>
          <w:color w:val="auto"/>
          <w:highlight w:val="none"/>
        </w:rPr>
      </w:pPr>
      <w:r>
        <w:rPr>
          <w:rFonts w:hint="eastAsia"/>
          <w:b/>
          <w:bCs/>
          <w:color w:val="auto"/>
          <w:highlight w:val="none"/>
        </w:rPr>
        <w:t>（1）立项依据充分性：</w:t>
      </w:r>
    </w:p>
    <w:p w14:paraId="0839D251">
      <w:pPr>
        <w:bidi w:val="0"/>
        <w:rPr>
          <w:rFonts w:hint="eastAsia"/>
          <w:color w:val="auto"/>
          <w:highlight w:val="none"/>
        </w:rPr>
      </w:pPr>
      <w:r>
        <w:rPr>
          <w:rFonts w:hint="eastAsia"/>
          <w:color w:val="auto"/>
          <w:highlight w:val="none"/>
        </w:rPr>
        <w:t>项目立项符合《</w:t>
      </w:r>
      <w:r>
        <w:rPr>
          <w:rFonts w:hint="eastAsia"/>
          <w:color w:val="auto"/>
          <w:highlight w:val="none"/>
          <w:lang w:val="en-US" w:eastAsia="zh-CN"/>
        </w:rPr>
        <w:t>中华人民共和国食品安全法</w:t>
      </w:r>
      <w:r>
        <w:rPr>
          <w:rFonts w:hint="eastAsia"/>
          <w:color w:val="auto"/>
          <w:highlight w:val="none"/>
        </w:rPr>
        <w:t>》</w:t>
      </w:r>
      <w:r>
        <w:rPr>
          <w:rFonts w:hint="eastAsia"/>
          <w:color w:val="auto"/>
          <w:highlight w:val="none"/>
          <w:lang w:eastAsia="zh-CN"/>
        </w:rPr>
        <w:t>、《中华人民共和国药品管理法》、</w:t>
      </w:r>
      <w:r>
        <w:rPr>
          <w:rFonts w:hint="eastAsia"/>
          <w:color w:val="auto"/>
          <w:highlight w:val="none"/>
        </w:rPr>
        <w:t>《</w:t>
      </w:r>
      <w:r>
        <w:rPr>
          <w:rFonts w:hint="eastAsia"/>
          <w:color w:val="auto"/>
          <w:highlight w:val="none"/>
          <w:lang w:val="en-US" w:eastAsia="zh-CN"/>
        </w:rPr>
        <w:t>中华人民共和国消费者权益保护法</w:t>
      </w:r>
      <w:r>
        <w:rPr>
          <w:rFonts w:hint="eastAsia"/>
          <w:color w:val="auto"/>
          <w:highlight w:val="none"/>
        </w:rPr>
        <w:t>》等国家法律法规</w:t>
      </w:r>
      <w:r>
        <w:rPr>
          <w:rFonts w:hint="eastAsia"/>
          <w:color w:val="auto"/>
          <w:highlight w:val="none"/>
          <w:lang w:eastAsia="zh-CN"/>
        </w:rPr>
        <w:t>，以及</w:t>
      </w:r>
      <w:r>
        <w:rPr>
          <w:rFonts w:hint="eastAsia"/>
          <w:color w:val="auto"/>
          <w:highlight w:val="none"/>
        </w:rPr>
        <w:t>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w:t>
      </w:r>
      <w:r>
        <w:rPr>
          <w:rFonts w:hint="eastAsia"/>
          <w:color w:val="auto"/>
          <w:highlight w:val="none"/>
          <w:lang w:val="en-US" w:eastAsia="zh-CN"/>
        </w:rPr>
        <w:t>自治区药品抽检经费</w:t>
      </w:r>
      <w:r>
        <w:rPr>
          <w:rFonts w:hint="eastAsia"/>
          <w:color w:val="auto"/>
          <w:highlight w:val="none"/>
        </w:rPr>
        <w:t>项目工作这一部门职责范围相符，属于部门履职所需；根据《财政资金直接支付申请书》，本项目资金性质为</w:t>
      </w:r>
      <w:r>
        <w:rPr>
          <w:rFonts w:hint="eastAsia"/>
          <w:color w:val="auto"/>
          <w:highlight w:val="none"/>
          <w:lang w:eastAsia="zh-CN"/>
        </w:rPr>
        <w:t>县级项目</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2013804行政运行支出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0D3584DB">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4AB8B579">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14:paraId="6E940183">
      <w:pPr>
        <w:bidi w:val="0"/>
        <w:rPr>
          <w:rFonts w:hint="eastAsia" w:ascii="Times New Roman" w:hAnsi="Times New Roman"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该项目按照规定的立项程序申请设立；事前已经过必要的集体决策；单位按照程序向县财政局提交了</w:t>
      </w:r>
      <w:r>
        <w:rPr>
          <w:rFonts w:hint="eastAsia" w:ascii="Times New Roman" w:hAnsi="Times New Roman" w:cs="Times New Roman"/>
          <w:b w:val="0"/>
          <w:bCs w:val="0"/>
          <w:color w:val="auto"/>
          <w:kern w:val="2"/>
          <w:sz w:val="28"/>
          <w:szCs w:val="24"/>
          <w:highlight w:val="none"/>
          <w:lang w:val="en-US" w:eastAsia="zh-CN" w:bidi="ar-SA"/>
        </w:rPr>
        <w:t>市场监督管理</w:t>
      </w:r>
      <w:r>
        <w:rPr>
          <w:rFonts w:hint="eastAsia" w:ascii="Times New Roman" w:hAnsi="Times New Roman" w:eastAsia="仿宋_GB2312" w:cs="Times New Roman"/>
          <w:b w:val="0"/>
          <w:bCs w:val="0"/>
          <w:color w:val="auto"/>
          <w:kern w:val="2"/>
          <w:sz w:val="28"/>
          <w:szCs w:val="24"/>
          <w:highlight w:val="none"/>
          <w:lang w:val="en-US" w:eastAsia="zh-CN" w:bidi="ar-SA"/>
        </w:rPr>
        <w:t>综合业务项目经费申请报告、项目资金明细表等相关符合要求的申请材料并通过审批。</w:t>
      </w:r>
    </w:p>
    <w:p w14:paraId="05843917">
      <w:pPr>
        <w:bidi w:val="0"/>
        <w:rPr>
          <w:color w:val="auto"/>
          <w:highlight w:val="none"/>
        </w:rPr>
      </w:pP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17434EB3">
      <w:pPr>
        <w:pStyle w:val="6"/>
        <w:bidi w:val="0"/>
        <w:rPr>
          <w:rFonts w:hint="eastAsia"/>
          <w:color w:val="auto"/>
          <w:highlight w:val="none"/>
          <w:lang w:val="en-US" w:eastAsia="zh-CN"/>
        </w:rPr>
      </w:pPr>
      <w:r>
        <w:rPr>
          <w:rFonts w:hint="eastAsia"/>
          <w:color w:val="auto"/>
          <w:highlight w:val="none"/>
          <w:lang w:val="en-US" w:eastAsia="zh-CN"/>
        </w:rPr>
        <w:t>2.绩效目标情况分析</w:t>
      </w:r>
    </w:p>
    <w:p w14:paraId="5F57012D">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14A29D1A">
      <w:pPr>
        <w:bidi w:val="0"/>
        <w:rPr>
          <w:rFonts w:hint="eastAsia"/>
          <w:color w:val="auto"/>
          <w:highlight w:val="none"/>
          <w:lang w:eastAsia="zh-CN"/>
        </w:rPr>
      </w:pPr>
      <w:r>
        <w:rPr>
          <w:rFonts w:hint="eastAsia"/>
          <w:color w:val="auto"/>
          <w:highlight w:val="none"/>
        </w:rPr>
        <w:t>①本项目已设置年度绩效目标，具体内容为</w:t>
      </w:r>
      <w:r>
        <w:rPr>
          <w:rFonts w:hint="eastAsia"/>
          <w:color w:val="auto"/>
          <w:highlight w:val="none"/>
          <w:lang w:eastAsia="zh-CN"/>
        </w:rPr>
        <w:t>：</w:t>
      </w:r>
    </w:p>
    <w:p w14:paraId="2A6E644C">
      <w:pPr>
        <w:bidi w:val="0"/>
        <w:rPr>
          <w:rFonts w:hint="eastAsia"/>
          <w:color w:val="auto"/>
          <w:highlight w:val="none"/>
          <w:lang w:val="en-US" w:eastAsia="zh-CN"/>
        </w:rPr>
      </w:pPr>
      <w:r>
        <w:rPr>
          <w:rFonts w:hint="eastAsia"/>
          <w:color w:val="auto"/>
          <w:highlight w:val="none"/>
          <w:lang w:val="en-US" w:eastAsia="zh-CN"/>
        </w:rPr>
        <w:t xml:space="preserve">开展对药品、化妆品、医疗器械经营户开展专项检查工作，有力保障“两品一械”质量安全和人民群众用药用械用妆安全，为人民群众的生命健康安全提供有效保障。       </w:t>
      </w:r>
    </w:p>
    <w:p w14:paraId="58EED24F">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593255C2">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14:paraId="3B315B85">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4</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4</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7CB03ECA">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14:paraId="4E309ABE">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355BF01E">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0E0998A2">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14:paraId="6EF9AB46">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我单位原绩效目标表中成本指标未进一步细化，不够明确，根据评分要点扣除0.6分，在部门评价时对成本指标进行了细化完善，其余三级指标</w:t>
      </w:r>
      <w:r>
        <w:rPr>
          <w:rFonts w:hint="eastAsia"/>
          <w:color w:val="auto"/>
          <w:highlight w:val="none"/>
          <w:lang w:eastAsia="zh-CN"/>
        </w:rPr>
        <w:t>通过清晰、可衡量的指标值予以体现；</w:t>
      </w:r>
    </w:p>
    <w:p w14:paraId="20266492">
      <w:pPr>
        <w:bidi w:val="0"/>
        <w:rPr>
          <w:rFonts w:hint="eastAsia"/>
          <w:color w:val="auto"/>
          <w:highlight w:val="none"/>
          <w:lang w:eastAsia="zh-CN"/>
        </w:rPr>
      </w:pPr>
      <w:r>
        <w:rPr>
          <w:rFonts w:hint="eastAsia"/>
          <w:color w:val="auto"/>
          <w:highlight w:val="none"/>
          <w:lang w:eastAsia="zh-CN"/>
        </w:rPr>
        <w:t>③三级指标的年度指标值与年度绩效目标中任务数基本一致。</w:t>
      </w:r>
    </w:p>
    <w:p w14:paraId="314AC54D">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2.4</w:t>
      </w:r>
      <w:r>
        <w:rPr>
          <w:rFonts w:hint="eastAsia" w:ascii="仿宋_GB2312" w:cs="仿宋_GB2312"/>
          <w:color w:val="auto"/>
          <w:szCs w:val="28"/>
          <w:highlight w:val="none"/>
          <w:lang w:eastAsia="zh-CN"/>
        </w:rPr>
        <w:t>分，本项目所设置成本指标不够明确。</w:t>
      </w:r>
    </w:p>
    <w:p w14:paraId="1712282E">
      <w:pPr>
        <w:pStyle w:val="6"/>
        <w:bidi w:val="0"/>
        <w:rPr>
          <w:color w:val="auto"/>
          <w:highlight w:val="none"/>
        </w:rPr>
      </w:pPr>
      <w:r>
        <w:rPr>
          <w:rFonts w:hint="eastAsia"/>
          <w:color w:val="auto"/>
          <w:highlight w:val="none"/>
          <w:lang w:val="en-US" w:eastAsia="zh-CN"/>
        </w:rPr>
        <w:t>3.资金投入情况分析</w:t>
      </w:r>
    </w:p>
    <w:p w14:paraId="2FF2EF6A">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47661008">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14:paraId="4D60CEEC">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药品安全宣传材料印刷费、办公费等</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14:paraId="7DF21BD0">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14:paraId="1BEBBD65">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本项目资金主要用于药品安全宣传资料印刷</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3.188</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val="en-US" w:eastAsia="zh-CN"/>
        </w:rPr>
        <w:t>办公</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0.812</w:t>
      </w:r>
      <w:r>
        <w:rPr>
          <w:rFonts w:hint="eastAsia" w:ascii="仿宋_GB2312" w:cs="仿宋_GB2312"/>
          <w:color w:val="auto"/>
          <w:sz w:val="28"/>
          <w:szCs w:val="28"/>
          <w:highlight w:val="none"/>
        </w:rPr>
        <w:t>万元。预算确定资金量与实际工作任务相匹配。</w:t>
      </w:r>
    </w:p>
    <w:p w14:paraId="39E0DD31">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14:paraId="2C892FD7">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1B07307C">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托财预1号</w:t>
      </w:r>
      <w:r>
        <w:rPr>
          <w:rFonts w:hint="eastAsia" w:ascii="仿宋_GB2312" w:cs="仿宋_GB2312"/>
          <w:color w:val="auto"/>
          <w:sz w:val="28"/>
          <w:szCs w:val="28"/>
          <w:highlight w:val="none"/>
        </w:rPr>
        <w:t>文件为依据进行资金分配，预算资金分配依据充分</w:t>
      </w:r>
      <w:r>
        <w:rPr>
          <w:rFonts w:hint="eastAsia" w:cs="仿宋_GB2312"/>
          <w:color w:val="auto"/>
          <w:sz w:val="28"/>
          <w:szCs w:val="28"/>
          <w:highlight w:val="none"/>
          <w:lang w:eastAsia="zh-CN"/>
        </w:rPr>
        <w:t>。</w:t>
      </w:r>
    </w:p>
    <w:p w14:paraId="0089A456">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p>
    <w:p w14:paraId="482599E8">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14:paraId="56997723">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14:paraId="20CB1E5A">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18.4</w:t>
      </w:r>
      <w:r>
        <w:rPr>
          <w:rFonts w:hint="eastAsia" w:ascii="仿宋_GB2312" w:cs="仿宋_GB2312"/>
          <w:color w:val="auto"/>
          <w:sz w:val="28"/>
          <w:szCs w:val="28"/>
          <w:highlight w:val="none"/>
        </w:rPr>
        <w:t>分。</w:t>
      </w:r>
    </w:p>
    <w:p w14:paraId="17A9C833">
      <w:pPr>
        <w:pStyle w:val="6"/>
        <w:bidi w:val="0"/>
        <w:rPr>
          <w:rFonts w:hint="eastAsia"/>
          <w:color w:val="auto"/>
          <w:highlight w:val="none"/>
          <w:lang w:val="en-US" w:eastAsia="zh-CN"/>
        </w:rPr>
      </w:pPr>
      <w:r>
        <w:rPr>
          <w:rFonts w:hint="eastAsia"/>
          <w:color w:val="auto"/>
          <w:highlight w:val="none"/>
          <w:lang w:val="en-US" w:eastAsia="zh-CN"/>
        </w:rPr>
        <w:t>1.资金管理情况分析</w:t>
      </w:r>
    </w:p>
    <w:p w14:paraId="2A3285B0">
      <w:pPr>
        <w:bidi w:val="0"/>
        <w:rPr>
          <w:rFonts w:hint="eastAsia"/>
          <w:b/>
          <w:bCs/>
          <w:color w:val="auto"/>
          <w:highlight w:val="none"/>
        </w:rPr>
      </w:pPr>
      <w:r>
        <w:rPr>
          <w:rFonts w:hint="eastAsia"/>
          <w:b/>
          <w:bCs/>
          <w:color w:val="auto"/>
          <w:highlight w:val="none"/>
        </w:rPr>
        <w:t>（1）资金到位率：</w:t>
      </w:r>
    </w:p>
    <w:p w14:paraId="37347906">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4</w:t>
      </w:r>
      <w:r>
        <w:rPr>
          <w:rFonts w:hint="eastAsia"/>
          <w:color w:val="auto"/>
          <w:highlight w:val="none"/>
        </w:rPr>
        <w:t>万元，其中：本级财政安排资金</w:t>
      </w:r>
      <w:r>
        <w:rPr>
          <w:rFonts w:hint="eastAsia"/>
          <w:color w:val="auto"/>
          <w:highlight w:val="none"/>
          <w:lang w:val="en-US" w:eastAsia="zh-CN"/>
        </w:rPr>
        <w:t>4</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4</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14:paraId="6E4519C7">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0F121502">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03C02ABB">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0339862A">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3FD94542">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4293A9A1">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市场监督管理局</w:t>
      </w:r>
      <w:r>
        <w:rPr>
          <w:rFonts w:hint="eastAsia"/>
          <w:color w:val="auto"/>
          <w:highlight w:val="none"/>
        </w:rPr>
        <w:t>单位资金管理办法》，资金的拨付有完整的审批程序和手续，资金实际使用方向与预算批复用途一致，不存在截留、挤占、挪用、虚列支出的情况。</w:t>
      </w:r>
    </w:p>
    <w:p w14:paraId="6A734884">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53AE3D23">
      <w:pPr>
        <w:pStyle w:val="6"/>
        <w:bidi w:val="0"/>
        <w:rPr>
          <w:rFonts w:hint="eastAsia"/>
          <w:color w:val="auto"/>
          <w:highlight w:val="none"/>
          <w:lang w:val="en-US" w:eastAsia="zh-CN"/>
        </w:rPr>
      </w:pPr>
      <w:r>
        <w:rPr>
          <w:rFonts w:hint="eastAsia"/>
          <w:color w:val="auto"/>
          <w:highlight w:val="none"/>
          <w:lang w:val="en-US" w:eastAsia="zh-CN"/>
        </w:rPr>
        <w:t>2.组织实施情况分析</w:t>
      </w:r>
    </w:p>
    <w:p w14:paraId="7EA4BF64">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38EF05E1">
      <w:pPr>
        <w:bidi w:val="0"/>
        <w:rPr>
          <w:rFonts w:hint="eastAsia"/>
          <w:color w:val="auto"/>
          <w:highlight w:val="none"/>
        </w:rPr>
      </w:pPr>
      <w:r>
        <w:rPr>
          <w:rFonts w:hint="eastAsia"/>
          <w:color w:val="auto"/>
          <w:highlight w:val="none"/>
        </w:rPr>
        <w:t>我单位已制定《</w:t>
      </w:r>
      <w:r>
        <w:rPr>
          <w:rFonts w:hint="eastAsia"/>
          <w:color w:val="auto"/>
          <w:highlight w:val="none"/>
          <w:lang w:eastAsia="zh-CN"/>
        </w:rPr>
        <w:t>考勤管理</w:t>
      </w:r>
      <w:r>
        <w:rPr>
          <w:rFonts w:hint="eastAsia"/>
          <w:color w:val="auto"/>
          <w:highlight w:val="none"/>
        </w:rPr>
        <w:t>办法》《</w:t>
      </w:r>
      <w:r>
        <w:rPr>
          <w:rFonts w:hint="eastAsia"/>
          <w:color w:val="auto"/>
          <w:highlight w:val="none"/>
          <w:lang w:val="en-US" w:eastAsia="zh-CN"/>
        </w:rPr>
        <w:t>财务</w:t>
      </w:r>
      <w:r>
        <w:rPr>
          <w:rFonts w:hint="eastAsia"/>
          <w:color w:val="auto"/>
          <w:highlight w:val="none"/>
        </w:rPr>
        <w:t>管理制度》《</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eastAsia="zh-CN"/>
        </w:rPr>
        <w:t>《预算绩效管理制度》</w:t>
      </w:r>
      <w:r>
        <w:rPr>
          <w:rFonts w:hint="eastAsia"/>
          <w:color w:val="auto"/>
          <w:highlight w:val="none"/>
        </w:rPr>
        <w:t>等，上述已建立的制度均符合行政事业单位内控管理要求，财务和业务管理制度合法、合规、完整，本项目执行符合上述制度规定。</w:t>
      </w:r>
    </w:p>
    <w:p w14:paraId="09F764B3">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6E51DE51">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0992C21F">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w:t>
      </w:r>
      <w:r>
        <w:rPr>
          <w:rFonts w:hint="eastAsia"/>
          <w:color w:val="auto"/>
          <w:highlight w:val="none"/>
          <w:lang w:eastAsia="zh-CN"/>
        </w:rPr>
        <w:t>的财务</w:t>
      </w:r>
      <w:r>
        <w:rPr>
          <w:rFonts w:hint="eastAsia"/>
          <w:color w:val="auto"/>
          <w:highlight w:val="none"/>
        </w:rPr>
        <w:t>制度</w:t>
      </w:r>
      <w:r>
        <w:rPr>
          <w:rFonts w:hint="eastAsia"/>
          <w:color w:val="auto"/>
          <w:highlight w:val="none"/>
          <w:lang w:eastAsia="zh-CN"/>
        </w:rPr>
        <w:t>、采购制度和业务制度</w:t>
      </w:r>
      <w:r>
        <w:rPr>
          <w:rFonts w:hint="eastAsia"/>
          <w:color w:val="auto"/>
          <w:highlight w:val="none"/>
        </w:rPr>
        <w:t>执行</w:t>
      </w:r>
      <w:r>
        <w:rPr>
          <w:rFonts w:hint="eastAsia"/>
          <w:color w:val="auto"/>
          <w:highlight w:val="none"/>
          <w:lang w:eastAsia="zh-CN"/>
        </w:rPr>
        <w:t>，但对《预算绩效管理制度》落实不够到位，填报的目标表未严格按照审批程序审核，根据评分要点扣除</w:t>
      </w:r>
      <w:r>
        <w:rPr>
          <w:rFonts w:hint="eastAsia"/>
          <w:color w:val="auto"/>
          <w:highlight w:val="none"/>
          <w:lang w:val="en-US" w:eastAsia="zh-CN"/>
        </w:rPr>
        <w:t>1.6分。</w:t>
      </w:r>
      <w:r>
        <w:rPr>
          <w:rFonts w:hint="eastAsia"/>
          <w:color w:val="auto"/>
          <w:highlight w:val="none"/>
        </w:rPr>
        <w:t>。</w:t>
      </w:r>
    </w:p>
    <w:p w14:paraId="7B00F8E7">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2.4</w:t>
      </w:r>
      <w:r>
        <w:rPr>
          <w:rFonts w:hint="eastAsia" w:ascii="仿宋_GB2312" w:cs="仿宋_GB2312"/>
          <w:color w:val="auto"/>
          <w:szCs w:val="28"/>
          <w:highlight w:val="none"/>
        </w:rPr>
        <w:t>分,本项目制度执行</w:t>
      </w:r>
      <w:r>
        <w:rPr>
          <w:rFonts w:hint="eastAsia" w:ascii="仿宋_GB2312" w:cs="仿宋_GB2312"/>
          <w:color w:val="auto"/>
          <w:szCs w:val="28"/>
          <w:highlight w:val="none"/>
          <w:lang w:eastAsia="zh-CN"/>
        </w:rPr>
        <w:t>基本</w:t>
      </w:r>
      <w:r>
        <w:rPr>
          <w:rFonts w:hint="eastAsia" w:ascii="仿宋_GB2312" w:cs="仿宋_GB2312"/>
          <w:color w:val="auto"/>
          <w:szCs w:val="28"/>
          <w:highlight w:val="none"/>
        </w:rPr>
        <w:t>有效</w:t>
      </w:r>
      <w:r>
        <w:rPr>
          <w:rFonts w:hint="eastAsia" w:ascii="仿宋_GB2312" w:hAnsi="Times New Roman" w:cs="仿宋_GB2312"/>
          <w:color w:val="auto"/>
          <w:szCs w:val="28"/>
          <w:highlight w:val="none"/>
          <w:lang w:val="en-US" w:eastAsia="zh-CN"/>
        </w:rPr>
        <w:t>。</w:t>
      </w:r>
    </w:p>
    <w:p w14:paraId="6C855A5B">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14:paraId="33830743">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14:paraId="507631CA">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14:paraId="2721B67B">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各类宣传资料印刷、发放</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5000.0份</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5600份</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57052BA0">
      <w:pPr>
        <w:bidi w:val="0"/>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药品经营户检查次数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50.0次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54次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295676A8">
      <w:pPr>
        <w:bidi w:val="0"/>
        <w:rPr>
          <w:color w:val="auto"/>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法律法规宣传次数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10.0次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71A3CF44">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14:paraId="73FA9EDA">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3F3C0BCB">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药品经营户检查覆盖率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09DA18E8">
      <w:pPr>
        <w:pStyle w:val="6"/>
        <w:bidi w:val="0"/>
        <w:rPr>
          <w:rFonts w:hint="eastAsia"/>
          <w:color w:val="auto"/>
          <w:highlight w:val="none"/>
        </w:rPr>
      </w:pPr>
      <w:r>
        <w:rPr>
          <w:rFonts w:hint="eastAsia"/>
          <w:color w:val="auto"/>
          <w:highlight w:val="none"/>
          <w:lang w:val="en-US" w:eastAsia="zh-CN"/>
        </w:rPr>
        <w:t>3.时效指标完成情况分析</w:t>
      </w:r>
    </w:p>
    <w:p w14:paraId="20A2368C">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项目及时完成率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6EB3E3A7">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14:paraId="50055C4A">
      <w:pPr>
        <w:bidi w:val="0"/>
        <w:rPr>
          <w:rFonts w:hint="default" w:ascii="仿宋_GB2312" w:eastAsia="仿宋_GB2312" w:cs="仿宋_GB2312"/>
          <w:color w:val="auto"/>
          <w:sz w:val="28"/>
          <w:szCs w:val="28"/>
          <w:highlight w:val="none"/>
          <w:lang w:val="en-US" w:eastAsia="zh-CN"/>
        </w:rPr>
      </w:pPr>
      <w:r>
        <w:rPr>
          <w:rFonts w:hint="eastAsia" w:ascii="仿宋_GB2312" w:cs="仿宋_GB2312"/>
          <w:color w:val="auto"/>
          <w:sz w:val="28"/>
          <w:szCs w:val="28"/>
          <w:highlight w:val="none"/>
        </w:rPr>
        <w:t>项目</w:t>
      </w:r>
      <w:r>
        <w:rPr>
          <w:rFonts w:hint="eastAsia" w:ascii="仿宋_GB2312" w:cs="仿宋_GB2312"/>
          <w:color w:val="auto"/>
          <w:sz w:val="28"/>
          <w:szCs w:val="28"/>
          <w:highlight w:val="none"/>
          <w:lang w:val="en-US" w:eastAsia="zh-CN"/>
        </w:rPr>
        <w:t>成本</w:t>
      </w:r>
      <w:r>
        <w:rPr>
          <w:rFonts w:hint="eastAsia" w:ascii="仿宋_GB2312" w:cs="仿宋_GB2312"/>
          <w:color w:val="auto"/>
          <w:sz w:val="28"/>
          <w:szCs w:val="28"/>
          <w:highlight w:val="none"/>
        </w:rPr>
        <w:t>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p>
    <w:p w14:paraId="5D31064E">
      <w:pPr>
        <w:pStyle w:val="6"/>
        <w:bidi w:val="0"/>
        <w:rPr>
          <w:rFonts w:hint="eastAsia"/>
          <w:color w:val="auto"/>
          <w:highlight w:val="none"/>
        </w:rPr>
      </w:pPr>
      <w:r>
        <w:rPr>
          <w:rFonts w:hint="eastAsia"/>
          <w:color w:val="auto"/>
          <w:highlight w:val="none"/>
          <w:lang w:val="en-US" w:eastAsia="zh-CN"/>
        </w:rPr>
        <w:t>1.经济成本指标完成情况分析</w:t>
      </w:r>
    </w:p>
    <w:p w14:paraId="412A83FE">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宣传品印制费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小于等于</w:t>
      </w:r>
      <w:r>
        <w:rPr>
          <w:rFonts w:hint="eastAsia" w:ascii="仿宋_GB2312" w:hAnsi="仿宋_GB2312" w:cs="仿宋_GB2312"/>
          <w:color w:val="auto"/>
          <w:sz w:val="28"/>
          <w:szCs w:val="28"/>
          <w:highlight w:val="none"/>
          <w:lang w:val="en-US" w:eastAsia="zh-CN"/>
        </w:rPr>
        <w:t>3.188万元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3.188万元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5D469A39">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日常办公费支出</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小于等于</w:t>
      </w:r>
      <w:r>
        <w:rPr>
          <w:rFonts w:hint="eastAsia" w:ascii="仿宋_GB2312" w:hAnsi="仿宋_GB2312" w:cs="仿宋_GB2312"/>
          <w:color w:val="auto"/>
          <w:sz w:val="28"/>
          <w:szCs w:val="28"/>
          <w:highlight w:val="none"/>
          <w:lang w:val="en-US" w:eastAsia="zh-CN"/>
        </w:rPr>
        <w:t>0.812万元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0.812万元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0F91C00A">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14:paraId="20271894">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社会效益、服务对象满意度两个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14:paraId="76E872E8">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cs="仿宋_GB2312"/>
          <w:b/>
          <w:bCs/>
          <w:color w:val="auto"/>
          <w:sz w:val="28"/>
          <w:szCs w:val="28"/>
          <w:highlight w:val="none"/>
          <w:lang w:val="en-US" w:eastAsia="zh-CN"/>
        </w:rPr>
        <w:t>1</w:t>
      </w:r>
      <w:r>
        <w:rPr>
          <w:rFonts w:hint="eastAsia" w:ascii="仿宋_GB2312" w:hAnsi="仿宋_GB2312" w:cs="仿宋_GB2312"/>
          <w:b/>
          <w:bCs/>
          <w:color w:val="auto"/>
          <w:sz w:val="28"/>
          <w:szCs w:val="28"/>
          <w:highlight w:val="none"/>
          <w:lang w:val="en-US" w:eastAsia="zh-CN"/>
        </w:rPr>
        <w:t>.</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5C6B623D">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保障用药者的合法权益</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效果显著</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1355D337">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保障公众用药安全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有效保障</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538911D1">
      <w:pPr>
        <w:pStyle w:val="6"/>
        <w:bidi w:val="0"/>
        <w:rPr>
          <w:rFonts w:hint="eastAsia"/>
          <w:color w:val="auto"/>
          <w:highlight w:val="none"/>
          <w:lang w:val="en-US" w:eastAsia="zh-CN"/>
        </w:rPr>
      </w:pPr>
      <w:r>
        <w:rPr>
          <w:rFonts w:hint="eastAsia"/>
          <w:color w:val="auto"/>
          <w:highlight w:val="none"/>
          <w:lang w:val="en-US" w:eastAsia="zh-CN"/>
        </w:rPr>
        <w:t>2.满意度指标完成情况分析</w:t>
      </w:r>
    </w:p>
    <w:p w14:paraId="5F441526">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公众对药品监管满意度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95.0%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98.01%</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bookmarkEnd w:id="15"/>
    </w:p>
    <w:p w14:paraId="53B6AB5E">
      <w:pPr>
        <w:pStyle w:val="4"/>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14:paraId="41616E68">
      <w:pPr>
        <w:bidi w:val="0"/>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全年预算数为4万元，全年到位数为4万元，全年执行数为4万元，预算执行率为100%。</w:t>
      </w:r>
    </w:p>
    <w:p w14:paraId="3B4D0AD8">
      <w:pPr>
        <w:pStyle w:val="2"/>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22</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20个，扣分指标数量2个，经分析计算所有三级指标完成率得出本项目</w:t>
      </w:r>
      <w:r>
        <w:rPr>
          <w:rFonts w:hint="eastAsia"/>
          <w:color w:val="auto"/>
          <w:highlight w:val="none"/>
        </w:rPr>
        <w:t>总体完成率为</w:t>
      </w:r>
      <w:r>
        <w:rPr>
          <w:rFonts w:hint="eastAsia"/>
          <w:color w:val="auto"/>
          <w:highlight w:val="none"/>
          <w:lang w:val="en-US" w:eastAsia="zh-CN"/>
        </w:rPr>
        <w:t>97.27</w:t>
      </w:r>
      <w:r>
        <w:rPr>
          <w:rFonts w:hint="eastAsia"/>
          <w:color w:val="auto"/>
          <w:highlight w:val="none"/>
          <w:lang w:val="zh-TW" w:eastAsia="zh-TW"/>
        </w:rPr>
        <w:t>%。</w:t>
      </w:r>
    </w:p>
    <w:p w14:paraId="6AA708EF">
      <w:pPr>
        <w:pStyle w:val="2"/>
        <w:rPr>
          <w:rFonts w:hint="default"/>
          <w:color w:val="auto"/>
          <w:highlight w:val="none"/>
          <w:lang w:val="zh-TW" w:eastAsia="zh-CN"/>
        </w:rPr>
      </w:pPr>
      <w:r>
        <w:rPr>
          <w:rFonts w:hint="eastAsia"/>
          <w:color w:val="auto"/>
          <w:highlight w:val="none"/>
          <w:lang w:val="en-US" w:eastAsia="zh-CN"/>
        </w:rPr>
        <w:t>综上所述本项目预算执行率与总体完成率之间的偏差为-2.73%。</w:t>
      </w:r>
    </w:p>
    <w:p w14:paraId="137359E1">
      <w:pPr>
        <w:pStyle w:val="4"/>
        <w:ind w:firstLine="640"/>
        <w:rPr>
          <w:color w:val="auto"/>
          <w:highlight w:val="none"/>
        </w:rPr>
      </w:pPr>
      <w:r>
        <w:rPr>
          <w:rFonts w:hint="eastAsia"/>
          <w:color w:val="auto"/>
          <w:highlight w:val="none"/>
          <w:lang w:eastAsia="zh-CN"/>
        </w:rPr>
        <w:t>六</w:t>
      </w:r>
      <w:r>
        <w:rPr>
          <w:rFonts w:hint="eastAsia"/>
          <w:color w:val="auto"/>
          <w:highlight w:val="none"/>
        </w:rPr>
        <w:t>、主要经验及做法</w:t>
      </w:r>
      <w:bookmarkStart w:id="16" w:name="_Toc28290"/>
      <w:bookmarkStart w:id="17" w:name="_Toc1921"/>
    </w:p>
    <w:bookmarkEnd w:id="16"/>
    <w:bookmarkEnd w:id="17"/>
    <w:p w14:paraId="22C25F62">
      <w:pPr>
        <w:pStyle w:val="5"/>
        <w:numPr>
          <w:ilvl w:val="0"/>
          <w:numId w:val="0"/>
        </w:numPr>
        <w:ind w:firstLine="560" w:firstLineChars="200"/>
        <w:rPr>
          <w:rFonts w:hint="eastAsia" w:ascii="Times New Roman" w:hAnsi="Times New Roman" w:eastAsia="仿宋_GB2312" w:cs="Times New Roman"/>
          <w:b w:val="0"/>
          <w:color w:val="auto"/>
          <w:kern w:val="2"/>
          <w:sz w:val="28"/>
          <w:szCs w:val="24"/>
          <w:highlight w:val="none"/>
          <w:lang w:val="en-US" w:eastAsia="zh-CN" w:bidi="ar-SA"/>
        </w:rPr>
      </w:pPr>
      <w:r>
        <w:rPr>
          <w:rFonts w:hint="eastAsia" w:ascii="Times New Roman" w:hAnsi="Times New Roman" w:eastAsia="仿宋_GB2312" w:cs="Times New Roman"/>
          <w:b w:val="0"/>
          <w:color w:val="auto"/>
          <w:kern w:val="2"/>
          <w:sz w:val="28"/>
          <w:szCs w:val="24"/>
          <w:highlight w:val="none"/>
          <w:lang w:val="en-US" w:eastAsia="zh-CN" w:bidi="ar-SA"/>
        </w:rPr>
        <w:t>（一）主要经验及做法</w:t>
      </w:r>
    </w:p>
    <w:p w14:paraId="252EE787">
      <w:pPr>
        <w:pStyle w:val="5"/>
        <w:numPr>
          <w:ilvl w:val="0"/>
          <w:numId w:val="0"/>
        </w:numPr>
        <w:ind w:firstLine="560" w:firstLineChars="200"/>
        <w:rPr>
          <w:rFonts w:hint="eastAsia" w:ascii="Times New Roman" w:hAnsi="Times New Roman" w:eastAsia="仿宋_GB2312" w:cs="Times New Roman"/>
          <w:b w:val="0"/>
          <w:color w:val="auto"/>
          <w:kern w:val="2"/>
          <w:sz w:val="28"/>
          <w:szCs w:val="24"/>
          <w:highlight w:val="none"/>
          <w:lang w:val="en-US" w:eastAsia="zh-CN" w:bidi="ar-SA"/>
        </w:rPr>
      </w:pPr>
      <w:r>
        <w:rPr>
          <w:rFonts w:hint="eastAsia" w:ascii="Times New Roman" w:hAnsi="Times New Roman" w:eastAsia="仿宋_GB2312" w:cs="Times New Roman"/>
          <w:b w:val="0"/>
          <w:color w:val="auto"/>
          <w:kern w:val="2"/>
          <w:sz w:val="28"/>
          <w:szCs w:val="24"/>
          <w:highlight w:val="none"/>
          <w:lang w:val="en-US" w:eastAsia="zh-CN" w:bidi="ar-SA"/>
        </w:rPr>
        <w:t>为确保项目顺利进行，设置了较为明确的目标，项目的目标和指标能够量化和可衡量。在项目实施过程中做好定期监督检查，严格按照项目管理规范进行，在项目资金使用过程中，严格落实把关，按照项目资金使用范围做好审核工作，让项目资金落于实处。在项目完成后，针对存在的问题及时加以整改。</w:t>
      </w:r>
    </w:p>
    <w:p w14:paraId="7F2D50DB">
      <w:pPr>
        <w:pStyle w:val="5"/>
        <w:numPr>
          <w:ilvl w:val="0"/>
          <w:numId w:val="0"/>
        </w:numPr>
        <w:ind w:firstLine="560" w:firstLineChars="200"/>
        <w:rPr>
          <w:rFonts w:hint="eastAsia" w:ascii="Times New Roman" w:hAnsi="Times New Roman" w:eastAsia="仿宋_GB2312" w:cs="Times New Roman"/>
          <w:b w:val="0"/>
          <w:color w:val="auto"/>
          <w:kern w:val="2"/>
          <w:sz w:val="28"/>
          <w:szCs w:val="24"/>
          <w:highlight w:val="none"/>
          <w:lang w:val="en-US" w:eastAsia="zh-CN" w:bidi="ar-SA"/>
        </w:rPr>
      </w:pPr>
      <w:r>
        <w:rPr>
          <w:rFonts w:hint="eastAsia" w:ascii="Times New Roman" w:hAnsi="Times New Roman" w:eastAsia="仿宋_GB2312" w:cs="Times New Roman"/>
          <w:b w:val="0"/>
          <w:color w:val="auto"/>
          <w:kern w:val="2"/>
          <w:sz w:val="28"/>
          <w:szCs w:val="24"/>
          <w:highlight w:val="none"/>
          <w:lang w:val="en-US" w:eastAsia="zh-CN" w:bidi="ar-SA"/>
        </w:rPr>
        <w:t>（二）存在问题及原因分析</w:t>
      </w:r>
    </w:p>
    <w:p w14:paraId="2E255ADD">
      <w:pPr>
        <w:rPr>
          <w:rFonts w:hint="eastAsia"/>
          <w:color w:val="auto"/>
          <w:highlight w:val="none"/>
          <w:lang w:val="en-US" w:eastAsia="zh-CN"/>
        </w:rPr>
      </w:pPr>
      <w:r>
        <w:rPr>
          <w:rFonts w:hint="eastAsia"/>
          <w:color w:val="auto"/>
          <w:highlight w:val="none"/>
          <w:lang w:val="en-US" w:eastAsia="zh-CN"/>
        </w:rPr>
        <w:t>问题1：成本指标未进一步细化，绩效目标填报人员对绩效项目工作不够了解，与项目人员沟通不到位，绩效审核环节有所欠缺。</w:t>
      </w:r>
    </w:p>
    <w:p w14:paraId="0CEE47A6">
      <w:pPr>
        <w:pStyle w:val="2"/>
        <w:rPr>
          <w:rFonts w:hint="eastAsia"/>
          <w:color w:val="auto"/>
          <w:highlight w:val="none"/>
          <w:lang w:val="en-US" w:eastAsia="zh-CN"/>
        </w:rPr>
      </w:pPr>
      <w:r>
        <w:rPr>
          <w:rFonts w:hint="eastAsia"/>
          <w:color w:val="auto"/>
          <w:highlight w:val="none"/>
          <w:lang w:val="en-US" w:eastAsia="zh-CN"/>
        </w:rPr>
        <w:t>原因：绩效管理重视度不够，绩效管理人员缺乏专业知识和技能，缺少相关经验，缺乏明确的战略规划，目标设定过于笼统，绩效评估方式不科学，评估标准和方法不明确，评估人员素质不高。</w:t>
      </w:r>
    </w:p>
    <w:p w14:paraId="6F2BAC2E">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color w:val="auto"/>
          <w:highlight w:val="none"/>
          <w:lang w:val="en-US" w:eastAsia="zh-CN"/>
        </w:rPr>
      </w:pPr>
      <w:r>
        <w:rPr>
          <w:rFonts w:hint="eastAsia"/>
          <w:color w:val="auto"/>
          <w:highlight w:val="none"/>
          <w:lang w:val="en-US" w:eastAsia="zh-CN"/>
        </w:rPr>
        <w:t>问题2：成本指标未进一步细化</w:t>
      </w:r>
      <w:r>
        <w:rPr>
          <w:rFonts w:hint="eastAsia" w:ascii="仿宋_GB2312" w:hAnsi="仿宋_GB2312" w:eastAsia="仿宋_GB2312" w:cs="仿宋_GB2312"/>
          <w:color w:val="auto"/>
          <w:highlight w:val="none"/>
          <w:lang w:val="en-US" w:eastAsia="zh-CN"/>
        </w:rPr>
        <w:t>，</w:t>
      </w:r>
      <w:r>
        <w:rPr>
          <w:rFonts w:hint="eastAsia" w:ascii="仿宋_GB2312" w:hAnsi="仿宋_GB2312" w:cs="仿宋_GB2312"/>
          <w:color w:val="auto"/>
          <w:highlight w:val="none"/>
          <w:lang w:val="en-US" w:eastAsia="zh-CN"/>
        </w:rPr>
        <w:t>将项目总预算作为成本指标，项目预计支出明细不够明确。</w:t>
      </w:r>
    </w:p>
    <w:p w14:paraId="4E56DA2D">
      <w:pPr>
        <w:pStyle w:val="3"/>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原因：项目绩效管理人员素质不高，《预算绩效管理制度》落实不到位，对绩效管理工作理解不到位，对相关制度和流程掌握不够。</w:t>
      </w:r>
    </w:p>
    <w:p w14:paraId="5779C6DD">
      <w:pPr>
        <w:pStyle w:val="4"/>
        <w:ind w:firstLine="640"/>
        <w:rPr>
          <w:color w:val="auto"/>
          <w:highlight w:val="none"/>
        </w:rPr>
      </w:pPr>
      <w:r>
        <w:rPr>
          <w:rFonts w:hint="eastAsia"/>
          <w:color w:val="auto"/>
          <w:highlight w:val="none"/>
          <w:lang w:eastAsia="zh-CN"/>
        </w:rPr>
        <w:t>七</w:t>
      </w:r>
      <w:r>
        <w:rPr>
          <w:rFonts w:hint="eastAsia"/>
          <w:color w:val="auto"/>
          <w:highlight w:val="none"/>
        </w:rPr>
        <w:t>、有关建议</w:t>
      </w:r>
    </w:p>
    <w:p w14:paraId="0A385388">
      <w:pPr>
        <w:pStyle w:val="2"/>
        <w:rPr>
          <w:rFonts w:hint="eastAsia"/>
          <w:color w:val="auto"/>
          <w:highlight w:val="none"/>
          <w:lang w:val="en-US" w:eastAsia="zh-CN"/>
        </w:rPr>
      </w:pPr>
      <w:r>
        <w:rPr>
          <w:rFonts w:hint="eastAsia"/>
          <w:color w:val="auto"/>
          <w:highlight w:val="none"/>
          <w:lang w:val="en-US" w:eastAsia="zh-CN"/>
        </w:rPr>
        <w:t>（一）加强对绩效管理工作的监督，对绩效管理人员开展定期培训和指导，提高绩效管理人员专业知识和技能，设定明确的目标和指标具体、明确、能够量化和可衡量，以确保绩效项目的有效性。</w:t>
      </w:r>
    </w:p>
    <w:p w14:paraId="4CCD9B65">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（二）注重提高项目管理人员素质，避免绩效管理工作制度和流程掌握不够的问题。</w:t>
      </w:r>
    </w:p>
    <w:p w14:paraId="7FA5B12A">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14:paraId="60D51DBF">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14:paraId="008926BF">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14:paraId="47C18E21">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14:paraId="5C064623">
      <w:pPr>
        <w:rPr>
          <w:rFonts w:hint="default"/>
          <w:color w:val="auto"/>
          <w:highlight w:val="none"/>
          <w:lang w:val="en-US" w:eastAsia="zh-CN"/>
        </w:rPr>
      </w:pPr>
    </w:p>
    <w:p w14:paraId="1F495014">
      <w:pPr>
        <w:rPr>
          <w:color w:val="auto"/>
          <w:highlight w:val="none"/>
        </w:rPr>
      </w:pPr>
    </w:p>
    <w:sectPr>
      <w:headerReference r:id="rId5" w:type="default"/>
      <w:footerReference r:id="rId6"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1C297">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2B3F30">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82B3F30">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ABE3E">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xOGNlZDFiOTgzYWVkMjAyNWM3NmE5NzIxOWU4OGIifQ=="/>
  </w:docVars>
  <w:rsids>
    <w:rsidRoot w:val="00000000"/>
    <w:rsid w:val="00D104A8"/>
    <w:rsid w:val="0196601E"/>
    <w:rsid w:val="022E26FA"/>
    <w:rsid w:val="028945F6"/>
    <w:rsid w:val="03A043CE"/>
    <w:rsid w:val="04221DEB"/>
    <w:rsid w:val="04D921EE"/>
    <w:rsid w:val="05241B93"/>
    <w:rsid w:val="055727FC"/>
    <w:rsid w:val="05AA2098"/>
    <w:rsid w:val="05EB6CA2"/>
    <w:rsid w:val="062627B8"/>
    <w:rsid w:val="067F3525"/>
    <w:rsid w:val="06A4006B"/>
    <w:rsid w:val="07247C28"/>
    <w:rsid w:val="08AC4379"/>
    <w:rsid w:val="098B3F8E"/>
    <w:rsid w:val="0A622F41"/>
    <w:rsid w:val="0A650E00"/>
    <w:rsid w:val="0BAF665A"/>
    <w:rsid w:val="0C1552D8"/>
    <w:rsid w:val="0CBF1965"/>
    <w:rsid w:val="0CCA1272"/>
    <w:rsid w:val="0D6671EC"/>
    <w:rsid w:val="0ED8599A"/>
    <w:rsid w:val="0F5106AC"/>
    <w:rsid w:val="0FD06B9F"/>
    <w:rsid w:val="100B233A"/>
    <w:rsid w:val="100D7DF3"/>
    <w:rsid w:val="10433815"/>
    <w:rsid w:val="10513F15"/>
    <w:rsid w:val="116A4DD1"/>
    <w:rsid w:val="12486EC1"/>
    <w:rsid w:val="12CF3C3D"/>
    <w:rsid w:val="12E60488"/>
    <w:rsid w:val="13353E18"/>
    <w:rsid w:val="13806B2E"/>
    <w:rsid w:val="14B051F1"/>
    <w:rsid w:val="14EF7885"/>
    <w:rsid w:val="151F2734"/>
    <w:rsid w:val="157A1C90"/>
    <w:rsid w:val="15D13671"/>
    <w:rsid w:val="15FD5AA9"/>
    <w:rsid w:val="1627221C"/>
    <w:rsid w:val="16A50D85"/>
    <w:rsid w:val="176D662C"/>
    <w:rsid w:val="17A76437"/>
    <w:rsid w:val="17AA0878"/>
    <w:rsid w:val="17B35DB7"/>
    <w:rsid w:val="17BD3EAD"/>
    <w:rsid w:val="17C20FC1"/>
    <w:rsid w:val="17C859B4"/>
    <w:rsid w:val="17DB5C48"/>
    <w:rsid w:val="17F84EE5"/>
    <w:rsid w:val="189C4198"/>
    <w:rsid w:val="18C96881"/>
    <w:rsid w:val="196120AF"/>
    <w:rsid w:val="1A654388"/>
    <w:rsid w:val="1A6A3334"/>
    <w:rsid w:val="1B7725C5"/>
    <w:rsid w:val="1BE340AC"/>
    <w:rsid w:val="1E831280"/>
    <w:rsid w:val="1EBB3FE2"/>
    <w:rsid w:val="1F9A0F77"/>
    <w:rsid w:val="204038CD"/>
    <w:rsid w:val="2208666C"/>
    <w:rsid w:val="2217065D"/>
    <w:rsid w:val="24092228"/>
    <w:rsid w:val="246758CC"/>
    <w:rsid w:val="248D47ED"/>
    <w:rsid w:val="24FF6CC4"/>
    <w:rsid w:val="25467136"/>
    <w:rsid w:val="257007B0"/>
    <w:rsid w:val="267F3256"/>
    <w:rsid w:val="26A420BB"/>
    <w:rsid w:val="27111B1F"/>
    <w:rsid w:val="285E0D94"/>
    <w:rsid w:val="29BF5862"/>
    <w:rsid w:val="2A202079"/>
    <w:rsid w:val="2B395AE8"/>
    <w:rsid w:val="2D940DB4"/>
    <w:rsid w:val="2F52338D"/>
    <w:rsid w:val="2F74678C"/>
    <w:rsid w:val="2FC33BD3"/>
    <w:rsid w:val="314037DA"/>
    <w:rsid w:val="317C672F"/>
    <w:rsid w:val="330E2F4F"/>
    <w:rsid w:val="33184235"/>
    <w:rsid w:val="33337DE1"/>
    <w:rsid w:val="340F3168"/>
    <w:rsid w:val="34313801"/>
    <w:rsid w:val="349B22FF"/>
    <w:rsid w:val="34D54451"/>
    <w:rsid w:val="350F5ABE"/>
    <w:rsid w:val="35496A51"/>
    <w:rsid w:val="35CE2808"/>
    <w:rsid w:val="380B55B6"/>
    <w:rsid w:val="38D96215"/>
    <w:rsid w:val="39330366"/>
    <w:rsid w:val="39897C3B"/>
    <w:rsid w:val="3A086DB2"/>
    <w:rsid w:val="3B180340"/>
    <w:rsid w:val="3CCB0BE1"/>
    <w:rsid w:val="3D393726"/>
    <w:rsid w:val="3DDA2813"/>
    <w:rsid w:val="3E3E6E52"/>
    <w:rsid w:val="3E5C147A"/>
    <w:rsid w:val="3E8D1F7B"/>
    <w:rsid w:val="3F95733A"/>
    <w:rsid w:val="3FA42D9D"/>
    <w:rsid w:val="40F41E3E"/>
    <w:rsid w:val="410302D3"/>
    <w:rsid w:val="411E6F5A"/>
    <w:rsid w:val="413A5D94"/>
    <w:rsid w:val="41BF4055"/>
    <w:rsid w:val="429A07C3"/>
    <w:rsid w:val="42E2191B"/>
    <w:rsid w:val="448259B3"/>
    <w:rsid w:val="44E93C84"/>
    <w:rsid w:val="45195461"/>
    <w:rsid w:val="45401AF6"/>
    <w:rsid w:val="459B6D2C"/>
    <w:rsid w:val="45E2663B"/>
    <w:rsid w:val="460B183E"/>
    <w:rsid w:val="4803505C"/>
    <w:rsid w:val="482C72A3"/>
    <w:rsid w:val="483E600E"/>
    <w:rsid w:val="48FA645F"/>
    <w:rsid w:val="49C4790B"/>
    <w:rsid w:val="4A472E46"/>
    <w:rsid w:val="4A8F7C01"/>
    <w:rsid w:val="4B314EED"/>
    <w:rsid w:val="4B3A2B43"/>
    <w:rsid w:val="4B906C07"/>
    <w:rsid w:val="4B945D75"/>
    <w:rsid w:val="4BF923BF"/>
    <w:rsid w:val="4C787DC7"/>
    <w:rsid w:val="4C8C3872"/>
    <w:rsid w:val="4CF80F08"/>
    <w:rsid w:val="4D040657"/>
    <w:rsid w:val="4E74636C"/>
    <w:rsid w:val="4F2002A2"/>
    <w:rsid w:val="4F4026F2"/>
    <w:rsid w:val="50AA7C40"/>
    <w:rsid w:val="50C335DB"/>
    <w:rsid w:val="50D73DB9"/>
    <w:rsid w:val="51ED4DB3"/>
    <w:rsid w:val="52C55120"/>
    <w:rsid w:val="53381D82"/>
    <w:rsid w:val="53794425"/>
    <w:rsid w:val="539D0113"/>
    <w:rsid w:val="53A771E4"/>
    <w:rsid w:val="53F8370C"/>
    <w:rsid w:val="541676D0"/>
    <w:rsid w:val="55517407"/>
    <w:rsid w:val="56494582"/>
    <w:rsid w:val="56DE4CCA"/>
    <w:rsid w:val="57945CD1"/>
    <w:rsid w:val="57A2219C"/>
    <w:rsid w:val="57E132F0"/>
    <w:rsid w:val="59384672"/>
    <w:rsid w:val="597C6A1D"/>
    <w:rsid w:val="5A3A0ECE"/>
    <w:rsid w:val="5A8B33BB"/>
    <w:rsid w:val="5A930319"/>
    <w:rsid w:val="5AC95C92"/>
    <w:rsid w:val="5B8C3B46"/>
    <w:rsid w:val="5BD42B40"/>
    <w:rsid w:val="5C4279A3"/>
    <w:rsid w:val="5D3970FE"/>
    <w:rsid w:val="5DA27C6B"/>
    <w:rsid w:val="5DAB78D0"/>
    <w:rsid w:val="5E2A6A47"/>
    <w:rsid w:val="5E7128C8"/>
    <w:rsid w:val="5FE570CA"/>
    <w:rsid w:val="61F96E5C"/>
    <w:rsid w:val="62257C51"/>
    <w:rsid w:val="62A878F3"/>
    <w:rsid w:val="6356208C"/>
    <w:rsid w:val="63A252D2"/>
    <w:rsid w:val="63C811DC"/>
    <w:rsid w:val="659A1083"/>
    <w:rsid w:val="66237635"/>
    <w:rsid w:val="662A7F2C"/>
    <w:rsid w:val="66DD73C2"/>
    <w:rsid w:val="676B0ACE"/>
    <w:rsid w:val="67A71109"/>
    <w:rsid w:val="693A1BAB"/>
    <w:rsid w:val="69DF498D"/>
    <w:rsid w:val="69F92A72"/>
    <w:rsid w:val="6B6317EA"/>
    <w:rsid w:val="6B735ED1"/>
    <w:rsid w:val="6B901B90"/>
    <w:rsid w:val="6CCB7647"/>
    <w:rsid w:val="6CD36E77"/>
    <w:rsid w:val="6E8B7C84"/>
    <w:rsid w:val="6EE63285"/>
    <w:rsid w:val="6F3E05A4"/>
    <w:rsid w:val="6FE56C72"/>
    <w:rsid w:val="70313C65"/>
    <w:rsid w:val="70E662CE"/>
    <w:rsid w:val="715F4802"/>
    <w:rsid w:val="71864485"/>
    <w:rsid w:val="722E2B52"/>
    <w:rsid w:val="72C47C4F"/>
    <w:rsid w:val="72F43087"/>
    <w:rsid w:val="730B69EF"/>
    <w:rsid w:val="730D09BA"/>
    <w:rsid w:val="7329331A"/>
    <w:rsid w:val="73700F48"/>
    <w:rsid w:val="7370132F"/>
    <w:rsid w:val="743401C8"/>
    <w:rsid w:val="743B50B2"/>
    <w:rsid w:val="75774810"/>
    <w:rsid w:val="777079EF"/>
    <w:rsid w:val="7778661E"/>
    <w:rsid w:val="77C83101"/>
    <w:rsid w:val="7836450F"/>
    <w:rsid w:val="7856695F"/>
    <w:rsid w:val="796E5CAB"/>
    <w:rsid w:val="798415CC"/>
    <w:rsid w:val="7AE00762"/>
    <w:rsid w:val="7AEC4152"/>
    <w:rsid w:val="7B4F7695"/>
    <w:rsid w:val="7B825CBD"/>
    <w:rsid w:val="7BFE5EA5"/>
    <w:rsid w:val="7C1547D1"/>
    <w:rsid w:val="7C2B3C5E"/>
    <w:rsid w:val="7C715DD6"/>
    <w:rsid w:val="7C9C3264"/>
    <w:rsid w:val="7D171F25"/>
    <w:rsid w:val="7D230DDA"/>
    <w:rsid w:val="7E154BC6"/>
    <w:rsid w:val="7E484F9C"/>
    <w:rsid w:val="7E865AC4"/>
    <w:rsid w:val="7ED24865"/>
    <w:rsid w:val="7EE34CC4"/>
    <w:rsid w:val="7F737D01"/>
    <w:rsid w:val="7FA02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8773</Words>
  <Characters>9431</Characters>
  <Lines>0</Lines>
  <Paragraphs>0</Paragraphs>
  <TotalTime>16</TotalTime>
  <ScaleCrop>false</ScaleCrop>
  <LinksUpToDate>false</LinksUpToDate>
  <CharactersWithSpaces>9435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€羽墨</cp:lastModifiedBy>
  <dcterms:modified xsi:type="dcterms:W3CDTF">2024-11-19T08:19:00Z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60DD2C802D114C81B3758316795F5C97_12</vt:lpwstr>
  </property>
</Properties>
</file>