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36"/>
          <w:szCs w:val="36"/>
          <w:highlight w:val="none"/>
        </w:rPr>
      </w:pPr>
      <w:bookmarkStart w:id="18" w:name="_GoBack"/>
      <w:bookmarkEnd w:id="18"/>
    </w:p>
    <w:p>
      <w:pPr>
        <w:spacing w:line="240" w:lineRule="atLeast"/>
        <w:ind w:left="0" w:leftChars="0" w:firstLine="0" w:firstLineChars="0"/>
        <w:jc w:val="center"/>
        <w:rPr>
          <w:rFonts w:hint="eastAsia" w:ascii="黑体" w:hAnsi="黑体" w:eastAsia="黑体" w:cs="黑体"/>
          <w:b/>
          <w:bCs/>
          <w:color w:val="auto"/>
          <w:sz w:val="40"/>
          <w:szCs w:val="40"/>
          <w:highlight w:val="none"/>
        </w:rPr>
      </w:pPr>
    </w:p>
    <w:p>
      <w:pPr>
        <w:spacing w:line="240" w:lineRule="atLeast"/>
        <w:ind w:left="0" w:leftChars="0" w:firstLine="0" w:firstLineChars="0"/>
        <w:jc w:val="center"/>
        <w:rPr>
          <w:rFonts w:hint="eastAsia" w:ascii="黑体" w:hAnsi="黑体" w:eastAsia="黑体" w:cs="黑体"/>
          <w:b/>
          <w:bCs/>
          <w:color w:val="auto"/>
          <w:sz w:val="40"/>
          <w:szCs w:val="40"/>
          <w:highlight w:val="none"/>
        </w:rPr>
      </w:pPr>
    </w:p>
    <w:p>
      <w:pPr>
        <w:spacing w:line="240" w:lineRule="atLeast"/>
        <w:ind w:left="0" w:leftChars="0" w:firstLine="0" w:firstLineChars="0"/>
        <w:jc w:val="center"/>
        <w:rPr>
          <w:rFonts w:hint="eastAsia"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lang w:val="en-US" w:eastAsia="zh-CN"/>
        </w:rPr>
        <w:t>托克逊县库米什镇柯尔克孜铁米村人居环境整治项目</w:t>
      </w:r>
      <w:r>
        <w:rPr>
          <w:rFonts w:hint="eastAsia" w:ascii="黑体" w:hAnsi="黑体" w:eastAsia="黑体" w:cs="黑体"/>
          <w:b/>
          <w:bCs/>
          <w:color w:val="auto"/>
          <w:sz w:val="40"/>
          <w:szCs w:val="40"/>
          <w:highlight w:val="none"/>
        </w:rPr>
        <w:t>支出绩效评价报告</w:t>
      </w: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uto"/>
        <w:ind w:left="0" w:leftChars="0" w:firstLine="0" w:firstLineChars="0"/>
        <w:jc w:val="both"/>
        <w:rPr>
          <w:rFonts w:ascii="宋体" w:hAnsi="宋体" w:eastAsia="宋体" w:cs="Arial"/>
          <w:b/>
          <w:bCs/>
          <w:color w:val="auto"/>
          <w:sz w:val="36"/>
          <w:szCs w:val="36"/>
          <w:highlight w:val="none"/>
        </w:rPr>
      </w:pPr>
    </w:p>
    <w:p>
      <w:pPr>
        <w:pStyle w:val="5"/>
        <w:rPr>
          <w:color w:val="auto"/>
          <w:highlight w:val="none"/>
        </w:rPr>
      </w:pPr>
    </w:p>
    <w:p>
      <w:pPr>
        <w:spacing w:line="360" w:lineRule="auto"/>
        <w:ind w:firstLine="600"/>
        <w:rPr>
          <w:rFonts w:hint="eastAsia" w:ascii="黑体" w:hAnsi="Times New Roman" w:eastAsia="黑体" w:cs="Times New Roman"/>
          <w:color w:val="auto"/>
          <w:sz w:val="32"/>
          <w:szCs w:val="32"/>
          <w:highlight w:val="none"/>
        </w:rPr>
      </w:pPr>
      <w:r>
        <w:rPr>
          <w:rFonts w:hint="eastAsia" w:ascii="黑体" w:eastAsia="黑体"/>
          <w:color w:val="auto"/>
          <w:sz w:val="32"/>
          <w:szCs w:val="32"/>
          <w:highlight w:val="none"/>
        </w:rPr>
        <w:t>项目名称：</w:t>
      </w:r>
      <w:r>
        <w:rPr>
          <w:rFonts w:hint="eastAsia" w:ascii="黑体" w:eastAsia="黑体" w:cs="Times New Roman"/>
          <w:color w:val="auto"/>
          <w:sz w:val="32"/>
          <w:szCs w:val="32"/>
          <w:highlight w:val="none"/>
          <w:lang w:val="en-US" w:eastAsia="zh-CN"/>
        </w:rPr>
        <w:t>库米什镇柯尔克孜铁米村人居环境整治项目</w:t>
      </w:r>
    </w:p>
    <w:p>
      <w:pPr>
        <w:spacing w:line="700" w:lineRule="exact"/>
        <w:jc w:val="left"/>
        <w:rPr>
          <w:rFonts w:hint="eastAsia" w:hAnsi="宋体" w:eastAsia="仿宋_GB2312" w:cs="宋体"/>
          <w:color w:val="auto"/>
          <w:kern w:val="0"/>
          <w:sz w:val="36"/>
          <w:szCs w:val="36"/>
          <w:highlight w:val="none"/>
          <w:lang w:eastAsia="zh-CN"/>
        </w:rPr>
      </w:pPr>
      <w:r>
        <w:rPr>
          <w:rFonts w:hint="eastAsia" w:ascii="黑体" w:eastAsia="黑体"/>
          <w:color w:val="auto"/>
          <w:sz w:val="32"/>
          <w:szCs w:val="32"/>
          <w:highlight w:val="none"/>
        </w:rPr>
        <w:t>实施单位（公章）：</w:t>
      </w:r>
      <w:r>
        <w:rPr>
          <w:rFonts w:hint="eastAsia" w:ascii="黑体" w:hAnsi="Times New Roman" w:eastAsia="黑体" w:cs="Times New Roman"/>
          <w:color w:val="auto"/>
          <w:sz w:val="32"/>
          <w:szCs w:val="32"/>
          <w:highlight w:val="none"/>
          <w:lang w:val="en-US" w:eastAsia="zh-CN"/>
        </w:rPr>
        <w:t>库米什镇人民政府</w:t>
      </w:r>
    </w:p>
    <w:p>
      <w:pPr>
        <w:spacing w:line="700" w:lineRule="exact"/>
        <w:jc w:val="left"/>
        <w:rPr>
          <w:rFonts w:hint="eastAsia" w:ascii="黑体" w:hAnsi="Times New Roman" w:eastAsia="黑体" w:cs="Times New Roman"/>
          <w:color w:val="auto"/>
          <w:sz w:val="32"/>
          <w:szCs w:val="32"/>
          <w:highlight w:val="none"/>
          <w:lang w:val="en-US" w:eastAsia="zh-CN"/>
        </w:rPr>
      </w:pPr>
      <w:r>
        <w:rPr>
          <w:rFonts w:hint="eastAsia" w:ascii="黑体" w:eastAsia="黑体"/>
          <w:color w:val="auto"/>
          <w:sz w:val="32"/>
          <w:szCs w:val="32"/>
          <w:highlight w:val="none"/>
        </w:rPr>
        <w:t>项目负责人（签章）：</w:t>
      </w:r>
      <w:r>
        <w:rPr>
          <w:rFonts w:hint="eastAsia" w:ascii="黑体" w:hAnsi="Times New Roman" w:eastAsia="黑体" w:cs="Times New Roman"/>
          <w:color w:val="auto"/>
          <w:sz w:val="32"/>
          <w:szCs w:val="32"/>
          <w:highlight w:val="none"/>
          <w:lang w:val="en-US" w:eastAsia="zh-CN"/>
        </w:rPr>
        <w:t>吾买尔·艾合买提</w:t>
      </w:r>
    </w:p>
    <w:p>
      <w:pPr>
        <w:spacing w:line="360" w:lineRule="auto"/>
        <w:ind w:firstLine="600"/>
        <w:rPr>
          <w:rFonts w:hint="default" w:ascii="黑体" w:eastAsia="黑体"/>
          <w:color w:val="auto"/>
          <w:sz w:val="30"/>
          <w:szCs w:val="30"/>
          <w:highlight w:val="none"/>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cols w:space="720" w:num="1"/>
          <w:docGrid w:type="lines" w:linePitch="408" w:charSpace="0"/>
        </w:sectPr>
      </w:pPr>
      <w:r>
        <w:rPr>
          <w:rFonts w:hint="eastAsia" w:ascii="黑体" w:eastAsia="黑体"/>
          <w:color w:val="auto"/>
          <w:sz w:val="32"/>
          <w:szCs w:val="32"/>
          <w:highlight w:val="none"/>
        </w:rPr>
        <w:t>填报时间：202</w:t>
      </w:r>
      <w:r>
        <w:rPr>
          <w:rFonts w:hint="eastAsia" w:ascii="黑体" w:eastAsia="黑体"/>
          <w:color w:val="auto"/>
          <w:sz w:val="32"/>
          <w:szCs w:val="32"/>
          <w:highlight w:val="none"/>
          <w:lang w:val="en-US" w:eastAsia="zh-CN"/>
        </w:rPr>
        <w:t>4</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月</w:t>
      </w:r>
      <w:r>
        <w:rPr>
          <w:rFonts w:hint="eastAsia" w:ascii="黑体" w:eastAsia="黑体"/>
          <w:color w:val="auto"/>
          <w:sz w:val="32"/>
          <w:szCs w:val="32"/>
          <w:highlight w:val="none"/>
          <w:lang w:val="en-US" w:eastAsia="zh-CN"/>
        </w:rPr>
        <w:t>15日</w:t>
      </w:r>
    </w:p>
    <w:p>
      <w:pPr>
        <w:spacing w:line="360" w:lineRule="auto"/>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lang w:val="en-US" w:eastAsia="zh-CN"/>
        </w:rPr>
        <w:t>托克逊县库米什镇柯尔克孜铁米村人居环境整治项目</w:t>
      </w:r>
      <w:r>
        <w:rPr>
          <w:rFonts w:hint="eastAsia" w:ascii="黑体" w:hAnsi="黑体" w:eastAsia="黑体" w:cs="黑体"/>
          <w:b/>
          <w:bCs/>
          <w:color w:val="auto"/>
          <w:sz w:val="36"/>
          <w:szCs w:val="36"/>
          <w:highlight w:val="none"/>
        </w:rPr>
        <w:t>支出绩效评价报告</w:t>
      </w:r>
    </w:p>
    <w:p>
      <w:pPr>
        <w:pStyle w:val="3"/>
        <w:ind w:firstLine="640"/>
        <w:rPr>
          <w:rFonts w:hint="eastAsia"/>
          <w:color w:val="auto"/>
          <w:highlight w:val="none"/>
        </w:rPr>
      </w:pPr>
    </w:p>
    <w:p>
      <w:pPr>
        <w:pStyle w:val="3"/>
        <w:ind w:firstLine="640"/>
        <w:rPr>
          <w:color w:val="auto"/>
          <w:highlight w:val="none"/>
        </w:rPr>
      </w:pPr>
      <w:r>
        <w:rPr>
          <w:rFonts w:hint="eastAsia"/>
          <w:color w:val="auto"/>
          <w:highlight w:val="none"/>
        </w:rPr>
        <w:t>一、基本情况</w:t>
      </w:r>
    </w:p>
    <w:p>
      <w:pPr>
        <w:pStyle w:val="4"/>
        <w:ind w:firstLine="643"/>
        <w:rPr>
          <w:color w:val="auto"/>
          <w:highlight w:val="none"/>
        </w:rPr>
      </w:pPr>
      <w:r>
        <w:rPr>
          <w:rFonts w:hint="eastAsia"/>
          <w:color w:val="auto"/>
          <w:highlight w:val="none"/>
        </w:rPr>
        <w:t>（一）项目概况</w:t>
      </w:r>
    </w:p>
    <w:p>
      <w:pPr>
        <w:pStyle w:val="5"/>
        <w:ind w:firstLine="562"/>
        <w:rPr>
          <w:color w:val="auto"/>
          <w:sz w:val="32"/>
          <w:szCs w:val="36"/>
          <w:highlight w:val="none"/>
        </w:rPr>
      </w:pPr>
      <w:r>
        <w:rPr>
          <w:rFonts w:hint="eastAsia"/>
          <w:color w:val="auto"/>
          <w:sz w:val="32"/>
          <w:szCs w:val="36"/>
          <w:highlight w:val="none"/>
        </w:rPr>
        <w:t>1.项目背景</w:t>
      </w:r>
    </w:p>
    <w:p>
      <w:pPr>
        <w:spacing w:line="360" w:lineRule="auto"/>
        <w:ind w:firstLine="6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以习近平新时代中国特色社会主义思想为指导，贯彻落实党的十九届六中全会、中央经济工作会议、第三次中央新疆工作座谈会精神，完整准确全面贯彻新时代党的治疆方略特别是社会稳定和长治久安总目标，立足新发展阶段、贯彻新发展理念、构建新发展格局，以培育农业服务业战略性大产业为目标，以聚焦农业生产薄弱环节和服务小农户为重点，大力培育支撑高质量发展的农业社会化服务主体，发展以农业生产托管为主的农业社会化服务，引领农业生产经营专业化、标准化、集约化和绿色化，促进小农户和现代农业发展有机衔接，为巩固拓展脱贫攻坚成果、全面推进乡村振兴、加快农业农村现代化提供有力支撑。紧紧围绕贯彻落实2022年中央一号文件精神，根据《农业农村部、财政部关于做好2022年农业生产发展等项目实施工作的通知》（农计财发〔2022〕13号）、2022年自治区《关于印发2022年国家现代农业产业园等13个项目实施方案的通知》（新农计函〔2022〕954号）、托克逊县财政局《关于提前下达2023年中央农业生产发展资金预算的通知》（托财农[2023]10号）文件要求和市农业农村局工作部署，扎实推进2022年全县棉花产业发展工作，顺利完成目标任务，确保项目资金使用规范，发挥实效。托克逊县库米什镇柯尔克孜铁米村人居环境整治项目资金总额30万元，资金均按照相关资金文件及预算批复，按照预期进度开展。</w:t>
      </w:r>
    </w:p>
    <w:p>
      <w:pPr>
        <w:pStyle w:val="5"/>
        <w:ind w:firstLine="562"/>
        <w:rPr>
          <w:rFonts w:hint="eastAsia" w:cs="Times New Roman"/>
          <w:color w:val="auto"/>
          <w:sz w:val="32"/>
          <w:szCs w:val="36"/>
          <w:highlight w:val="none"/>
        </w:rPr>
      </w:pPr>
      <w:r>
        <w:rPr>
          <w:rFonts w:hint="eastAsia" w:cs="Times New Roman"/>
          <w:color w:val="auto"/>
          <w:sz w:val="32"/>
          <w:szCs w:val="36"/>
          <w:highlight w:val="none"/>
        </w:rPr>
        <w:t>2.项目实施主体</w:t>
      </w:r>
    </w:p>
    <w:p>
      <w:pPr>
        <w:ind w:firstLine="562"/>
        <w:rPr>
          <w:rFonts w:hint="eastAsia" w:ascii="楷体_GB2312" w:hAnsi="楷体_GB2312" w:eastAsia="楷体_GB2312" w:cs="楷体_GB2312"/>
          <w:b/>
          <w:color w:val="auto"/>
          <w:highlight w:val="none"/>
        </w:rPr>
      </w:pPr>
      <w:r>
        <w:rPr>
          <w:rFonts w:hint="eastAsia" w:ascii="楷体_GB2312" w:hAnsi="楷体_GB2312" w:eastAsia="楷体_GB2312" w:cs="楷体_GB2312"/>
          <w:b/>
          <w:color w:val="auto"/>
          <w:highlight w:val="none"/>
        </w:rPr>
        <w:t>（</w:t>
      </w:r>
      <w:r>
        <w:rPr>
          <w:rFonts w:hint="eastAsia" w:ascii="楷体_GB2312" w:hAnsi="楷体_GB2312" w:eastAsia="楷体_GB2312" w:cs="楷体_GB2312"/>
          <w:b/>
          <w:color w:val="auto"/>
          <w:highlight w:val="none"/>
          <w:lang w:val="en-US" w:eastAsia="zh-CN"/>
        </w:rPr>
        <w:t>一</w:t>
      </w:r>
      <w:r>
        <w:rPr>
          <w:rFonts w:hint="eastAsia" w:ascii="楷体_GB2312" w:hAnsi="楷体_GB2312" w:eastAsia="楷体_GB2312" w:cs="楷体_GB2312"/>
          <w:b/>
          <w:color w:val="auto"/>
          <w:highlight w:val="none"/>
        </w:rPr>
        <w:t>）单位职能</w:t>
      </w:r>
    </w:p>
    <w:p>
      <w:pPr>
        <w:spacing w:line="560" w:lineRule="exact"/>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托克逊县库米什镇人民政府为参照公务员法管理的正科级单位，我局位于库米什镇丝绸东路1号，办公用房建筑面积400平方米，库米什镇人民政府的主要职责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制定并组织实施村镇建设规划，部署重点工程建设，地方道路建设及公共设施，水利设施的管理，负责土地、林木、水等自然资源和生态环境的保护，做好护林防火工作。负责本行政区域内的民政、计划生育、文化教育、卫生、体育等社会公益事业的综合性工作，维护一切经济单位和个人的正当经济权益，取缔非法经济活动，调解和处理民事纠纷，打击刑事犯罪维护社会稳定。按计划组织本级财政收入和地方税的征收，完成国家财政计划，不断培植税源，管好财政资金，增强财政实力。抓好精神文明建设，丰富群众文化生活，提倡移风易俗，反对封建迷信，破除陈规陋习，树立社会主义新风尚。完成县委、县人民政府交办的其他任务。</w:t>
      </w:r>
    </w:p>
    <w:p>
      <w:pPr>
        <w:ind w:firstLine="562"/>
        <w:rPr>
          <w:rFonts w:hint="eastAsia" w:ascii="楷体_GB2312" w:hAnsi="楷体_GB2312" w:eastAsia="楷体_GB2312" w:cs="楷体_GB2312"/>
          <w:b/>
          <w:color w:val="auto"/>
          <w:highlight w:val="none"/>
          <w:lang w:eastAsia="zh-CN"/>
        </w:rPr>
      </w:pPr>
      <w:r>
        <w:rPr>
          <w:rFonts w:hint="eastAsia" w:ascii="楷体_GB2312" w:hAnsi="楷体_GB2312" w:eastAsia="楷体_GB2312" w:cs="楷体_GB2312"/>
          <w:b/>
          <w:color w:val="auto"/>
          <w:highlight w:val="none"/>
        </w:rPr>
        <w:t>（</w:t>
      </w:r>
      <w:r>
        <w:rPr>
          <w:rFonts w:hint="eastAsia" w:ascii="楷体_GB2312" w:hAnsi="楷体_GB2312" w:eastAsia="楷体_GB2312" w:cs="楷体_GB2312"/>
          <w:b/>
          <w:color w:val="auto"/>
          <w:highlight w:val="none"/>
          <w:lang w:val="en-US" w:eastAsia="zh-CN"/>
        </w:rPr>
        <w:t>二</w:t>
      </w:r>
      <w:r>
        <w:rPr>
          <w:rFonts w:hint="eastAsia" w:ascii="楷体_GB2312" w:hAnsi="楷体_GB2312" w:eastAsia="楷体_GB2312" w:cs="楷体_GB2312"/>
          <w:b/>
          <w:color w:val="auto"/>
          <w:highlight w:val="none"/>
        </w:rPr>
        <w:t>）</w:t>
      </w:r>
      <w:r>
        <w:rPr>
          <w:rFonts w:hint="eastAsia" w:ascii="楷体_GB2312" w:hAnsi="楷体_GB2312" w:eastAsia="楷体_GB2312" w:cs="楷体_GB2312"/>
          <w:b/>
          <w:color w:val="auto"/>
          <w:highlight w:val="none"/>
          <w:lang w:val="en-US" w:eastAsia="zh-CN"/>
        </w:rPr>
        <w:t>机构设置及</w:t>
      </w:r>
      <w:r>
        <w:rPr>
          <w:rFonts w:hint="eastAsia" w:ascii="楷体_GB2312" w:hAnsi="楷体_GB2312" w:eastAsia="楷体_GB2312" w:cs="楷体_GB2312"/>
          <w:b/>
          <w:color w:val="auto"/>
          <w:highlight w:val="none"/>
          <w:lang w:eastAsia="zh-CN"/>
        </w:rPr>
        <w:t>人员情况</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托克逊县库米什镇人民政府共设有6个科室，主要有：党政办公室,组织办，综合治理中心，经济发展中心，社会保障民生服务中心，农林兽发展中心。单位人员编制数共61人，年初实有在职人员45人，退休人员0人。年末实有在职人数44人，退休人员1人。</w:t>
      </w:r>
    </w:p>
    <w:p>
      <w:pPr>
        <w:pStyle w:val="5"/>
        <w:ind w:firstLine="562"/>
        <w:rPr>
          <w:rFonts w:hint="eastAsia" w:cs="Times New Roman"/>
          <w:color w:val="auto"/>
          <w:sz w:val="32"/>
          <w:szCs w:val="36"/>
          <w:highlight w:val="none"/>
        </w:rPr>
      </w:pPr>
      <w:r>
        <w:rPr>
          <w:rFonts w:hint="eastAsia" w:cs="Times New Roman"/>
          <w:color w:val="auto"/>
          <w:sz w:val="32"/>
          <w:szCs w:val="36"/>
          <w:highlight w:val="none"/>
          <w:lang w:val="en-US" w:eastAsia="zh-CN"/>
        </w:rPr>
        <w:t>3</w:t>
      </w:r>
      <w:r>
        <w:rPr>
          <w:rFonts w:hint="eastAsia" w:cs="Times New Roman"/>
          <w:color w:val="auto"/>
          <w:sz w:val="32"/>
          <w:szCs w:val="36"/>
          <w:highlight w:val="none"/>
        </w:rPr>
        <w:t>.主要内容及实施情况</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项目名称：托克逊县库米什镇柯尔克孜铁米村人居环境整治项目</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项目主要内容：在计划柯尔克孜贴米村采购安装太阳能路灯35盏，采购东风5方多功能洒水车1台。共30万元，进一步加强农村人居环境整治，解决农村脏乱差的现象，改善生活环境质量。通过实施该项目，农户增收渠道，使农户脱贫致富，可解决居住农户的交通照明问题，有利于人民群众致富奔小康，全面建设社会主义新农村。</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项目实施时间：本项目实施时间为2023年4月-2023年7月</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项目实施情况：在柯尔克孜贴米村完成采购安装太阳能路灯40盏，完成采购东风5方多功能洒水车1台。</w:t>
      </w:r>
    </w:p>
    <w:p>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left="0" w:leftChars="0" w:firstLine="562" w:firstLineChars="200"/>
        <w:jc w:val="both"/>
        <w:textAlignment w:val="baseline"/>
        <w:rPr>
          <w:rFonts w:hint="eastAsia" w:ascii="宋体" w:hAnsi="宋体" w:eastAsia="宋体" w:cs="宋体"/>
          <w:b/>
          <w:bCs/>
          <w:i w:val="0"/>
          <w:caps w:val="0"/>
          <w:color w:val="auto"/>
          <w:spacing w:val="0"/>
          <w:w w:val="100"/>
          <w:sz w:val="28"/>
          <w:szCs w:val="28"/>
          <w:highlight w:val="none"/>
          <w:lang w:val="en-US" w:eastAsia="zh-CN"/>
        </w:rPr>
      </w:pPr>
      <w:r>
        <w:rPr>
          <w:rFonts w:hint="eastAsia" w:ascii="宋体" w:hAnsi="宋体" w:eastAsia="宋体" w:cs="宋体"/>
          <w:b/>
          <w:bCs/>
          <w:i w:val="0"/>
          <w:caps w:val="0"/>
          <w:color w:val="auto"/>
          <w:spacing w:val="0"/>
          <w:w w:val="100"/>
          <w:sz w:val="28"/>
          <w:szCs w:val="28"/>
          <w:highlight w:val="none"/>
          <w:lang w:val="en-US" w:eastAsia="zh-CN"/>
        </w:rPr>
        <w:t>（1）确定采购和关键环节。</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按照库米什镇实际情况，确定为新疆金海畅想汽车销售服务有限公司下单单位，</w:t>
      </w:r>
      <w:r>
        <w:rPr>
          <w:rFonts w:hint="default" w:ascii="宋体" w:hAnsi="宋体" w:eastAsia="宋体" w:cs="宋体"/>
          <w:b w:val="0"/>
          <w:bCs w:val="0"/>
          <w:color w:val="auto"/>
          <w:szCs w:val="28"/>
          <w:highlight w:val="none"/>
          <w:lang w:val="en-US" w:eastAsia="zh-CN"/>
        </w:rPr>
        <w:t>金额为</w:t>
      </w:r>
      <w:r>
        <w:rPr>
          <w:rFonts w:hint="eastAsia" w:ascii="宋体" w:hAnsi="宋体" w:eastAsia="宋体" w:cs="宋体"/>
          <w:b w:val="0"/>
          <w:bCs w:val="0"/>
          <w:color w:val="auto"/>
          <w:szCs w:val="28"/>
          <w:highlight w:val="none"/>
          <w:lang w:val="en-US" w:eastAsia="zh-CN"/>
        </w:rPr>
        <w:t>14.0525万</w:t>
      </w:r>
      <w:r>
        <w:rPr>
          <w:rFonts w:hint="default" w:ascii="宋体" w:hAnsi="宋体" w:eastAsia="宋体" w:cs="宋体"/>
          <w:b w:val="0"/>
          <w:bCs w:val="0"/>
          <w:color w:val="auto"/>
          <w:szCs w:val="28"/>
          <w:highlight w:val="none"/>
          <w:lang w:val="en-US" w:eastAsia="zh-CN"/>
        </w:rPr>
        <w:t>元</w:t>
      </w:r>
      <w:r>
        <w:rPr>
          <w:rFonts w:hint="eastAsia" w:ascii="宋体" w:hAnsi="宋体" w:eastAsia="宋体" w:cs="宋体"/>
          <w:b w:val="0"/>
          <w:bCs w:val="0"/>
          <w:color w:val="auto"/>
          <w:szCs w:val="28"/>
          <w:highlight w:val="none"/>
          <w:lang w:val="en-US" w:eastAsia="zh-CN"/>
        </w:rPr>
        <w:t>，2022月4月20日双方签订托克逊县库米什镇柯尔克孜铁米村项目采购合同。采购路灯2023年4月19日通过政府采购网下单方式采购，确定为新疆农裕太阳能科技有限公司下单单位，内容为8米太阳能路灯35盏。本项目于2023年4月25日采购完毕，的制作任务、并签订服务合同，明确双方的责任和义务。服务合同明确服务内容、作业时间、质量要求、补助标准、质检验收和违规责任等内容。</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after="0" w:line="560" w:lineRule="exact"/>
        <w:ind w:firstLine="562" w:firstLineChars="200"/>
        <w:jc w:val="both"/>
        <w:textAlignment w:val="auto"/>
        <w:rPr>
          <w:rFonts w:hint="eastAsia" w:ascii="宋体" w:hAnsi="宋体" w:eastAsia="宋体" w:cs="宋体"/>
          <w:b/>
          <w:bCs/>
          <w:i w:val="0"/>
          <w:caps w:val="0"/>
          <w:color w:val="auto"/>
          <w:spacing w:val="0"/>
          <w:w w:val="100"/>
          <w:sz w:val="28"/>
          <w:szCs w:val="28"/>
          <w:highlight w:val="none"/>
          <w:lang w:val="en-US" w:eastAsia="zh-CN"/>
        </w:rPr>
      </w:pPr>
      <w:r>
        <w:rPr>
          <w:rFonts w:hint="eastAsia" w:ascii="宋体" w:hAnsi="宋体" w:eastAsia="宋体" w:cs="宋体"/>
          <w:b/>
          <w:bCs/>
          <w:i w:val="0"/>
          <w:caps w:val="0"/>
          <w:color w:val="auto"/>
          <w:spacing w:val="0"/>
          <w:w w:val="100"/>
          <w:sz w:val="28"/>
          <w:szCs w:val="28"/>
          <w:highlight w:val="none"/>
          <w:lang w:val="en-US" w:eastAsia="zh-CN"/>
        </w:rPr>
        <w:t>完成采购垃圾船统治和时间进度安排。</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560" w:lineRule="exact"/>
        <w:ind w:firstLine="560" w:firstLineChars="200"/>
        <w:jc w:val="both"/>
        <w:textAlignment w:val="auto"/>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在签订合同后，开始制作标准太阳能路灯、洒水车；</w:t>
      </w:r>
    </w:p>
    <w:p>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left="0" w:leftChars="0" w:firstLine="562" w:firstLineChars="200"/>
        <w:jc w:val="both"/>
        <w:textAlignment w:val="baseline"/>
        <w:rPr>
          <w:rFonts w:hint="eastAsia" w:ascii="宋体" w:hAnsi="宋体" w:eastAsia="宋体" w:cs="宋体"/>
          <w:b/>
          <w:bCs/>
          <w:i w:val="0"/>
          <w:caps w:val="0"/>
          <w:color w:val="auto"/>
          <w:spacing w:val="0"/>
          <w:w w:val="100"/>
          <w:sz w:val="28"/>
          <w:szCs w:val="28"/>
          <w:highlight w:val="none"/>
          <w:lang w:val="en-US" w:eastAsia="zh-CN"/>
        </w:rPr>
      </w:pPr>
      <w:r>
        <w:rPr>
          <w:rFonts w:hint="eastAsia" w:ascii="宋体" w:hAnsi="宋体" w:eastAsia="宋体" w:cs="宋体"/>
          <w:b/>
          <w:bCs/>
          <w:i w:val="0"/>
          <w:caps w:val="0"/>
          <w:color w:val="auto"/>
          <w:spacing w:val="0"/>
          <w:w w:val="100"/>
          <w:sz w:val="28"/>
          <w:szCs w:val="28"/>
          <w:highlight w:val="none"/>
          <w:lang w:val="en-US" w:eastAsia="zh-CN"/>
        </w:rPr>
        <w:t>（3）检查验收</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太阳能路灯、洒水车制作完成后，库米什镇人民政府，柯尔克孜铁米村组织人员，对产品进行验收，验收合格后，柯尔克孜铁米村委会进行分配。</w:t>
      </w:r>
    </w:p>
    <w:p>
      <w:pPr>
        <w:pStyle w:val="5"/>
        <w:ind w:firstLine="562"/>
        <w:rPr>
          <w:rFonts w:hint="eastAsia" w:cs="Times New Roman"/>
          <w:color w:val="auto"/>
          <w:highlight w:val="none"/>
        </w:rPr>
      </w:pPr>
      <w:r>
        <w:rPr>
          <w:rFonts w:hint="eastAsia" w:cs="Times New Roman"/>
          <w:color w:val="auto"/>
          <w:highlight w:val="none"/>
          <w:lang w:val="en-US" w:eastAsia="zh-CN"/>
        </w:rPr>
        <w:t>4</w:t>
      </w:r>
      <w:r>
        <w:rPr>
          <w:rFonts w:hint="eastAsia" w:cs="Times New Roman"/>
          <w:color w:val="auto"/>
          <w:highlight w:val="none"/>
        </w:rPr>
        <w:t>.资金投入和使用情况</w:t>
      </w:r>
    </w:p>
    <w:p>
      <w:pPr>
        <w:pStyle w:val="5"/>
        <w:ind w:firstLine="562"/>
        <w:rPr>
          <w:rFonts w:hint="eastAsia" w:ascii="宋体" w:hAnsi="宋体" w:eastAsia="宋体" w:cs="宋体"/>
          <w:color w:val="auto"/>
          <w:highlight w:val="none"/>
        </w:rPr>
      </w:pPr>
      <w:r>
        <w:rPr>
          <w:rFonts w:hint="eastAsia" w:ascii="宋体" w:hAnsi="宋体" w:eastAsia="宋体" w:cs="宋体"/>
          <w:color w:val="auto"/>
          <w:highlight w:val="none"/>
        </w:rPr>
        <w:t>（1）项目资金安排落实、总投入等情况分析</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本项目预算安排总额为30万元，其中财政资金30万元，其他资金0万元，2023年实际收到预算资金30万元，预算资金到位率为100.00%。</w:t>
      </w:r>
    </w:p>
    <w:p>
      <w:pPr>
        <w:pStyle w:val="5"/>
        <w:ind w:firstLine="562"/>
        <w:rPr>
          <w:rFonts w:hint="eastAsia" w:ascii="宋体" w:hAnsi="宋体" w:eastAsia="宋体" w:cs="宋体"/>
          <w:color w:val="auto"/>
          <w:highlight w:val="none"/>
        </w:rPr>
      </w:pPr>
      <w:r>
        <w:rPr>
          <w:rFonts w:hint="eastAsia" w:ascii="宋体" w:hAnsi="宋体" w:eastAsia="宋体" w:cs="宋体"/>
          <w:color w:val="auto"/>
          <w:highlight w:val="none"/>
        </w:rPr>
        <w:t>（2）项目资金实际使用情况分析</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截止到2022年12月31日，本项目实际支付资金30万元，预算执行率100.00%。项目资金主要用于支付太阳能路灯40盏，采购东风5方多功能洒水车1台，共费用30万元。</w:t>
      </w:r>
    </w:p>
    <w:p>
      <w:pPr>
        <w:pStyle w:val="4"/>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5"/>
        <w:ind w:firstLine="562"/>
        <w:rPr>
          <w:rFonts w:hint="eastAsia" w:ascii="宋体" w:hAnsi="宋体" w:eastAsia="宋体" w:cs="宋体"/>
          <w:color w:val="auto"/>
          <w:highlight w:val="none"/>
        </w:rPr>
      </w:pPr>
      <w:r>
        <w:rPr>
          <w:rFonts w:hint="eastAsia" w:ascii="宋体" w:hAnsi="宋体" w:eastAsia="宋体" w:cs="宋体"/>
          <w:color w:val="auto"/>
          <w:highlight w:val="none"/>
        </w:rPr>
        <w:t>1.总体目标</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本项目绩效总体目标为：</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 xml:space="preserve">目标1：在计划柯尔克孜贴米村采购安装太阳能路灯35盏，采购东风5方多功能洒水车1台。共30万元。                                                                                                                       </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目标2：进一步加强农村人居环境整治，解决农村脏乱差的现象，改善生活环境质量。通过实施该项目，农户增收渠道，使农户脱贫致富，可解决居住农户的交通照明问题，有利于人民群众致富奔小康，全面建设社会主义新农村。</w:t>
      </w:r>
    </w:p>
    <w:p>
      <w:pPr>
        <w:spacing w:line="560" w:lineRule="exact"/>
        <w:ind w:firstLine="560" w:firstLineChars="200"/>
        <w:rPr>
          <w:rFonts w:hint="default" w:ascii="宋体" w:hAnsi="宋体" w:eastAsia="宋体" w:cs="宋体"/>
          <w:b w:val="0"/>
          <w:bCs w:val="0"/>
          <w:color w:val="auto"/>
          <w:szCs w:val="28"/>
          <w:highlight w:val="none"/>
          <w:lang w:val="en-US" w:eastAsia="zh-CN"/>
        </w:rPr>
      </w:pPr>
    </w:p>
    <w:p>
      <w:pPr>
        <w:pStyle w:val="5"/>
        <w:ind w:firstLine="562"/>
        <w:rPr>
          <w:rFonts w:hint="eastAsia" w:ascii="宋体" w:hAnsi="宋体" w:eastAsia="宋体" w:cs="宋体"/>
          <w:color w:val="auto"/>
          <w:highlight w:val="none"/>
        </w:rPr>
      </w:pPr>
      <w:r>
        <w:rPr>
          <w:rFonts w:hint="eastAsia" w:ascii="宋体" w:hAnsi="宋体" w:eastAsia="宋体" w:cs="宋体"/>
          <w:color w:val="auto"/>
          <w:highlight w:val="none"/>
        </w:rPr>
        <w:t>2.阶段性目标</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等文件要求和规定，结合项目实施单位的规章制度以及财务相关资料，评价小组对项目绩效目标进行了进一步的完善，完善后绩效目标如下：</w:t>
      </w:r>
    </w:p>
    <w:p>
      <w:pPr>
        <w:pStyle w:val="5"/>
        <w:ind w:firstLine="562"/>
        <w:rPr>
          <w:rFonts w:hint="eastAsia" w:ascii="宋体" w:hAnsi="宋体" w:eastAsia="宋体" w:cs="宋体"/>
          <w:color w:val="auto"/>
          <w:highlight w:val="none"/>
        </w:rPr>
      </w:pPr>
      <w:r>
        <w:rPr>
          <w:rFonts w:hint="eastAsia" w:ascii="宋体" w:hAnsi="宋体" w:eastAsia="宋体" w:cs="宋体"/>
          <w:color w:val="auto"/>
          <w:highlight w:val="none"/>
        </w:rPr>
        <w:t>（1）项目产出目标</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①数量指标</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“购置太阳能路灯数量”指标，预期指标值为大于等于35盏；</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“购置东风5方多功能洒水车数量”指标，预期指标值为大于等于1辆。</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②质量指标</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“设备验收合格率”指标，预期指标值为100%。</w:t>
      </w:r>
    </w:p>
    <w:p>
      <w:pPr>
        <w:spacing w:line="560" w:lineRule="exact"/>
        <w:ind w:firstLine="560" w:firstLineChars="200"/>
        <w:rPr>
          <w:rFonts w:hint="eastAsia"/>
          <w:color w:val="auto"/>
          <w:highlight w:val="none"/>
          <w:lang w:val="en-US" w:eastAsia="zh-CN"/>
        </w:rPr>
      </w:pPr>
      <w:r>
        <w:rPr>
          <w:rFonts w:hint="eastAsia" w:ascii="宋体" w:hAnsi="宋体" w:eastAsia="宋体" w:cs="宋体"/>
          <w:b w:val="0"/>
          <w:bCs w:val="0"/>
          <w:color w:val="auto"/>
          <w:szCs w:val="28"/>
          <w:highlight w:val="none"/>
          <w:lang w:val="en-US" w:eastAsia="zh-CN"/>
        </w:rPr>
        <w:t>“政府采购率”指标，预期指标值为100%。</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③时效指标</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“资金支付及时率”指标，预期指标值为100%。</w:t>
      </w:r>
    </w:p>
    <w:p>
      <w:pPr>
        <w:spacing w:line="560" w:lineRule="exact"/>
        <w:ind w:firstLine="560" w:firstLineChars="200"/>
        <w:rPr>
          <w:rFonts w:hint="eastAsia"/>
          <w:color w:val="auto"/>
          <w:highlight w:val="none"/>
          <w:lang w:val="en-US" w:eastAsia="zh-CN"/>
        </w:rPr>
      </w:pPr>
      <w:r>
        <w:rPr>
          <w:rFonts w:hint="eastAsia" w:ascii="宋体" w:hAnsi="宋体" w:eastAsia="宋体" w:cs="宋体"/>
          <w:b w:val="0"/>
          <w:bCs w:val="0"/>
          <w:color w:val="auto"/>
          <w:szCs w:val="28"/>
          <w:highlight w:val="none"/>
          <w:lang w:val="en-US" w:eastAsia="zh-CN"/>
        </w:rPr>
        <w:t>“设备采购完成时间”指标，预期指标值为2023年10月。</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④成本指标</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“东风5方多功能洒水车采购成本控制数”指标，预期指标值为&lt;15万元；</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“太阳能路灯采购成本控制数”指标，预期指标值为&lt;15万元；</w:t>
      </w:r>
    </w:p>
    <w:p>
      <w:pPr>
        <w:pStyle w:val="2"/>
        <w:rPr>
          <w:rFonts w:hint="eastAsia"/>
          <w:color w:val="auto"/>
          <w:highlight w:val="none"/>
          <w:lang w:val="en-US" w:eastAsia="zh-CN"/>
        </w:rPr>
      </w:pPr>
    </w:p>
    <w:p>
      <w:pPr>
        <w:pStyle w:val="5"/>
        <w:ind w:firstLine="562"/>
        <w:rPr>
          <w:rFonts w:hint="eastAsia" w:ascii="宋体" w:hAnsi="宋体" w:eastAsia="宋体" w:cs="宋体"/>
          <w:color w:val="auto"/>
          <w:highlight w:val="none"/>
        </w:rPr>
      </w:pPr>
      <w:r>
        <w:rPr>
          <w:rFonts w:hint="eastAsia" w:ascii="宋体" w:hAnsi="宋体" w:eastAsia="宋体" w:cs="宋体"/>
          <w:color w:val="auto"/>
          <w:highlight w:val="none"/>
        </w:rPr>
        <w:t>（2）项目效益目标</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①经济效益指标</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“设备利用率”指标，预期指标值为大于等于85%；</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②社会效益指标</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“项目受益人数”指标，预期指标值为597人；</w:t>
      </w:r>
    </w:p>
    <w:p>
      <w:pPr>
        <w:spacing w:line="560" w:lineRule="exact"/>
        <w:ind w:firstLine="560" w:firstLineChars="200"/>
        <w:rPr>
          <w:rFonts w:hint="eastAsia"/>
          <w:color w:val="auto"/>
          <w:highlight w:val="none"/>
          <w:lang w:val="en-US" w:eastAsia="zh-CN"/>
        </w:rPr>
      </w:pPr>
      <w:r>
        <w:rPr>
          <w:rFonts w:hint="eastAsia" w:ascii="宋体" w:hAnsi="宋体" w:eastAsia="宋体" w:cs="宋体"/>
          <w:b w:val="0"/>
          <w:bCs w:val="0"/>
          <w:color w:val="auto"/>
          <w:szCs w:val="28"/>
          <w:highlight w:val="none"/>
          <w:lang w:val="en-US" w:eastAsia="zh-CN"/>
        </w:rPr>
        <w:t>“村主干道夜间照明率”指标，预期指标值为90%</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③生态效益指标</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“无”指标</w:t>
      </w:r>
    </w:p>
    <w:p>
      <w:pPr>
        <w:pStyle w:val="5"/>
        <w:ind w:firstLine="562"/>
        <w:rPr>
          <w:rFonts w:hint="eastAsia" w:ascii="宋体" w:hAnsi="宋体" w:eastAsia="宋体" w:cs="宋体"/>
          <w:color w:val="auto"/>
          <w:highlight w:val="none"/>
        </w:rPr>
      </w:pPr>
      <w:r>
        <w:rPr>
          <w:rFonts w:hint="eastAsia" w:ascii="宋体" w:hAnsi="宋体" w:eastAsia="宋体" w:cs="宋体"/>
          <w:color w:val="auto"/>
          <w:highlight w:val="none"/>
        </w:rPr>
        <w:t>（3）相关满意度目标</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①满意度指标</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“受益村民满意度”指标，预期指标值为大于等于95%；</w:t>
      </w:r>
    </w:p>
    <w:p>
      <w:pPr>
        <w:pStyle w:val="3"/>
        <w:ind w:firstLine="640"/>
        <w:rPr>
          <w:rFonts w:hint="eastAsia" w:ascii="Times New Roman" w:hAnsi="Times New Roman" w:cs="Times New Roman"/>
          <w:color w:val="auto"/>
          <w:highlight w:val="none"/>
        </w:rPr>
      </w:pPr>
      <w:r>
        <w:rPr>
          <w:rFonts w:hint="eastAsia" w:ascii="Times New Roman" w:hAnsi="Times New Roman" w:cs="Times New Roman"/>
          <w:color w:val="auto"/>
          <w:highlight w:val="none"/>
        </w:rPr>
        <w:t>二、绩效评价工作开展情况</w:t>
      </w:r>
    </w:p>
    <w:p>
      <w:pPr>
        <w:pStyle w:val="4"/>
        <w:numPr>
          <w:ilvl w:val="0"/>
          <w:numId w:val="2"/>
        </w:numPr>
        <w:ind w:firstLine="643"/>
        <w:rPr>
          <w:rFonts w:ascii="楷体" w:hAnsi="楷体" w:cs="楷体"/>
          <w:color w:val="auto"/>
          <w:szCs w:val="32"/>
          <w:highlight w:val="none"/>
        </w:rPr>
      </w:pPr>
      <w:bookmarkStart w:id="0" w:name="_Toc21664"/>
      <w:bookmarkStart w:id="1" w:name="_Toc5462343"/>
      <w:bookmarkStart w:id="2" w:name="_Toc5258"/>
      <w:bookmarkStart w:id="3" w:name="_Toc22169_WPSOffice_Level2"/>
      <w:bookmarkStart w:id="4" w:name="_Toc22922"/>
      <w:bookmarkStart w:id="5" w:name="_Toc12868"/>
      <w:bookmarkStart w:id="6" w:name="_Toc480473081"/>
      <w:bookmarkStart w:id="7" w:name="_Toc2663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5"/>
        <w:ind w:firstLine="562"/>
        <w:rPr>
          <w:rFonts w:hint="eastAsia" w:ascii="宋体" w:hAnsi="宋体" w:eastAsia="宋体" w:cs="宋体"/>
          <w:color w:val="auto"/>
          <w:highlight w:val="none"/>
        </w:rPr>
      </w:pPr>
      <w:r>
        <w:rPr>
          <w:rFonts w:hint="eastAsia" w:ascii="宋体" w:hAnsi="宋体" w:eastAsia="宋体" w:cs="宋体"/>
          <w:color w:val="auto"/>
          <w:highlight w:val="none"/>
        </w:rPr>
        <w:t>1.绩效评价的目的</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pStyle w:val="5"/>
        <w:ind w:firstLine="562"/>
        <w:rPr>
          <w:rFonts w:hint="eastAsia" w:ascii="宋体" w:hAnsi="宋体" w:eastAsia="宋体" w:cs="宋体"/>
          <w:color w:val="auto"/>
          <w:highlight w:val="none"/>
        </w:rPr>
      </w:pPr>
      <w:r>
        <w:rPr>
          <w:rFonts w:hint="eastAsia" w:ascii="宋体" w:hAnsi="宋体" w:eastAsia="宋体" w:cs="宋体"/>
          <w:color w:val="auto"/>
          <w:highlight w:val="none"/>
        </w:rPr>
        <w:t>2.绩效评价的对象和范围</w:t>
      </w:r>
    </w:p>
    <w:p>
      <w:pPr>
        <w:ind w:firstLine="560"/>
        <w:rPr>
          <w:rFonts w:hint="eastAsia" w:ascii="宋体" w:hAnsi="宋体" w:eastAsia="宋体" w:cs="宋体"/>
          <w:b w:val="0"/>
          <w:bCs w:val="0"/>
          <w:color w:val="auto"/>
          <w:szCs w:val="28"/>
          <w:highlight w:val="none"/>
          <w:lang w:val="en-US" w:eastAsia="zh-CN"/>
        </w:rPr>
      </w:pPr>
      <w:r>
        <w:rPr>
          <w:rFonts w:hint="eastAsia"/>
          <w:b/>
          <w:bCs/>
          <w:color w:val="auto"/>
          <w:highlight w:val="none"/>
          <w:lang w:val="en-US" w:eastAsia="zh-CN"/>
        </w:rPr>
        <w:t>评价对象：</w:t>
      </w:r>
      <w:r>
        <w:rPr>
          <w:rFonts w:hint="eastAsia" w:ascii="宋体" w:hAnsi="宋体" w:eastAsia="宋体" w:cs="宋体"/>
          <w:b w:val="0"/>
          <w:bCs w:val="0"/>
          <w:color w:val="auto"/>
          <w:szCs w:val="28"/>
          <w:highlight w:val="none"/>
          <w:lang w:val="en-US" w:eastAsia="zh-CN"/>
        </w:rPr>
        <w:t>此次我单位根据《财政支出绩效评价管理暂行办法》（财预〔2020〕10号）文件要求对2023年度我单位实施的库米什镇柯尔克孜铁米村人居环境整治项目开展部门绩效评价，评价核心内容为项目资金执行情况、项目产出情况、项目效益情况</w:t>
      </w:r>
      <w:r>
        <w:rPr>
          <w:rFonts w:hint="default" w:ascii="宋体" w:hAnsi="宋体" w:eastAsia="宋体" w:cs="宋体"/>
          <w:b w:val="0"/>
          <w:bCs w:val="0"/>
          <w:color w:val="auto"/>
          <w:szCs w:val="28"/>
          <w:highlight w:val="none"/>
          <w:lang w:val="en-US" w:eastAsia="zh-CN"/>
        </w:rPr>
        <w:t>。</w:t>
      </w:r>
    </w:p>
    <w:p>
      <w:pPr>
        <w:ind w:firstLine="560"/>
        <w:rPr>
          <w:rFonts w:hint="eastAsia" w:ascii="宋体" w:hAnsi="宋体" w:eastAsia="宋体" w:cs="宋体"/>
          <w:b w:val="0"/>
          <w:bCs w:val="0"/>
          <w:color w:val="auto"/>
          <w:szCs w:val="28"/>
          <w:highlight w:val="none"/>
          <w:lang w:val="en-US" w:eastAsia="zh-CN"/>
        </w:rPr>
      </w:pPr>
      <w:r>
        <w:rPr>
          <w:rFonts w:hint="eastAsia"/>
          <w:b/>
          <w:bCs/>
          <w:color w:val="auto"/>
          <w:highlight w:val="none"/>
          <w:lang w:val="en-US" w:eastAsia="zh-CN"/>
        </w:rPr>
        <w:t>评价范围：</w:t>
      </w:r>
      <w:r>
        <w:rPr>
          <w:rFonts w:hint="eastAsia" w:ascii="宋体" w:hAnsi="宋体" w:eastAsia="宋体" w:cs="宋体"/>
          <w:b w:val="0"/>
          <w:bCs w:val="0"/>
          <w:color w:val="auto"/>
          <w:szCs w:val="28"/>
          <w:highlight w:val="none"/>
          <w:lang w:val="en-US" w:eastAsia="zh-CN"/>
        </w:rPr>
        <w:t>本次绩效评价主要围绕项目资金使用情况、财务管理状况；项目管理相关制度及措施是否被认真执行；绩效目标的实现程度，包括是否达到预定产出和效果等方面进行部门绩效评价。</w:t>
      </w:r>
    </w:p>
    <w:p>
      <w:pPr>
        <w:pStyle w:val="4"/>
        <w:numPr>
          <w:ilvl w:val="0"/>
          <w:numId w:val="2"/>
        </w:numPr>
        <w:ind w:firstLine="643"/>
        <w:rPr>
          <w:color w:val="auto"/>
          <w:highlight w:val="none"/>
        </w:rPr>
      </w:pPr>
      <w:r>
        <w:rPr>
          <w:rFonts w:hint="eastAsia"/>
          <w:color w:val="auto"/>
          <w:highlight w:val="none"/>
        </w:rPr>
        <w:t>绩效评价原则、评价指标体系、评价方法评价标准</w:t>
      </w:r>
    </w:p>
    <w:p>
      <w:pPr>
        <w:pStyle w:val="5"/>
        <w:ind w:firstLine="562"/>
        <w:rPr>
          <w:rFonts w:hint="eastAsia" w:ascii="宋体" w:hAnsi="宋体" w:eastAsia="宋体" w:cs="宋体"/>
          <w:color w:val="auto"/>
          <w:highlight w:val="none"/>
        </w:rPr>
      </w:pPr>
      <w:r>
        <w:rPr>
          <w:rFonts w:hint="eastAsia" w:ascii="宋体" w:hAnsi="宋体" w:eastAsia="宋体" w:cs="宋体"/>
          <w:color w:val="auto"/>
          <w:highlight w:val="none"/>
        </w:rPr>
        <w:t>1.绩效评价原则</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项目实际开展情况，运用定量和定性分析相结合的方法，总结经验做法，反思项目实施和管理中的问题，以切实提升财政资金管理的科学化、规范化和精细化水平。</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根据以上原则，绩效评价应遵循如下要求：</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（1）在数据采集时，采取客观数据，主管部门审查、社会中介组织复查，与问卷调查相结合的形式，以保证各项指标的真实性。</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（2）保证评价结果的真实性、公正性，提高评价报告的公信力。</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（3）绩效评价报告应当简明扼要，除了对绩效评价的过程、结果描述外，还应总结经验，指出问题，并就共性问题提出可操作性改进建议。</w:t>
      </w:r>
    </w:p>
    <w:p>
      <w:pPr>
        <w:pStyle w:val="5"/>
        <w:ind w:firstLine="562"/>
        <w:rPr>
          <w:rFonts w:hint="eastAsia" w:ascii="宋体" w:hAnsi="宋体" w:eastAsia="宋体" w:cs="宋体"/>
          <w:color w:val="auto"/>
          <w:highlight w:val="none"/>
        </w:rPr>
      </w:pPr>
      <w:bookmarkStart w:id="8" w:name="_Toc419984722"/>
      <w:bookmarkStart w:id="9" w:name="_Toc428278230"/>
      <w:bookmarkStart w:id="10" w:name="_Toc1913"/>
      <w:bookmarkStart w:id="11" w:name="_Toc26131"/>
      <w:r>
        <w:rPr>
          <w:rFonts w:hint="eastAsia" w:ascii="宋体" w:hAnsi="宋体" w:eastAsia="宋体" w:cs="宋体"/>
          <w:color w:val="auto"/>
          <w:highlight w:val="none"/>
        </w:rPr>
        <w:t>2.绩效评价指标体系</w:t>
      </w:r>
      <w:bookmarkEnd w:id="8"/>
      <w:bookmarkEnd w:id="9"/>
      <w:bookmarkEnd w:id="10"/>
      <w:bookmarkEnd w:id="11"/>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我单位</w:t>
      </w:r>
      <w:r>
        <w:rPr>
          <w:rFonts w:hint="eastAsia" w:ascii="宋体" w:hAnsi="宋体" w:eastAsia="宋体" w:cs="宋体"/>
          <w:b w:val="0"/>
          <w:bCs w:val="0"/>
          <w:color w:val="auto"/>
          <w:szCs w:val="28"/>
          <w:highlight w:val="none"/>
          <w:lang w:val="zh-TW" w:eastAsia="zh-TW"/>
        </w:rPr>
        <w:t>根据项目的</w:t>
      </w:r>
      <w:r>
        <w:rPr>
          <w:rFonts w:hint="eastAsia" w:ascii="宋体" w:hAnsi="宋体" w:eastAsia="宋体" w:cs="宋体"/>
          <w:b w:val="0"/>
          <w:bCs w:val="0"/>
          <w:color w:val="auto"/>
          <w:szCs w:val="28"/>
          <w:highlight w:val="none"/>
          <w:lang w:val="en-US" w:eastAsia="zh-CN"/>
        </w:rPr>
        <w:t>实施</w:t>
      </w:r>
      <w:r>
        <w:rPr>
          <w:rFonts w:hint="eastAsia" w:ascii="宋体" w:hAnsi="宋体" w:eastAsia="宋体" w:cs="宋体"/>
          <w:b w:val="0"/>
          <w:bCs w:val="0"/>
          <w:color w:val="auto"/>
          <w:szCs w:val="28"/>
          <w:highlight w:val="none"/>
          <w:lang w:val="zh-TW" w:eastAsia="zh-TW"/>
        </w:rPr>
        <w:t>资料研读及前期调研，结合项目的实际开展情况，按照《项目支出绩效评价管理办法》（财预〔2020〕10号）文件要求设置指标体系结构如下：设置一级指标共4个，包括：决策指标（2</w:t>
      </w:r>
      <w:r>
        <w:rPr>
          <w:rFonts w:hint="eastAsia" w:ascii="宋体" w:hAnsi="宋体" w:eastAsia="宋体" w:cs="宋体"/>
          <w:b w:val="0"/>
          <w:bCs w:val="0"/>
          <w:color w:val="auto"/>
          <w:szCs w:val="28"/>
          <w:highlight w:val="none"/>
          <w:lang w:val="en-US" w:eastAsia="zh-CN"/>
        </w:rPr>
        <w:t>0分</w:t>
      </w:r>
      <w:r>
        <w:rPr>
          <w:rFonts w:hint="eastAsia" w:ascii="宋体" w:hAnsi="宋体" w:eastAsia="宋体" w:cs="宋体"/>
          <w:b w:val="0"/>
          <w:bCs w:val="0"/>
          <w:color w:val="auto"/>
          <w:szCs w:val="28"/>
          <w:highlight w:val="none"/>
          <w:lang w:val="zh-TW" w:eastAsia="zh-TW"/>
        </w:rPr>
        <w:t>）、过程指标（</w:t>
      </w:r>
      <w:r>
        <w:rPr>
          <w:rFonts w:hint="eastAsia" w:ascii="宋体" w:hAnsi="宋体" w:eastAsia="宋体" w:cs="宋体"/>
          <w:b w:val="0"/>
          <w:bCs w:val="0"/>
          <w:color w:val="auto"/>
          <w:szCs w:val="28"/>
          <w:highlight w:val="none"/>
          <w:lang w:val="en-US" w:eastAsia="zh-CN"/>
        </w:rPr>
        <w:t>20分</w:t>
      </w:r>
      <w:r>
        <w:rPr>
          <w:rFonts w:hint="eastAsia" w:ascii="宋体" w:hAnsi="宋体" w:eastAsia="宋体" w:cs="宋体"/>
          <w:b w:val="0"/>
          <w:bCs w:val="0"/>
          <w:color w:val="auto"/>
          <w:szCs w:val="28"/>
          <w:highlight w:val="none"/>
          <w:lang w:val="zh-TW" w:eastAsia="zh-TW"/>
        </w:rPr>
        <w:t>）、产出指标（</w:t>
      </w:r>
      <w:r>
        <w:rPr>
          <w:rFonts w:hint="eastAsia" w:ascii="宋体" w:hAnsi="宋体" w:eastAsia="宋体" w:cs="宋体"/>
          <w:b w:val="0"/>
          <w:bCs w:val="0"/>
          <w:color w:val="auto"/>
          <w:szCs w:val="28"/>
          <w:highlight w:val="none"/>
          <w:lang w:val="en-US" w:eastAsia="zh-CN"/>
        </w:rPr>
        <w:t>3</w:t>
      </w:r>
      <w:r>
        <w:rPr>
          <w:rFonts w:hint="eastAsia" w:ascii="宋体" w:hAnsi="宋体" w:eastAsia="宋体" w:cs="宋体"/>
          <w:b w:val="0"/>
          <w:bCs w:val="0"/>
          <w:color w:val="auto"/>
          <w:szCs w:val="28"/>
          <w:highlight w:val="none"/>
          <w:lang w:val="zh-TW" w:eastAsia="zh-TW"/>
        </w:rPr>
        <w:t>0</w:t>
      </w:r>
      <w:r>
        <w:rPr>
          <w:rFonts w:hint="eastAsia" w:ascii="宋体" w:hAnsi="宋体" w:eastAsia="宋体" w:cs="宋体"/>
          <w:b w:val="0"/>
          <w:bCs w:val="0"/>
          <w:color w:val="auto"/>
          <w:szCs w:val="28"/>
          <w:highlight w:val="none"/>
          <w:lang w:val="en-US" w:eastAsia="zh-CN"/>
        </w:rPr>
        <w:t>分</w:t>
      </w:r>
      <w:r>
        <w:rPr>
          <w:rFonts w:hint="eastAsia" w:ascii="宋体" w:hAnsi="宋体" w:eastAsia="宋体" w:cs="宋体"/>
          <w:b w:val="0"/>
          <w:bCs w:val="0"/>
          <w:color w:val="auto"/>
          <w:szCs w:val="28"/>
          <w:highlight w:val="none"/>
          <w:lang w:val="zh-TW" w:eastAsia="zh-TW"/>
        </w:rPr>
        <w:t>）、效益指标（</w:t>
      </w:r>
      <w:r>
        <w:rPr>
          <w:rFonts w:hint="eastAsia" w:ascii="宋体" w:hAnsi="宋体" w:eastAsia="宋体" w:cs="宋体"/>
          <w:b w:val="0"/>
          <w:bCs w:val="0"/>
          <w:color w:val="auto"/>
          <w:szCs w:val="28"/>
          <w:highlight w:val="none"/>
          <w:lang w:val="en-US" w:eastAsia="zh-CN"/>
        </w:rPr>
        <w:t>3</w:t>
      </w:r>
      <w:r>
        <w:rPr>
          <w:rFonts w:hint="eastAsia" w:ascii="宋体" w:hAnsi="宋体" w:eastAsia="宋体" w:cs="宋体"/>
          <w:b w:val="0"/>
          <w:bCs w:val="0"/>
          <w:color w:val="auto"/>
          <w:szCs w:val="28"/>
          <w:highlight w:val="none"/>
          <w:lang w:val="zh-TW" w:eastAsia="zh-TW"/>
        </w:rPr>
        <w:t>0</w:t>
      </w:r>
      <w:r>
        <w:rPr>
          <w:rFonts w:hint="eastAsia" w:ascii="宋体" w:hAnsi="宋体" w:eastAsia="宋体" w:cs="宋体"/>
          <w:b w:val="0"/>
          <w:bCs w:val="0"/>
          <w:color w:val="auto"/>
          <w:szCs w:val="28"/>
          <w:highlight w:val="none"/>
          <w:lang w:val="en-US" w:eastAsia="zh-CN"/>
        </w:rPr>
        <w:t>分</w:t>
      </w:r>
      <w:r>
        <w:rPr>
          <w:rFonts w:hint="eastAsia" w:ascii="宋体" w:hAnsi="宋体" w:eastAsia="宋体" w:cs="宋体"/>
          <w:b w:val="0"/>
          <w:bCs w:val="0"/>
          <w:color w:val="auto"/>
          <w:szCs w:val="28"/>
          <w:highlight w:val="none"/>
          <w:lang w:val="zh-TW" w:eastAsia="zh-TW"/>
        </w:rPr>
        <w:t>）</w:t>
      </w:r>
      <w:r>
        <w:rPr>
          <w:rFonts w:hint="eastAsia" w:ascii="宋体" w:hAnsi="宋体" w:eastAsia="宋体" w:cs="宋体"/>
          <w:b w:val="0"/>
          <w:bCs w:val="0"/>
          <w:color w:val="auto"/>
          <w:szCs w:val="28"/>
          <w:highlight w:val="none"/>
          <w:lang w:val="zh-TW" w:eastAsia="zh-CN"/>
        </w:rPr>
        <w:t>，</w:t>
      </w:r>
      <w:r>
        <w:rPr>
          <w:rFonts w:hint="eastAsia" w:ascii="宋体" w:hAnsi="宋体" w:eastAsia="宋体" w:cs="宋体"/>
          <w:b w:val="0"/>
          <w:bCs w:val="0"/>
          <w:color w:val="auto"/>
          <w:szCs w:val="28"/>
          <w:highlight w:val="none"/>
          <w:lang w:val="en-US" w:eastAsia="zh-CN"/>
        </w:rPr>
        <w:t>具体指标分类如下：</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一级指标为：决策、过程、产出、效益。</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二级指标为：项目立项、绩效目标、资金投入、资金管理、组织实施、产出数量、产出质量、产出时效、产出成本、项目效益。</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指标体系包括指标体系表和综合得分表两部分，指标体系表是支持评价的基础数据，各指标的权重由该项目绩效评价小组根据绩效评价原理和评价需求，在调研基础上依据指标的重要性制定形成。综合得分表是项目一级指标汇总得分表。详细指标体系见《附件1：项目绩效评价指标体系表和项目综合得分表》。</w:t>
      </w:r>
    </w:p>
    <w:p>
      <w:pPr>
        <w:pStyle w:val="5"/>
        <w:ind w:firstLine="562"/>
        <w:rPr>
          <w:rFonts w:hint="eastAsia" w:ascii="宋体" w:hAnsi="宋体" w:eastAsia="宋体" w:cs="宋体"/>
          <w:color w:val="auto"/>
          <w:highlight w:val="none"/>
        </w:rPr>
      </w:pPr>
      <w:r>
        <w:rPr>
          <w:rFonts w:hint="eastAsia" w:ascii="宋体" w:hAnsi="宋体" w:eastAsia="宋体" w:cs="宋体"/>
          <w:color w:val="auto"/>
          <w:highlight w:val="none"/>
        </w:rPr>
        <w:t>3.评价方法</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本项目绩效评价小组根据项目资金的性质和特点，选用比较法、因素分析法、公众评判法以及文献法对项目进行评价，旨在通过综合分析影响绩效目标实现、实施效果的内外部因素，从而评价本项目绩效。</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三级指标分析环节：总体采用比较法，同时辅以成本效益法、因素分析法以及公众评判法，根据不同三级指标类型进行逐项分析。</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（1）定量指标分析环节：主要采用比较法，对比三级指标预期指标值和三级指标截止评价日的完成情况，综合分析绩效目标实现程度。详细评价方法的应用如下：</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一般量化统计类等定量指标：通过对比实际完成值和预期指标值，达成预期指标值的，记该指标所赋全部分值；对完成值高于指标值较多的，需要分析原因，如果是由于年初指标值设定明显偏低造成的，要按照偏离度适度调减分值；未完成指标值的，按照完成值与指标值的比值计算分值。</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属于“是”或“否”判断的单一评判定量指标：比较法，符合要求的得满分，不符合要求的不得分或者扣相应的分数。</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满意度指标：主要采用比较法，据满意度问卷统计情况计算完成比率与预期指标值对比，达成满意度预期目标的，得满分；未完成指标值的，按照完成值与预期指标值的比值计算得分。</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2）定性指标分析环节：主要采用公众评判法，通过问卷及抽样调查等方式评价本项目实施后社会公众对于其实施效果的满意程度，将调研结果按照《中央部门项目支出核心绩效目标和指标设置及取值指引（试行）》（财预〔2021〕101号）文件要求分为基本达成目标、部分实现目标、实现目标程度较低三个档次，并分别按照该指标对应分值区间100%-80%（含）、80%-60%（含）、60%-0%合理确定分值。</w:t>
      </w:r>
    </w:p>
    <w:p>
      <w:pPr>
        <w:pStyle w:val="5"/>
        <w:ind w:firstLine="562"/>
        <w:rPr>
          <w:rFonts w:hint="eastAsia" w:ascii="宋体" w:hAnsi="宋体" w:eastAsia="宋体" w:cs="宋体"/>
          <w:color w:val="auto"/>
          <w:highlight w:val="none"/>
        </w:rPr>
      </w:pPr>
      <w:r>
        <w:rPr>
          <w:rFonts w:hint="eastAsia" w:ascii="宋体" w:hAnsi="宋体" w:eastAsia="宋体" w:cs="宋体"/>
          <w:color w:val="auto"/>
          <w:highlight w:val="none"/>
        </w:rPr>
        <w:t>4.评价标准</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（1）计划标准：将预先制定的目标、计划、预算、定额等作为评价标准。</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（2）历史标准：参照历史数据制定的评价标准，为体现绩效改进的原则，在可实现的条件下应当确定相对较高的评价标准。</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（3）财政部门和预算部门确认或认可的其他标准。</w:t>
      </w:r>
    </w:p>
    <w:p>
      <w:pPr>
        <w:pStyle w:val="4"/>
        <w:numPr>
          <w:ilvl w:val="0"/>
          <w:numId w:val="2"/>
        </w:numPr>
        <w:ind w:firstLine="643"/>
        <w:rPr>
          <w:color w:val="auto"/>
          <w:highlight w:val="none"/>
        </w:rPr>
      </w:pPr>
      <w:r>
        <w:rPr>
          <w:rFonts w:hint="eastAsia"/>
          <w:color w:val="auto"/>
          <w:highlight w:val="none"/>
        </w:rPr>
        <w:t>绩效评价工作过程</w:t>
      </w:r>
    </w:p>
    <w:p>
      <w:pPr>
        <w:pStyle w:val="5"/>
        <w:ind w:firstLine="562"/>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1.前期准备</w:t>
      </w:r>
    </w:p>
    <w:p>
      <w:pPr>
        <w:spacing w:line="560" w:lineRule="exact"/>
        <w:ind w:firstLine="560" w:firstLineChars="200"/>
        <w:rPr>
          <w:rFonts w:hint="eastAsia" w:ascii="宋体" w:hAnsi="宋体" w:eastAsia="宋体" w:cs="宋体"/>
          <w:b w:val="0"/>
          <w:bCs w:val="0"/>
          <w:color w:val="auto"/>
          <w:szCs w:val="28"/>
          <w:highlight w:val="none"/>
          <w:lang w:val="zh-TW" w:eastAsia="zh-TW"/>
        </w:rPr>
      </w:pPr>
      <w:r>
        <w:rPr>
          <w:rFonts w:hint="eastAsia" w:ascii="宋体" w:hAnsi="宋体" w:eastAsia="宋体" w:cs="宋体"/>
          <w:b w:val="0"/>
          <w:bCs w:val="0"/>
          <w:color w:val="auto"/>
          <w:szCs w:val="28"/>
          <w:highlight w:val="none"/>
          <w:lang w:val="en-US" w:eastAsia="zh-CN"/>
        </w:rPr>
        <w:t>为确保该项目绩效评价的顺利实施，本次评价成立了绩效评价项目小组，主要负责建立联络制度、明确评价责任人、制定评价方案、实施具体评价等工作。2024年2月26日，绩效评价项目小组成员对本项目开展前期调研。通过前期调研，确定了评价的目的、方法以及评价的原则，根据项目的内容和特征制定了评价指标体系及评价标准。绩效评价小组成员和职责如下：</w:t>
      </w:r>
    </w:p>
    <w:p>
      <w:pPr>
        <w:spacing w:line="560" w:lineRule="exact"/>
        <w:ind w:firstLine="560" w:firstLineChars="200"/>
        <w:rPr>
          <w:rFonts w:hint="default"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（1）评价组组长：吾买尔·艾合买提，主要负责确定绩效评价</w:t>
      </w:r>
      <w:r>
        <w:rPr>
          <w:rFonts w:hint="eastAsia" w:ascii="宋体" w:hAnsi="宋体" w:eastAsia="宋体" w:cs="宋体"/>
          <w:b w:val="0"/>
          <w:bCs w:val="0"/>
          <w:color w:val="auto"/>
          <w:szCs w:val="28"/>
          <w:highlight w:val="none"/>
          <w:lang w:val="en-US" w:eastAsia="zh-Hans"/>
        </w:rPr>
        <w:t>模</w:t>
      </w:r>
      <w:r>
        <w:rPr>
          <w:rFonts w:hint="eastAsia" w:ascii="宋体" w:hAnsi="宋体" w:eastAsia="宋体" w:cs="宋体"/>
          <w:b w:val="0"/>
          <w:bCs w:val="0"/>
          <w:color w:val="auto"/>
          <w:szCs w:val="28"/>
          <w:highlight w:val="none"/>
          <w:lang w:val="en-US" w:eastAsia="zh-CN"/>
        </w:rPr>
        <w:t>板、总体协调沟通、审核项目实施方案、拟定项目资金使用计划和资金使用审批、全盘统筹、总体质量把关等工作。</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（2）评价组副组长：陈国伟，主要负责绩效评价现场督导，对评价组成员的评价检查工作提供技术指导与支持，对实效评价工作质量把关。</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（3）评价组成员：艾西热甫·沙那吾力，主要负责现场调研工作，完成收集整理资料、审核数据、填报绩效评价内容等工作、负责办理项目相关的业务工作。</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（4）评价组成员：依克热木·热克甫，主要负责上报项目绩效目标表，监控表，与财政部门对接申请项目资金，严格按照相关资金文件及预算批复序时进行，保障项目资金拨付到位。</w:t>
      </w:r>
    </w:p>
    <w:p>
      <w:pPr>
        <w:pStyle w:val="5"/>
        <w:ind w:firstLine="562"/>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2.组织实施</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2024年2月28日-3月5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p>
    <w:p>
      <w:pPr>
        <w:pStyle w:val="5"/>
        <w:ind w:firstLine="562"/>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3.分析评价和撰写报告</w:t>
      </w:r>
    </w:p>
    <w:p>
      <w:pPr>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（1）综合分析评价</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2024年3月6日-3月15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p>
    <w:p>
      <w:pPr>
        <w:pStyle w:val="5"/>
        <w:ind w:firstLine="562"/>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（2）撰写报告</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绩效评价项目小组依照整理、分析后的项目材料、数据资料，依据评价形成的初步结论，按照绩效系统中统一的格式和内容要求撰写绩效评价初步报告，最终形成评价结果。</w:t>
      </w:r>
    </w:p>
    <w:p>
      <w:pPr>
        <w:pStyle w:val="5"/>
        <w:ind w:firstLine="562"/>
        <w:rPr>
          <w:rFonts w:hint="eastAsia" w:ascii="宋体" w:hAnsi="宋体" w:eastAsia="宋体" w:cs="宋体"/>
          <w:color w:val="auto"/>
          <w:highlight w:val="none"/>
          <w:lang w:val="en-US" w:eastAsia="zh-CN"/>
        </w:rPr>
      </w:pPr>
      <w:bookmarkStart w:id="12" w:name="_Toc5055"/>
      <w:r>
        <w:rPr>
          <w:rFonts w:hint="eastAsia" w:ascii="宋体" w:hAnsi="宋体" w:eastAsia="宋体" w:cs="宋体"/>
          <w:color w:val="auto"/>
          <w:highlight w:val="none"/>
          <w:lang w:val="en-US" w:eastAsia="zh-CN"/>
        </w:rPr>
        <w:t>4.归集档案</w:t>
      </w:r>
      <w:bookmarkEnd w:id="12"/>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我单位项目负责人落实档案管理制度，将项目相关资料存档，包括但不限于：评价项目基本情况和相关文件、评价实施方案、项目支付资料等相关档案。</w:t>
      </w:r>
    </w:p>
    <w:p>
      <w:pPr>
        <w:rPr>
          <w:color w:val="auto"/>
          <w:highlight w:val="none"/>
        </w:rPr>
      </w:pPr>
      <w:r>
        <w:rPr>
          <w:rFonts w:hint="eastAsia"/>
          <w:color w:val="auto"/>
          <w:highlight w:val="none"/>
        </w:rPr>
        <w:t>　</w:t>
      </w:r>
    </w:p>
    <w:p>
      <w:pPr>
        <w:pStyle w:val="3"/>
        <w:numPr>
          <w:ilvl w:val="0"/>
          <w:numId w:val="3"/>
        </w:numPr>
        <w:ind w:firstLine="640"/>
        <w:rPr>
          <w:color w:val="auto"/>
          <w:highlight w:val="none"/>
        </w:rPr>
      </w:pPr>
      <w:r>
        <w:rPr>
          <w:rFonts w:hint="eastAsia"/>
          <w:color w:val="auto"/>
          <w:highlight w:val="none"/>
        </w:rPr>
        <w:t>综合评价情况及评价结论</w:t>
      </w:r>
    </w:p>
    <w:p>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spacing w:line="560" w:lineRule="exact"/>
        <w:ind w:firstLine="560" w:firstLineChars="200"/>
        <w:rPr>
          <w:rFonts w:hint="eastAsia" w:ascii="宋体" w:hAnsi="宋体" w:eastAsia="宋体" w:cs="宋体"/>
          <w:b w:val="0"/>
          <w:bCs w:val="0"/>
          <w:color w:val="auto"/>
          <w:szCs w:val="28"/>
          <w:highlight w:val="none"/>
          <w:lang w:val="en-US" w:eastAsia="zh-CN"/>
        </w:rPr>
      </w:pPr>
      <w:bookmarkStart w:id="14" w:name="_Toc68364666"/>
      <w:r>
        <w:rPr>
          <w:rFonts w:hint="eastAsia"/>
          <w:color w:val="auto"/>
          <w:highlight w:val="none"/>
          <w:lang w:eastAsia="zh-CN"/>
        </w:rPr>
        <w:tab/>
      </w:r>
      <w:r>
        <w:rPr>
          <w:rFonts w:hint="eastAsia" w:ascii="宋体" w:hAnsi="宋体" w:eastAsia="宋体" w:cs="宋体"/>
          <w:b w:val="0"/>
          <w:bCs w:val="0"/>
          <w:color w:val="auto"/>
          <w:szCs w:val="28"/>
          <w:highlight w:val="none"/>
          <w:lang w:val="en-US" w:eastAsia="zh-CN"/>
        </w:rPr>
        <w:t>经评价，本项目达到了年初设立的绩效目标，项目总体组织规范，完成了工作目标，在实施过程中取得了良好的成效，具体表现在以下</w:t>
      </w:r>
      <w:r>
        <w:rPr>
          <w:rFonts w:hint="eastAsia" w:ascii="宋体" w:hAnsi="宋体" w:eastAsia="宋体" w:cs="宋体"/>
          <w:b w:val="0"/>
          <w:bCs w:val="0"/>
          <w:color w:val="auto"/>
          <w:szCs w:val="28"/>
          <w:highlight w:val="none"/>
          <w:lang w:val="en-US" w:eastAsia="zh-Hans"/>
        </w:rPr>
        <w:t>四</w:t>
      </w:r>
      <w:r>
        <w:rPr>
          <w:rFonts w:hint="eastAsia" w:ascii="宋体" w:hAnsi="宋体" w:eastAsia="宋体" w:cs="宋体"/>
          <w:b w:val="0"/>
          <w:bCs w:val="0"/>
          <w:color w:val="auto"/>
          <w:szCs w:val="28"/>
          <w:highlight w:val="none"/>
          <w:lang w:val="en-US" w:eastAsia="zh-CN"/>
        </w:rPr>
        <w:t>方面：</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项目决策方面：项目立项符合法律法规、相关政策、发展规划以及部门职责；项目申请、设立过程符合相关要求；项目所设定的绩效目标依据充分，符合客观实际；项目预算编制经过科学论证、资金额度与年度目标相适应；但仍然存在少部分问题，我单位相关工作人员虽然逐步树立了绩效理念，但是了解的还不够深入，还无法将效益指标进行量化，需要进一步加强项目绩效培训，确保绩效自评工作深入、全面性开展。</w:t>
      </w:r>
    </w:p>
    <w:p>
      <w:pPr>
        <w:spacing w:line="560" w:lineRule="exact"/>
        <w:ind w:firstLine="560" w:firstLineChars="200"/>
        <w:rPr>
          <w:rFonts w:hint="default"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项目管理方面：在细化下达预算时同步下达绩效目标将有关资金纳入转移支付绩效管理，开展绩效监控和绩效评价。并强化资金使用绩效，狠抓责任落实，保证项目资金按时到位，根据预算专款专用，保证资金安全。</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 xml:space="preserve">项目产出方面：截止2023年8月23月，柯尔克孜贴米村采购安装太阳能路灯40盏，采购东风5方多功能洒水车1台。共30万元。                                                                                                                       </w:t>
      </w:r>
    </w:p>
    <w:p>
      <w:pPr>
        <w:spacing w:line="560" w:lineRule="exact"/>
        <w:ind w:firstLine="560" w:firstLineChars="200"/>
        <w:rPr>
          <w:rFonts w:hint="default"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目标2：进一步加强农村人在柯尔克孜铁米村范围有效解决，减小垃圾船欠缺问题，进一步改善柯尔克孜铁米村的人居环境质量，美化村庄，有效防火灾隐患，提升农村生活质量。</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项目效益方面：进一步加强农村人居环境整治，解决农村脏乱差的现象，改善生活环境质量。通过实施该项目，农户增收渠道，使农户脱贫致富，可解决居住农户的交通照明问题，有利于人民群众致富奔小康，全面建设社会主义新农村。</w:t>
      </w:r>
    </w:p>
    <w:p>
      <w:pPr>
        <w:pStyle w:val="4"/>
        <w:bidi w:val="0"/>
        <w:rPr>
          <w:rFonts w:hint="eastAsia"/>
          <w:color w:val="auto"/>
          <w:highlight w:val="none"/>
        </w:rPr>
      </w:pPr>
      <w:r>
        <w:rPr>
          <w:rFonts w:hint="eastAsia"/>
          <w:color w:val="auto"/>
          <w:highlight w:val="none"/>
        </w:rPr>
        <w:t>（二）综合评价结论</w:t>
      </w:r>
    </w:p>
    <w:bookmarkEnd w:id="14"/>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此次绩效评价通过绩效评价小组论证的评价指标体系及评分标准，采用比较法、公众评判法、因素分析法等对本项目绩效进行客观评价，最终评分结果：总分为93.32分，绩效评级为“优秀”。综合评价结论如下：本项目决策指标共设置6个，满分20分，得分率100%；项目过程指标共设置5个，满分20分，得分率100%；项目产出指标共设置8个，满分24分，得分率97.17%；项目成本指标共设置2个，满分12分，得分率50%；项目效益指标共设置4个，满分24分，得分率100%。</w:t>
      </w:r>
    </w:p>
    <w:p>
      <w:pPr>
        <w:pStyle w:val="3"/>
        <w:numPr>
          <w:ilvl w:val="0"/>
          <w:numId w:val="3"/>
        </w:numPr>
        <w:ind w:firstLine="640"/>
        <w:rPr>
          <w:rFonts w:hint="eastAsia"/>
          <w:color w:val="auto"/>
          <w:highlight w:val="none"/>
        </w:rPr>
      </w:pPr>
      <w:r>
        <w:rPr>
          <w:rFonts w:hint="eastAsia"/>
          <w:color w:val="auto"/>
          <w:highlight w:val="none"/>
        </w:rPr>
        <w:t>绩效评价指标分析</w:t>
      </w:r>
    </w:p>
    <w:p>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项目决策类指标包括项目立项、绩效目标和资金投入三方面的内容，由3个二级指标和6个三级指标构成，权重分为20分，实际得分20分，得分率为100%。</w:t>
      </w:r>
    </w:p>
    <w:p>
      <w:pPr>
        <w:pStyle w:val="5"/>
        <w:bidi w:val="0"/>
        <w:rPr>
          <w:rFonts w:hint="eastAsia"/>
          <w:color w:val="auto"/>
          <w:highlight w:val="none"/>
          <w:lang w:val="en-US" w:eastAsia="zh-CN"/>
        </w:rPr>
      </w:pPr>
      <w:r>
        <w:rPr>
          <w:rFonts w:hint="eastAsia"/>
          <w:color w:val="auto"/>
          <w:highlight w:val="none"/>
          <w:lang w:val="en-US" w:eastAsia="zh-CN"/>
        </w:rPr>
        <w:t>1.绩效目标情况分析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①本项目已设置年度绩效目标，具体内容为：</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 xml:space="preserve">目标1：在计划柯尔克孜贴米村采购安装太阳能路灯35盏，采购东风5方多功能洒水车1台。共30万元。                                                                                                                       </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目标2：进一步加强农村人居环境整治，解决农村脏乱差的现象，改善生活环境质量。通过实施该项目，农户增收渠道，使农户脱贫致富，可解决居住农户的交通照明问题，有利于人民群众致富奔小康，全面建设社会主义新农村。</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②本项目绩效目标与实际工作内容具有相关性；</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③本项目按照绩效目标完成了各项产出指标和效益指标，预期产出效益和效果符合正常的业绩水平。</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④该项目批复的预算金额为30万元，《财政项目支出绩效目标表》中预算金额为30万元，预算确定的项目资金与预算确定的项目投资额相匹配。</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hAnsi="Times New Roman" w:cs="仿宋_GB2312"/>
          <w:b/>
          <w:bCs/>
          <w:color w:val="auto"/>
          <w:sz w:val="28"/>
          <w:szCs w:val="28"/>
          <w:highlight w:val="none"/>
        </w:rPr>
      </w:pPr>
      <w:r>
        <w:rPr>
          <w:rFonts w:hint="eastAsia" w:ascii="仿宋_GB2312" w:hAnsi="Times New Roman" w:cs="仿宋_GB2312"/>
          <w:b/>
          <w:bCs/>
          <w:color w:val="auto"/>
          <w:sz w:val="28"/>
          <w:szCs w:val="28"/>
          <w:highlight w:val="none"/>
        </w:rPr>
        <w:t>（</w:t>
      </w:r>
      <w:r>
        <w:rPr>
          <w:rFonts w:hint="eastAsia" w:ascii="仿宋_GB2312" w:hAnsi="Times New Roman" w:cs="仿宋_GB2312"/>
          <w:b/>
          <w:bCs/>
          <w:color w:val="auto"/>
          <w:sz w:val="28"/>
          <w:szCs w:val="28"/>
          <w:highlight w:val="none"/>
          <w:lang w:val="en-US" w:eastAsia="zh-CN"/>
        </w:rPr>
        <w:t>2</w:t>
      </w:r>
      <w:r>
        <w:rPr>
          <w:rFonts w:hint="eastAsia" w:ascii="仿宋_GB2312" w:hAnsi="Times New Roman" w:cs="仿宋_GB2312"/>
          <w:b/>
          <w:bCs/>
          <w:color w:val="auto"/>
          <w:sz w:val="28"/>
          <w:szCs w:val="28"/>
          <w:highlight w:val="none"/>
        </w:rPr>
        <w:t>）绩效指标明确性：</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经检查，我单位年初设置的《项目支出绩效目标表》：</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①已将项目绩效目标细化分解为具体的绩效指标，指标量化率达70%以上；</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②通过近几年对单位项目进行项目支出绩效评价工作，对一个项目从开始到结束全程进行目标监控，结合我单位的工作性质，相关工作人员虽然逐步树立了绩效理念，但是了解的还不够深入，还无法将效益指标进行量化，需要进一步加强项目绩效培训；</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③三级指标的年度指标值与年度绩效目标中任务数一致。</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综上所述，本指标满分为3分，根据评分标准得3分，本项目所设置绩效效益指标进一步明确，量化。</w:t>
      </w:r>
    </w:p>
    <w:p>
      <w:pPr>
        <w:pStyle w:val="5"/>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hAnsi="Times New Roman" w:cs="仿宋_GB2312"/>
          <w:b/>
          <w:bCs/>
          <w:color w:val="auto"/>
          <w:sz w:val="28"/>
          <w:szCs w:val="28"/>
          <w:highlight w:val="none"/>
        </w:rPr>
        <w:t>（</w:t>
      </w:r>
      <w:r>
        <w:rPr>
          <w:rFonts w:hint="eastAsia" w:ascii="仿宋_GB2312" w:hAnsi="Times New Roman" w:cs="仿宋_GB2312"/>
          <w:b/>
          <w:bCs/>
          <w:color w:val="auto"/>
          <w:sz w:val="28"/>
          <w:szCs w:val="28"/>
          <w:highlight w:val="none"/>
          <w:lang w:val="en-US" w:eastAsia="zh-CN"/>
        </w:rPr>
        <w:t>1</w:t>
      </w:r>
      <w:r>
        <w:rPr>
          <w:rFonts w:hint="eastAsia" w:ascii="仿宋_GB2312" w:hAnsi="Times New Roman"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①本项目预算编制通过前期调研和类似项目对比分析，预算编制较科学且经过论证；</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②项目全年预算资金为30万元，主要用于支付购买洒水车一辆及太阳能路灯35盏台，共30万元，预算内容与项目内容匹配；</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③我单位在预算申请中严格按照单位标准和数量进行核算，预算额度测算依据充分，按照标准编制；</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综上所述，本指标满分为4分，根据评分标准得4分，本项目预算编制科学。</w:t>
      </w:r>
    </w:p>
    <w:p>
      <w:pPr>
        <w:pageBreakBefore w:val="0"/>
        <w:kinsoku/>
        <w:wordWrap/>
        <w:topLinePunct w:val="0"/>
        <w:autoSpaceDE/>
        <w:autoSpaceDN/>
        <w:bidi w:val="0"/>
        <w:spacing w:line="560" w:lineRule="exact"/>
        <w:ind w:right="0" w:rightChars="0" w:firstLine="643"/>
        <w:rPr>
          <w:rFonts w:hint="eastAsia" w:ascii="仿宋_GB2312" w:hAnsi="Times New Roman" w:cs="仿宋_GB2312"/>
          <w:b/>
          <w:bCs/>
          <w:color w:val="auto"/>
          <w:sz w:val="28"/>
          <w:szCs w:val="28"/>
          <w:highlight w:val="none"/>
        </w:rPr>
      </w:pPr>
      <w:r>
        <w:rPr>
          <w:rFonts w:hint="eastAsia" w:ascii="仿宋_GB2312" w:hAnsi="Times New Roman" w:cs="仿宋_GB2312"/>
          <w:b/>
          <w:bCs/>
          <w:color w:val="auto"/>
          <w:sz w:val="28"/>
          <w:szCs w:val="28"/>
          <w:highlight w:val="none"/>
        </w:rPr>
        <w:t>（</w:t>
      </w:r>
      <w:r>
        <w:rPr>
          <w:rFonts w:hint="eastAsia" w:ascii="仿宋_GB2312" w:hAnsi="Times New Roman" w:cs="仿宋_GB2312"/>
          <w:b/>
          <w:bCs/>
          <w:color w:val="auto"/>
          <w:sz w:val="28"/>
          <w:szCs w:val="28"/>
          <w:highlight w:val="none"/>
          <w:lang w:val="en-US" w:eastAsia="zh-CN"/>
        </w:rPr>
        <w:t>2</w:t>
      </w:r>
      <w:r>
        <w:rPr>
          <w:rFonts w:hint="eastAsia" w:ascii="仿宋_GB2312" w:hAnsi="Times New Roman" w:cs="仿宋_GB2312"/>
          <w:b/>
          <w:bCs/>
          <w:color w:val="auto"/>
          <w:sz w:val="28"/>
          <w:szCs w:val="28"/>
          <w:highlight w:val="none"/>
        </w:rPr>
        <w:t>）资金分配合理性：</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①本项目实际分配资金以《农业农村部、财政部关于做好2022年农业生产发展等项目实施工作的通知》（农计财发〔2022〕13号）、托克逊县财政局《关于提前下达2022年中央农业生产发展资金预算的通知》（托财农[2022]9号）文件为依据进行资金分配，预算资金分配依据充分。</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②本项目实际到位资金30万元，实际分配资金与我单位提交申请的资金额度一致，资金分配额度合理，与我单位实际需求相适应。综上所述，本指标满分为2分，根据评分标准得2分，本项目资金分配合理。</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项目过程类指标包括资金管理和组织实施两方面的内容，由2个二级指标和5个三级指标构成，权重分为20分，实际得分20分，得分率为100%。</w:t>
      </w:r>
    </w:p>
    <w:p>
      <w:pPr>
        <w:pStyle w:val="5"/>
        <w:bidi w:val="0"/>
        <w:rPr>
          <w:rFonts w:hint="eastAsia"/>
          <w:color w:val="auto"/>
          <w:highlight w:val="none"/>
          <w:lang w:val="en-US" w:eastAsia="zh-CN"/>
        </w:rPr>
      </w:pPr>
      <w:r>
        <w:rPr>
          <w:rFonts w:hint="eastAsia"/>
          <w:color w:val="auto"/>
          <w:highlight w:val="none"/>
          <w:lang w:val="en-US" w:eastAsia="zh-CN"/>
        </w:rPr>
        <w:t>1.资金管理情况分析</w:t>
      </w:r>
    </w:p>
    <w:p>
      <w:pPr>
        <w:pageBreakBefore w:val="0"/>
        <w:kinsoku/>
        <w:wordWrap/>
        <w:topLinePunct w:val="0"/>
        <w:autoSpaceDE/>
        <w:autoSpaceDN/>
        <w:bidi w:val="0"/>
        <w:spacing w:line="560" w:lineRule="exact"/>
        <w:ind w:right="0" w:rightChars="0" w:firstLine="643"/>
        <w:rPr>
          <w:rFonts w:hint="eastAsia" w:ascii="仿宋_GB2312" w:hAnsi="Times New Roman" w:cs="仿宋_GB2312"/>
          <w:b/>
          <w:bCs/>
          <w:color w:val="auto"/>
          <w:sz w:val="28"/>
          <w:szCs w:val="28"/>
          <w:highlight w:val="none"/>
        </w:rPr>
      </w:pPr>
      <w:r>
        <w:rPr>
          <w:rFonts w:hint="eastAsia" w:ascii="仿宋_GB2312" w:hAnsi="Times New Roman" w:cs="仿宋_GB2312"/>
          <w:b/>
          <w:bCs/>
          <w:color w:val="auto"/>
          <w:sz w:val="28"/>
          <w:szCs w:val="28"/>
          <w:highlight w:val="none"/>
        </w:rPr>
        <w:t>（1）资金到位率：</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本项目全年预算资金为30万元，实际到位资金30万元，资金到位率=（实际到位资金/预算资金）×100%=100%。</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综上所述，本指标满分为4分，根据评分标准得4分,本项目资金到位率为100%。</w:t>
      </w:r>
    </w:p>
    <w:p>
      <w:pPr>
        <w:pageBreakBefore w:val="0"/>
        <w:kinsoku/>
        <w:wordWrap/>
        <w:topLinePunct w:val="0"/>
        <w:autoSpaceDE/>
        <w:autoSpaceDN/>
        <w:bidi w:val="0"/>
        <w:spacing w:line="560" w:lineRule="exact"/>
        <w:ind w:right="0" w:rightChars="0" w:firstLine="643"/>
        <w:rPr>
          <w:rFonts w:hint="eastAsia" w:ascii="仿宋_GB2312" w:hAnsi="Times New Roman" w:cs="仿宋_GB2312"/>
          <w:b/>
          <w:bCs/>
          <w:color w:val="auto"/>
          <w:sz w:val="28"/>
          <w:szCs w:val="28"/>
          <w:highlight w:val="none"/>
        </w:rPr>
      </w:pPr>
      <w:r>
        <w:rPr>
          <w:rFonts w:hint="eastAsia" w:ascii="仿宋_GB2312" w:hAnsi="Times New Roman" w:cs="仿宋_GB2312"/>
          <w:b/>
          <w:bCs/>
          <w:color w:val="auto"/>
          <w:sz w:val="28"/>
          <w:szCs w:val="28"/>
          <w:highlight w:val="none"/>
        </w:rPr>
        <w:t>（2）预算执行率：</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本项目到位资金为30万元，实际支出资金30万元，预算执行率=（实际支出资金/实际到位资金）×100%=（30/30）×100%=100%。</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综上所述，本指标满分为4分，根据评分标准得4分,本项目预算执行率为100%</w:t>
      </w:r>
    </w:p>
    <w:p>
      <w:pPr>
        <w:pageBreakBefore w:val="0"/>
        <w:kinsoku/>
        <w:wordWrap/>
        <w:topLinePunct w:val="0"/>
        <w:autoSpaceDE/>
        <w:autoSpaceDN/>
        <w:bidi w:val="0"/>
        <w:spacing w:line="560" w:lineRule="exact"/>
        <w:ind w:right="0" w:rightChars="0" w:firstLine="643"/>
        <w:rPr>
          <w:rFonts w:hint="eastAsia" w:ascii="仿宋_GB2312" w:hAnsi="Times New Roman" w:cs="仿宋_GB2312"/>
          <w:b/>
          <w:bCs/>
          <w:color w:val="auto"/>
          <w:sz w:val="28"/>
          <w:szCs w:val="28"/>
          <w:highlight w:val="none"/>
        </w:rPr>
      </w:pPr>
      <w:r>
        <w:rPr>
          <w:rFonts w:hint="eastAsia" w:ascii="仿宋_GB2312" w:hAnsi="Times New Roman" w:cs="仿宋_GB2312"/>
          <w:b/>
          <w:bCs/>
          <w:color w:val="auto"/>
          <w:sz w:val="28"/>
          <w:szCs w:val="28"/>
          <w:highlight w:val="none"/>
        </w:rPr>
        <w:t>（3）资金使用合规性：</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经检查，本项目合同、财务支出凭证等资料，本项目资金使用符合国家财经法规、《政府会计制度》以及《托克逊县农村合作经济发展中心单位资金管理办法》，资金的拨付有完整的审批程序和手续，资金实际使用方向与预算批复用途一致，不存在截留、挤占、挪用、虚列支出的情况。</w:t>
      </w:r>
    </w:p>
    <w:p>
      <w:pPr>
        <w:spacing w:line="560" w:lineRule="exact"/>
        <w:ind w:firstLine="560" w:firstLineChars="200"/>
        <w:rPr>
          <w:rFonts w:hint="default"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综上所述，本指标满分为4分，根据评分标准得4分,本项目资金使用合规。</w:t>
      </w:r>
    </w:p>
    <w:p>
      <w:pPr>
        <w:pStyle w:val="5"/>
        <w:bidi w:val="0"/>
        <w:rPr>
          <w:rFonts w:hint="eastAsia" w:ascii="楷体_GB2312" w:hAnsi="楷体_GB2312" w:eastAsia="楷体_GB2312" w:cs="楷体_GB2312"/>
          <w:color w:val="auto"/>
          <w:highlight w:val="none"/>
          <w:lang w:val="en-US" w:eastAsia="zh-CN"/>
        </w:rPr>
      </w:pPr>
      <w:r>
        <w:rPr>
          <w:rFonts w:hint="eastAsia" w:ascii="楷体_GB2312" w:hAnsi="楷体_GB2312" w:eastAsia="楷体_GB2312" w:cs="楷体_GB2312"/>
          <w:color w:val="auto"/>
          <w:highlight w:val="none"/>
          <w:lang w:val="en-US" w:eastAsia="zh-CN"/>
        </w:rPr>
        <w:t>2.组织实施情况分析</w:t>
      </w:r>
    </w:p>
    <w:p>
      <w:pPr>
        <w:pageBreakBefore w:val="0"/>
        <w:kinsoku/>
        <w:wordWrap/>
        <w:topLinePunct w:val="0"/>
        <w:autoSpaceDE/>
        <w:autoSpaceDN/>
        <w:bidi w:val="0"/>
        <w:spacing w:line="560" w:lineRule="exact"/>
        <w:ind w:right="0" w:rightChars="0" w:firstLine="643"/>
        <w:rPr>
          <w:rFonts w:hint="eastAsia" w:ascii="仿宋_GB2312" w:hAnsi="Times New Roman" w:cs="仿宋_GB2312"/>
          <w:b/>
          <w:bCs/>
          <w:color w:val="auto"/>
          <w:sz w:val="28"/>
          <w:szCs w:val="28"/>
          <w:highlight w:val="none"/>
        </w:rPr>
      </w:pPr>
      <w:r>
        <w:rPr>
          <w:rFonts w:hint="eastAsia" w:ascii="仿宋_GB2312" w:hAnsi="Times New Roman" w:cs="仿宋_GB2312"/>
          <w:b/>
          <w:bCs/>
          <w:color w:val="auto"/>
          <w:sz w:val="28"/>
          <w:szCs w:val="28"/>
          <w:highlight w:val="none"/>
        </w:rPr>
        <w:t>（</w:t>
      </w:r>
      <w:r>
        <w:rPr>
          <w:rFonts w:hint="eastAsia" w:ascii="仿宋_GB2312" w:hAnsi="Times New Roman" w:cs="仿宋_GB2312"/>
          <w:b/>
          <w:bCs/>
          <w:color w:val="auto"/>
          <w:sz w:val="28"/>
          <w:szCs w:val="28"/>
          <w:highlight w:val="none"/>
          <w:lang w:val="en-US" w:eastAsia="zh-CN"/>
        </w:rPr>
        <w:t>1</w:t>
      </w:r>
      <w:r>
        <w:rPr>
          <w:rFonts w:hint="eastAsia" w:ascii="仿宋_GB2312" w:hAnsi="Times New Roman" w:cs="仿宋_GB2312"/>
          <w:b/>
          <w:bCs/>
          <w:color w:val="auto"/>
          <w:sz w:val="28"/>
          <w:szCs w:val="28"/>
          <w:highlight w:val="none"/>
        </w:rPr>
        <w:t>）管理制度健全性：</w:t>
      </w:r>
    </w:p>
    <w:p>
      <w:pPr>
        <w:pageBreakBefore w:val="0"/>
        <w:kinsoku/>
        <w:wordWrap/>
        <w:topLinePunct w:val="0"/>
        <w:autoSpaceDE/>
        <w:autoSpaceDN/>
        <w:bidi w:val="0"/>
        <w:spacing w:line="560" w:lineRule="exact"/>
        <w:ind w:right="0" w:rightChars="0" w:firstLine="643"/>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我单位已制定《财务管理办法》、《内部控制管理制度》、《托克逊县农经发展中心采购业务管理制度》等，上述已建立的制度均符合行政事业单位内控管理要求，财务和业务管理制度合法、合规、完整，本项目执行符合上述制度规定。</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综上所述，本指标满分为4分，根据评分标准得4分,本项目管理制度健全。</w:t>
      </w:r>
    </w:p>
    <w:p>
      <w:pPr>
        <w:pageBreakBefore w:val="0"/>
        <w:kinsoku/>
        <w:wordWrap/>
        <w:topLinePunct w:val="0"/>
        <w:autoSpaceDE/>
        <w:autoSpaceDN/>
        <w:bidi w:val="0"/>
        <w:spacing w:line="560" w:lineRule="exact"/>
        <w:ind w:right="0" w:rightChars="0" w:firstLine="643"/>
        <w:rPr>
          <w:rFonts w:hint="eastAsia" w:ascii="仿宋_GB2312" w:hAnsi="Times New Roman" w:cs="仿宋_GB2312"/>
          <w:b/>
          <w:bCs/>
          <w:color w:val="auto"/>
          <w:sz w:val="28"/>
          <w:szCs w:val="28"/>
          <w:highlight w:val="none"/>
        </w:rPr>
      </w:pPr>
      <w:r>
        <w:rPr>
          <w:rFonts w:hint="eastAsia" w:ascii="仿宋_GB2312" w:hAnsi="Times New Roman" w:cs="仿宋_GB2312"/>
          <w:b/>
          <w:bCs/>
          <w:color w:val="auto"/>
          <w:sz w:val="28"/>
          <w:szCs w:val="28"/>
          <w:highlight w:val="none"/>
        </w:rPr>
        <w:t>（</w:t>
      </w:r>
      <w:r>
        <w:rPr>
          <w:rFonts w:hint="eastAsia" w:ascii="仿宋_GB2312" w:hAnsi="Times New Roman" w:cs="仿宋_GB2312"/>
          <w:b/>
          <w:bCs/>
          <w:color w:val="auto"/>
          <w:sz w:val="28"/>
          <w:szCs w:val="28"/>
          <w:highlight w:val="none"/>
          <w:lang w:val="en-US" w:eastAsia="zh-CN"/>
        </w:rPr>
        <w:t>2</w:t>
      </w:r>
      <w:r>
        <w:rPr>
          <w:rFonts w:hint="eastAsia" w:ascii="仿宋_GB2312" w:hAnsi="Times New Roman" w:cs="仿宋_GB2312"/>
          <w:b/>
          <w:bCs/>
          <w:color w:val="auto"/>
          <w:sz w:val="28"/>
          <w:szCs w:val="28"/>
          <w:highlight w:val="none"/>
        </w:rPr>
        <w:t>）制度执行有效性：</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①该项目的实施符合《财务管理办法》、《内部控制管理制度》、《托克逊县库米什镇人民政府采购业务管理制度》、《托克逊县库米什镇人民政府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②经现场查证项目合同书、验收评审表、财务支付凭证等资料齐全并及时归档。</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③本项目不存在调整。</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④本项目实施所需要的项目人员和场地设备均已落实到位，具体涉及内容包括：为确保项目的顺利实施我单位有明确的岗位职责分工，人员均已配备到位，项目实施过程中所需的各项配套也已具备。</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综上所述，本指标满分为4分，根据评分标准得4分,本项目制度执行有效。</w:t>
      </w:r>
    </w:p>
    <w:p>
      <w:pPr>
        <w:pStyle w:val="5"/>
        <w:bidi w:val="0"/>
        <w:rPr>
          <w:rFonts w:hint="eastAsia" w:ascii="楷体_GB2312" w:hAnsi="楷体_GB2312" w:eastAsia="楷体_GB2312" w:cs="楷体_GB2312"/>
          <w:color w:val="auto"/>
          <w:sz w:val="32"/>
          <w:highlight w:val="none"/>
        </w:rPr>
      </w:pPr>
      <w:r>
        <w:rPr>
          <w:rFonts w:hint="eastAsia" w:ascii="楷体_GB2312" w:hAnsi="楷体_GB2312" w:eastAsia="楷体_GB2312" w:cs="楷体_GB2312"/>
          <w:color w:val="auto"/>
          <w:sz w:val="32"/>
          <w:highlight w:val="none"/>
        </w:rPr>
        <w:t>（三）项目产出情况</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项目产出类指标包括产出数量、产出质量、产出时效、的内容，权重分为24分，实际得分24分，得分率为97.17%。</w:t>
      </w:r>
    </w:p>
    <w:p>
      <w:pPr>
        <w:pageBreakBefore w:val="0"/>
        <w:kinsoku/>
        <w:wordWrap/>
        <w:topLinePunct w:val="0"/>
        <w:autoSpaceDE/>
        <w:autoSpaceDN/>
        <w:bidi w:val="0"/>
        <w:spacing w:line="560" w:lineRule="exact"/>
        <w:ind w:right="0" w:rightChars="0" w:firstLine="643"/>
        <w:rPr>
          <w:rFonts w:hint="eastAsia" w:ascii="仿宋_GB2312" w:hAnsi="Times New Roman" w:cs="仿宋_GB2312"/>
          <w:b/>
          <w:bCs/>
          <w:color w:val="auto"/>
          <w:sz w:val="28"/>
          <w:szCs w:val="28"/>
          <w:highlight w:val="none"/>
          <w:lang w:val="en-US" w:eastAsia="zh-CN"/>
        </w:rPr>
      </w:pPr>
      <w:r>
        <w:rPr>
          <w:rFonts w:hint="eastAsia" w:ascii="仿宋_GB2312" w:hAnsi="Times New Roman" w:cs="仿宋_GB2312"/>
          <w:b/>
          <w:bCs/>
          <w:color w:val="auto"/>
          <w:sz w:val="28"/>
          <w:szCs w:val="28"/>
          <w:highlight w:val="none"/>
          <w:lang w:val="en-US" w:eastAsia="zh-CN"/>
        </w:rPr>
        <w:t>1.数量指标完成情况分析</w:t>
      </w:r>
    </w:p>
    <w:p>
      <w:pPr>
        <w:spacing w:line="560" w:lineRule="exact"/>
        <w:ind w:firstLine="560" w:firstLineChars="200"/>
        <w:rPr>
          <w:rFonts w:hint="default"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购置太阳能路灯数量”指标：预期指标值为'=35盏，实际完成指标值为40盏，指标完成率为85.7%。本指标满分为4.8分，根据评分标准，该指标得4.2分。原因：指标预期值设置偏低导致；改进措施：落实好绩效管理制度，加强相关部门，岗位的协作能力，加强绩效审核环节。</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“购置东风5方多功能洒水车数量”指标：预期指标值为1辆，实际完成指标值为1辆，指标完成率为100%。本指标满分为4.8分，根据评分标准，该指标得4.8分。</w:t>
      </w:r>
    </w:p>
    <w:p>
      <w:pPr>
        <w:pageBreakBefore w:val="0"/>
        <w:kinsoku/>
        <w:wordWrap/>
        <w:topLinePunct w:val="0"/>
        <w:autoSpaceDE/>
        <w:autoSpaceDN/>
        <w:bidi w:val="0"/>
        <w:spacing w:line="560" w:lineRule="exact"/>
        <w:ind w:right="0" w:rightChars="0" w:firstLine="643"/>
        <w:rPr>
          <w:rFonts w:hint="eastAsia" w:ascii="仿宋_GB2312" w:hAnsi="Times New Roman" w:cs="仿宋_GB2312"/>
          <w:b/>
          <w:bCs/>
          <w:color w:val="auto"/>
          <w:sz w:val="28"/>
          <w:szCs w:val="28"/>
          <w:highlight w:val="none"/>
          <w:lang w:val="en-US" w:eastAsia="zh-CN"/>
        </w:rPr>
      </w:pPr>
      <w:r>
        <w:rPr>
          <w:rFonts w:hint="eastAsia" w:ascii="仿宋_GB2312" w:hAnsi="Times New Roman" w:cs="仿宋_GB2312"/>
          <w:b/>
          <w:bCs/>
          <w:color w:val="auto"/>
          <w:sz w:val="28"/>
          <w:szCs w:val="28"/>
          <w:highlight w:val="none"/>
          <w:lang w:val="en-US" w:eastAsia="zh-CN"/>
        </w:rPr>
        <w:t>2.质量指标完成情况分析</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“项目验收合格率”指标：预期指标值为≧100%，实际完成指标值为100%，指标完成率为100%。本指标满分为4.8分，根据评分标准，该指标得4.8分。</w:t>
      </w:r>
    </w:p>
    <w:p>
      <w:pPr>
        <w:spacing w:line="560" w:lineRule="exact"/>
        <w:ind w:firstLine="560" w:firstLineChars="200"/>
        <w:rPr>
          <w:rFonts w:hint="eastAsia"/>
          <w:color w:val="auto"/>
          <w:highlight w:val="none"/>
          <w:lang w:val="en-US" w:eastAsia="zh-CN"/>
        </w:rPr>
      </w:pPr>
      <w:r>
        <w:rPr>
          <w:rFonts w:hint="eastAsia" w:ascii="宋体" w:hAnsi="宋体" w:eastAsia="宋体" w:cs="宋体"/>
          <w:b w:val="0"/>
          <w:bCs w:val="0"/>
          <w:color w:val="auto"/>
          <w:szCs w:val="28"/>
          <w:highlight w:val="none"/>
          <w:lang w:val="en-US" w:eastAsia="zh-CN"/>
        </w:rPr>
        <w:t>“政府采购率”指标：预期指标值为≧100%，实际完成指标值为100%，指标完成率为100%。本指标满分为4.8分，根据评分标准，该指标得4.8分。</w:t>
      </w:r>
    </w:p>
    <w:p>
      <w:pPr>
        <w:pageBreakBefore w:val="0"/>
        <w:kinsoku/>
        <w:wordWrap/>
        <w:topLinePunct w:val="0"/>
        <w:autoSpaceDE/>
        <w:autoSpaceDN/>
        <w:bidi w:val="0"/>
        <w:spacing w:line="560" w:lineRule="exact"/>
        <w:ind w:right="0" w:rightChars="0" w:firstLine="643"/>
        <w:rPr>
          <w:rFonts w:hint="eastAsia" w:ascii="仿宋_GB2312" w:hAnsi="Times New Roman" w:cs="仿宋_GB2312"/>
          <w:b/>
          <w:bCs/>
          <w:color w:val="auto"/>
          <w:sz w:val="28"/>
          <w:szCs w:val="28"/>
          <w:highlight w:val="none"/>
          <w:lang w:val="en-US" w:eastAsia="zh-CN"/>
        </w:rPr>
      </w:pPr>
      <w:r>
        <w:rPr>
          <w:rFonts w:hint="eastAsia" w:ascii="仿宋_GB2312" w:hAnsi="Times New Roman" w:cs="仿宋_GB2312"/>
          <w:b/>
          <w:bCs/>
          <w:color w:val="auto"/>
          <w:sz w:val="28"/>
          <w:szCs w:val="28"/>
          <w:highlight w:val="none"/>
          <w:lang w:val="en-US" w:eastAsia="zh-CN"/>
        </w:rPr>
        <w:t>3.时效指标完成情况分析</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“资金支付及时率”指标：预期指标值为≧100%，实际完成指标值为≧100%，指标完成率为100%。本指标满分为3.6分，根据评分标准，该指标得3.6分。</w:t>
      </w:r>
    </w:p>
    <w:p>
      <w:pPr>
        <w:spacing w:line="560" w:lineRule="exact"/>
        <w:ind w:firstLine="560" w:firstLineChars="200"/>
        <w:rPr>
          <w:rFonts w:hint="default"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“设备采购完成时间”指标：预期指标值为2023年10月，实际完成指标值为2023年8月23日，指标完成率为100%。本指标满分为3分，根据评分标准，该指标得分。</w:t>
      </w:r>
    </w:p>
    <w:p>
      <w:pPr>
        <w:pStyle w:val="5"/>
        <w:numPr>
          <w:ilvl w:val="0"/>
          <w:numId w:val="2"/>
        </w:numPr>
        <w:bidi w:val="0"/>
        <w:ind w:left="0" w:leftChars="0" w:firstLine="643" w:firstLineChars="200"/>
        <w:rPr>
          <w:rFonts w:hint="eastAsia" w:ascii="楷体_GB2312" w:hAnsi="楷体_GB2312" w:eastAsia="楷体_GB2312" w:cs="楷体_GB2312"/>
          <w:color w:val="auto"/>
          <w:sz w:val="32"/>
          <w:highlight w:val="none"/>
        </w:rPr>
      </w:pPr>
      <w:r>
        <w:rPr>
          <w:rFonts w:hint="eastAsia" w:ascii="楷体_GB2312" w:hAnsi="楷体_GB2312" w:eastAsia="楷体_GB2312" w:cs="楷体_GB2312"/>
          <w:color w:val="auto"/>
          <w:sz w:val="32"/>
          <w:highlight w:val="none"/>
        </w:rPr>
        <w:t>项目</w:t>
      </w:r>
      <w:r>
        <w:rPr>
          <w:rFonts w:hint="eastAsia" w:ascii="楷体_GB2312" w:hAnsi="楷体_GB2312" w:eastAsia="楷体_GB2312" w:cs="楷体_GB2312"/>
          <w:color w:val="auto"/>
          <w:sz w:val="32"/>
          <w:highlight w:val="none"/>
          <w:lang w:val="en-US" w:eastAsia="zh-CN"/>
        </w:rPr>
        <w:t>成本</w:t>
      </w:r>
      <w:r>
        <w:rPr>
          <w:rFonts w:hint="eastAsia" w:ascii="楷体_GB2312" w:hAnsi="楷体_GB2312" w:eastAsia="楷体_GB2312" w:cs="楷体_GB2312"/>
          <w:color w:val="auto"/>
          <w:sz w:val="32"/>
          <w:highlight w:val="none"/>
        </w:rPr>
        <w:t>情况</w:t>
      </w:r>
    </w:p>
    <w:p>
      <w:pPr>
        <w:spacing w:line="560" w:lineRule="exact"/>
        <w:ind w:firstLine="560" w:firstLineChars="200"/>
        <w:rPr>
          <w:rFonts w:hint="default"/>
          <w:color w:val="auto"/>
          <w:highlight w:val="none"/>
          <w:lang w:val="en-US" w:eastAsia="zh-CN"/>
        </w:rPr>
      </w:pPr>
      <w:r>
        <w:rPr>
          <w:rFonts w:hint="eastAsia" w:ascii="宋体" w:hAnsi="宋体" w:eastAsia="宋体" w:cs="宋体"/>
          <w:b w:val="0"/>
          <w:bCs w:val="0"/>
          <w:color w:val="auto"/>
          <w:szCs w:val="28"/>
          <w:highlight w:val="none"/>
          <w:lang w:val="en-US" w:eastAsia="zh-CN"/>
        </w:rPr>
        <w:t>项目成本类指标由1个二级指标和2个三级指标构成，权重分为12分，实际得分6分，得分率为50%。</w:t>
      </w:r>
    </w:p>
    <w:p>
      <w:pPr>
        <w:pageBreakBefore w:val="0"/>
        <w:kinsoku/>
        <w:wordWrap/>
        <w:topLinePunct w:val="0"/>
        <w:autoSpaceDE/>
        <w:autoSpaceDN/>
        <w:bidi w:val="0"/>
        <w:spacing w:line="560" w:lineRule="exact"/>
        <w:ind w:right="0" w:rightChars="0" w:firstLine="643"/>
        <w:rPr>
          <w:rFonts w:hint="eastAsia" w:ascii="仿宋_GB2312" w:hAnsi="Times New Roman" w:cs="仿宋_GB2312"/>
          <w:b/>
          <w:bCs/>
          <w:color w:val="auto"/>
          <w:sz w:val="28"/>
          <w:szCs w:val="28"/>
          <w:highlight w:val="none"/>
        </w:rPr>
      </w:pPr>
      <w:r>
        <w:rPr>
          <w:rFonts w:hint="eastAsia" w:ascii="仿宋_GB2312" w:cs="仿宋_GB2312"/>
          <w:b/>
          <w:bCs/>
          <w:color w:val="auto"/>
          <w:sz w:val="28"/>
          <w:szCs w:val="28"/>
          <w:highlight w:val="none"/>
          <w:lang w:val="en-US" w:eastAsia="zh-CN"/>
        </w:rPr>
        <w:t>1</w:t>
      </w:r>
      <w:r>
        <w:rPr>
          <w:rFonts w:hint="eastAsia" w:ascii="仿宋_GB2312" w:hAnsi="Times New Roman" w:cs="仿宋_GB2312"/>
          <w:b/>
          <w:bCs/>
          <w:color w:val="auto"/>
          <w:sz w:val="28"/>
          <w:szCs w:val="28"/>
          <w:highlight w:val="none"/>
          <w:lang w:val="en-US" w:eastAsia="zh-CN"/>
        </w:rPr>
        <w:t>.</w:t>
      </w:r>
      <w:r>
        <w:rPr>
          <w:rFonts w:hint="eastAsia" w:ascii="仿宋_GB2312" w:cs="仿宋_GB2312"/>
          <w:b/>
          <w:bCs/>
          <w:color w:val="auto"/>
          <w:sz w:val="28"/>
          <w:szCs w:val="28"/>
          <w:highlight w:val="none"/>
          <w:lang w:val="en-US" w:eastAsia="zh-CN"/>
        </w:rPr>
        <w:t>经济</w:t>
      </w:r>
      <w:r>
        <w:rPr>
          <w:rFonts w:hint="eastAsia" w:ascii="仿宋_GB2312" w:hAnsi="Times New Roman" w:cs="仿宋_GB2312"/>
          <w:b/>
          <w:bCs/>
          <w:color w:val="auto"/>
          <w:sz w:val="28"/>
          <w:szCs w:val="28"/>
          <w:highlight w:val="none"/>
          <w:lang w:val="en-US" w:eastAsia="zh-CN"/>
        </w:rPr>
        <w:t>成本指标完成情况分析</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“东风5方多功能洒水车采购成本控制数”指标：预期指标值为小于等于15万元/台，实际完成指标值为14.0525万元，指标完成率为100%。本指标满分为6分，根据评分标准，该指标得6分。</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太阳能路灯采购成本控制数”指标：预期指标值为小于等于15万元，实际完成指标值为15.92万元，指标完成率为0%。本指标满分为6分，根据评分标准，该指标得0分。原因：指标预期值设置偏低导致；改进措施：落实好绩效管理制度，加强相关部门，岗位的协作能力，加强绩效审核环节。</w:t>
      </w:r>
    </w:p>
    <w:p>
      <w:pPr>
        <w:pageBreakBefore w:val="0"/>
        <w:kinsoku/>
        <w:wordWrap/>
        <w:topLinePunct w:val="0"/>
        <w:autoSpaceDE/>
        <w:autoSpaceDN/>
        <w:bidi w:val="0"/>
        <w:spacing w:line="560" w:lineRule="exact"/>
        <w:ind w:right="0" w:rightChars="0" w:firstLine="643"/>
        <w:rPr>
          <w:rFonts w:hint="eastAsia" w:ascii="仿宋_GB2312" w:hAnsi="Times New Roman" w:cs="仿宋_GB2312"/>
          <w:b/>
          <w:bCs/>
          <w:color w:val="auto"/>
          <w:sz w:val="28"/>
          <w:szCs w:val="28"/>
          <w:highlight w:val="none"/>
        </w:rPr>
      </w:pPr>
      <w:r>
        <w:rPr>
          <w:rFonts w:hint="eastAsia" w:ascii="仿宋_GB2312" w:cs="仿宋_GB2312"/>
          <w:b/>
          <w:bCs/>
          <w:color w:val="auto"/>
          <w:sz w:val="28"/>
          <w:szCs w:val="28"/>
          <w:highlight w:val="none"/>
          <w:lang w:val="en-US" w:eastAsia="zh-CN"/>
        </w:rPr>
        <w:t>2</w:t>
      </w:r>
      <w:r>
        <w:rPr>
          <w:rFonts w:hint="eastAsia" w:ascii="仿宋_GB2312" w:hAnsi="Times New Roman" w:cs="仿宋_GB2312"/>
          <w:b/>
          <w:bCs/>
          <w:color w:val="auto"/>
          <w:sz w:val="28"/>
          <w:szCs w:val="28"/>
          <w:highlight w:val="none"/>
          <w:lang w:val="en-US" w:eastAsia="zh-CN"/>
        </w:rPr>
        <w:t>.</w:t>
      </w:r>
      <w:r>
        <w:rPr>
          <w:rFonts w:hint="eastAsia" w:ascii="仿宋_GB2312" w:cs="仿宋_GB2312"/>
          <w:b/>
          <w:bCs/>
          <w:color w:val="auto"/>
          <w:sz w:val="28"/>
          <w:szCs w:val="28"/>
          <w:highlight w:val="none"/>
          <w:lang w:val="en-US" w:eastAsia="zh-CN"/>
        </w:rPr>
        <w:t>社会</w:t>
      </w:r>
      <w:r>
        <w:rPr>
          <w:rFonts w:hint="eastAsia" w:ascii="仿宋_GB2312" w:hAnsi="Times New Roman" w:cs="仿宋_GB2312"/>
          <w:b/>
          <w:bCs/>
          <w:color w:val="auto"/>
          <w:sz w:val="28"/>
          <w:szCs w:val="28"/>
          <w:highlight w:val="none"/>
          <w:lang w:val="en-US" w:eastAsia="zh-CN"/>
        </w:rPr>
        <w:t>成本指标完成情况分析</w:t>
      </w:r>
    </w:p>
    <w:p>
      <w:pPr>
        <w:pStyle w:val="2"/>
        <w:rPr>
          <w:rFonts w:hint="eastAsia"/>
          <w:lang w:val="en-US" w:eastAsia="zh-CN"/>
        </w:rPr>
      </w:pPr>
      <w:r>
        <w:rPr>
          <w:rFonts w:hint="eastAsia"/>
          <w:lang w:val="en-US" w:eastAsia="zh-CN"/>
        </w:rPr>
        <w:t>无</w:t>
      </w:r>
    </w:p>
    <w:p>
      <w:pPr>
        <w:pageBreakBefore w:val="0"/>
        <w:kinsoku/>
        <w:wordWrap/>
        <w:topLinePunct w:val="0"/>
        <w:autoSpaceDE/>
        <w:autoSpaceDN/>
        <w:bidi w:val="0"/>
        <w:spacing w:line="560" w:lineRule="exact"/>
        <w:ind w:right="0" w:rightChars="0" w:firstLine="643"/>
        <w:rPr>
          <w:rFonts w:hint="eastAsia" w:ascii="仿宋_GB2312" w:hAnsi="Times New Roman" w:cs="仿宋_GB2312"/>
          <w:b/>
          <w:bCs/>
          <w:color w:val="auto"/>
          <w:sz w:val="28"/>
          <w:szCs w:val="28"/>
          <w:highlight w:val="none"/>
        </w:rPr>
      </w:pPr>
      <w:r>
        <w:rPr>
          <w:rFonts w:hint="eastAsia" w:ascii="仿宋_GB2312" w:cs="仿宋_GB2312"/>
          <w:b/>
          <w:bCs/>
          <w:color w:val="auto"/>
          <w:sz w:val="28"/>
          <w:szCs w:val="28"/>
          <w:highlight w:val="none"/>
          <w:lang w:val="en-US" w:eastAsia="zh-CN"/>
        </w:rPr>
        <w:t>3</w:t>
      </w:r>
      <w:r>
        <w:rPr>
          <w:rFonts w:hint="eastAsia" w:ascii="仿宋_GB2312" w:hAnsi="Times New Roman" w:cs="仿宋_GB2312"/>
          <w:b/>
          <w:bCs/>
          <w:color w:val="auto"/>
          <w:sz w:val="28"/>
          <w:szCs w:val="28"/>
          <w:highlight w:val="none"/>
          <w:lang w:val="en-US" w:eastAsia="zh-CN"/>
        </w:rPr>
        <w:t>.</w:t>
      </w:r>
      <w:r>
        <w:rPr>
          <w:rFonts w:hint="eastAsia" w:ascii="仿宋_GB2312" w:cs="仿宋_GB2312"/>
          <w:b/>
          <w:bCs/>
          <w:color w:val="auto"/>
          <w:sz w:val="28"/>
          <w:szCs w:val="28"/>
          <w:highlight w:val="none"/>
          <w:lang w:val="en-US" w:eastAsia="zh-CN"/>
        </w:rPr>
        <w:t>生态环境</w:t>
      </w:r>
      <w:r>
        <w:rPr>
          <w:rFonts w:hint="eastAsia" w:ascii="仿宋_GB2312" w:hAnsi="Times New Roman" w:cs="仿宋_GB2312"/>
          <w:b/>
          <w:bCs/>
          <w:color w:val="auto"/>
          <w:sz w:val="28"/>
          <w:szCs w:val="28"/>
          <w:highlight w:val="none"/>
          <w:lang w:val="en-US" w:eastAsia="zh-CN"/>
        </w:rPr>
        <w:t>成本指标完成情况分析</w:t>
      </w:r>
    </w:p>
    <w:p>
      <w:pPr>
        <w:pStyle w:val="2"/>
        <w:rPr>
          <w:rFonts w:hint="default"/>
          <w:lang w:val="en-US" w:eastAsia="zh-CN"/>
        </w:rPr>
      </w:pPr>
      <w:r>
        <w:rPr>
          <w:rFonts w:hint="eastAsia"/>
          <w:lang w:val="en-US" w:eastAsia="zh-CN"/>
        </w:rPr>
        <w:t>无</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val="en-US" w:eastAsia="zh-CN"/>
        </w:rPr>
        <w:t>五</w:t>
      </w:r>
      <w:r>
        <w:rPr>
          <w:rFonts w:hint="eastAsia" w:ascii="仿宋_GB2312" w:hAnsi="仿宋_GB2312" w:cs="仿宋_GB2312"/>
          <w:color w:val="auto"/>
          <w:sz w:val="32"/>
          <w:highlight w:val="none"/>
        </w:rPr>
        <w:t>）项目效益情况</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项目效益类指标由3个二级指标和4个三级指标构成，权重分为24分，实际得分24分，得分率为100%。</w:t>
      </w:r>
    </w:p>
    <w:p>
      <w:pPr>
        <w:pageBreakBefore w:val="0"/>
        <w:kinsoku/>
        <w:wordWrap/>
        <w:topLinePunct w:val="0"/>
        <w:autoSpaceDE/>
        <w:autoSpaceDN/>
        <w:bidi w:val="0"/>
        <w:spacing w:line="560" w:lineRule="exact"/>
        <w:ind w:right="0" w:rightChars="0" w:firstLine="643"/>
        <w:rPr>
          <w:rFonts w:hint="eastAsia" w:ascii="仿宋_GB2312" w:hAnsi="Times New Roman" w:cs="仿宋_GB2312"/>
          <w:b/>
          <w:bCs/>
          <w:color w:val="auto"/>
          <w:sz w:val="28"/>
          <w:szCs w:val="28"/>
          <w:highlight w:val="none"/>
          <w:lang w:val="en-US" w:eastAsia="zh-CN"/>
        </w:rPr>
      </w:pPr>
      <w:r>
        <w:rPr>
          <w:rFonts w:hint="eastAsia" w:ascii="仿宋_GB2312" w:hAnsi="Times New Roman" w:cs="仿宋_GB2312"/>
          <w:b/>
          <w:bCs/>
          <w:color w:val="auto"/>
          <w:sz w:val="28"/>
          <w:szCs w:val="28"/>
          <w:highlight w:val="none"/>
          <w:lang w:val="en-US" w:eastAsia="zh-CN"/>
        </w:rPr>
        <w:t>1.经济效益指标完成情况分析</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“设备利用率”指标：预期指标值为大于等于85%，实际完成指标值为85%，指标完成率为100%。本指标满分为4.8分，根据评分标准，该指标得4.8分。</w:t>
      </w:r>
    </w:p>
    <w:p>
      <w:pPr>
        <w:pageBreakBefore w:val="0"/>
        <w:kinsoku/>
        <w:wordWrap/>
        <w:topLinePunct w:val="0"/>
        <w:autoSpaceDE/>
        <w:autoSpaceDN/>
        <w:bidi w:val="0"/>
        <w:spacing w:line="560" w:lineRule="exact"/>
        <w:ind w:right="0" w:rightChars="0" w:firstLine="643"/>
        <w:rPr>
          <w:rFonts w:hint="eastAsia" w:ascii="仿宋_GB2312" w:hAnsi="Times New Roman" w:cs="仿宋_GB2312"/>
          <w:b/>
          <w:bCs/>
          <w:color w:val="auto"/>
          <w:sz w:val="28"/>
          <w:szCs w:val="28"/>
          <w:highlight w:val="none"/>
          <w:lang w:val="en-US" w:eastAsia="zh-CN"/>
        </w:rPr>
      </w:pPr>
      <w:r>
        <w:rPr>
          <w:rFonts w:hint="eastAsia" w:ascii="仿宋_GB2312" w:hAnsi="Times New Roman" w:cs="仿宋_GB2312"/>
          <w:b/>
          <w:bCs/>
          <w:color w:val="auto"/>
          <w:sz w:val="28"/>
          <w:szCs w:val="28"/>
          <w:highlight w:val="none"/>
          <w:lang w:val="en-US" w:eastAsia="zh-CN"/>
        </w:rPr>
        <w:t>2.社会效益指标完成情况分析</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“项目受益人数”指标：预期指标值为大于等于597人，实际完成指标值为597人，指标完成率为100%。本指标满分为6.4分，根据评分标准，该指标得6.4分。</w:t>
      </w:r>
    </w:p>
    <w:p>
      <w:pPr>
        <w:spacing w:line="560" w:lineRule="exact"/>
        <w:ind w:firstLine="560" w:firstLineChars="200"/>
        <w:rPr>
          <w:rFonts w:hint="eastAsia"/>
          <w:color w:val="auto"/>
          <w:highlight w:val="none"/>
          <w:lang w:val="en-US" w:eastAsia="zh-CN"/>
        </w:rPr>
      </w:pPr>
      <w:r>
        <w:rPr>
          <w:rFonts w:hint="eastAsia" w:ascii="宋体" w:hAnsi="宋体" w:eastAsia="宋体" w:cs="宋体"/>
          <w:b w:val="0"/>
          <w:bCs w:val="0"/>
          <w:color w:val="auto"/>
          <w:szCs w:val="28"/>
          <w:highlight w:val="none"/>
          <w:lang w:val="en-US" w:eastAsia="zh-CN"/>
        </w:rPr>
        <w:t>“村主干道夜间照明率”指标：预期指标值为大于等于90%，实际完成指标值为100%人，指标完成率为100%。本指标满分为4.8分，根据评分标准，该指标得4.8分。</w:t>
      </w:r>
    </w:p>
    <w:p>
      <w:pPr>
        <w:pageBreakBefore w:val="0"/>
        <w:kinsoku/>
        <w:wordWrap/>
        <w:topLinePunct w:val="0"/>
        <w:autoSpaceDE/>
        <w:autoSpaceDN/>
        <w:bidi w:val="0"/>
        <w:spacing w:line="560" w:lineRule="exact"/>
        <w:ind w:right="0" w:rightChars="0" w:firstLine="643"/>
        <w:rPr>
          <w:rFonts w:hint="eastAsia" w:ascii="仿宋_GB2312" w:hAnsi="Times New Roman" w:cs="仿宋_GB2312"/>
          <w:b/>
          <w:bCs/>
          <w:color w:val="auto"/>
          <w:sz w:val="28"/>
          <w:szCs w:val="28"/>
          <w:highlight w:val="none"/>
          <w:lang w:val="en-US" w:eastAsia="zh-CN"/>
        </w:rPr>
      </w:pPr>
      <w:r>
        <w:rPr>
          <w:rFonts w:hint="eastAsia" w:ascii="仿宋_GB2312" w:hAnsi="Times New Roman" w:cs="仿宋_GB2312"/>
          <w:b/>
          <w:bCs/>
          <w:color w:val="auto"/>
          <w:sz w:val="28"/>
          <w:szCs w:val="28"/>
          <w:highlight w:val="none"/>
          <w:lang w:val="en-US" w:eastAsia="zh-CN"/>
        </w:rPr>
        <w:t>3.生态效益指标完成情况分析</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无。</w:t>
      </w:r>
    </w:p>
    <w:p>
      <w:pPr>
        <w:pageBreakBefore w:val="0"/>
        <w:kinsoku/>
        <w:wordWrap/>
        <w:topLinePunct w:val="0"/>
        <w:autoSpaceDE/>
        <w:autoSpaceDN/>
        <w:bidi w:val="0"/>
        <w:spacing w:line="560" w:lineRule="exact"/>
        <w:ind w:right="0" w:rightChars="0" w:firstLine="643"/>
        <w:rPr>
          <w:rFonts w:hint="eastAsia" w:ascii="仿宋_GB2312" w:hAnsi="Times New Roman" w:cs="仿宋_GB2312"/>
          <w:b/>
          <w:bCs/>
          <w:color w:val="auto"/>
          <w:sz w:val="28"/>
          <w:szCs w:val="28"/>
          <w:highlight w:val="none"/>
          <w:lang w:val="en-US" w:eastAsia="zh-CN"/>
        </w:rPr>
      </w:pPr>
      <w:r>
        <w:rPr>
          <w:rFonts w:hint="eastAsia" w:ascii="仿宋_GB2312" w:cs="仿宋_GB2312"/>
          <w:b/>
          <w:bCs/>
          <w:color w:val="auto"/>
          <w:sz w:val="28"/>
          <w:szCs w:val="28"/>
          <w:highlight w:val="none"/>
          <w:lang w:val="en-US" w:eastAsia="zh-CN"/>
        </w:rPr>
        <w:t>4</w:t>
      </w:r>
      <w:r>
        <w:rPr>
          <w:rFonts w:hint="eastAsia" w:ascii="仿宋_GB2312" w:hAnsi="Times New Roman" w:cs="仿宋_GB2312"/>
          <w:b/>
          <w:bCs/>
          <w:color w:val="auto"/>
          <w:sz w:val="28"/>
          <w:szCs w:val="28"/>
          <w:highlight w:val="none"/>
          <w:lang w:val="en-US" w:eastAsia="zh-CN"/>
        </w:rPr>
        <w:t>.满意度指标完成情况分析</w:t>
      </w:r>
    </w:p>
    <w:p>
      <w:pPr>
        <w:bidi w:val="0"/>
        <w:rPr>
          <w:rFonts w:hint="eastAsia" w:ascii="宋体" w:hAnsi="宋体" w:eastAsia="宋体" w:cs="宋体"/>
          <w:b w:val="0"/>
          <w:bCs w:val="0"/>
          <w:color w:val="auto"/>
          <w:szCs w:val="28"/>
          <w:highlight w:val="none"/>
          <w:lang w:val="en-US" w:eastAsia="zh-CN"/>
        </w:rPr>
      </w:pPr>
      <w:r>
        <w:rPr>
          <w:rFonts w:hint="eastAsia" w:ascii="仿宋_GB2312" w:hAnsi="仿宋_GB2312" w:cs="仿宋_GB2312"/>
          <w:color w:val="auto"/>
          <w:sz w:val="28"/>
          <w:szCs w:val="28"/>
          <w:highlight w:val="none"/>
        </w:rPr>
        <w:t>“</w:t>
      </w:r>
      <w:r>
        <w:rPr>
          <w:rFonts w:hint="eastAsia" w:ascii="宋体" w:hAnsi="宋体" w:eastAsia="宋体" w:cs="宋体"/>
          <w:b w:val="0"/>
          <w:bCs w:val="0"/>
          <w:color w:val="auto"/>
          <w:szCs w:val="28"/>
          <w:highlight w:val="none"/>
          <w:lang w:val="en-US" w:eastAsia="zh-CN"/>
        </w:rPr>
        <w:t>受益村民满意度”指标：预期指标值为大于等于90%，实际完成指标值为90%，指标完成率为100%。本指标满分为8分</w:t>
      </w:r>
      <w:bookmarkEnd w:id="15"/>
      <w:r>
        <w:rPr>
          <w:rFonts w:hint="eastAsia" w:ascii="宋体" w:hAnsi="宋体" w:eastAsia="宋体" w:cs="宋体"/>
          <w:b w:val="0"/>
          <w:bCs w:val="0"/>
          <w:color w:val="auto"/>
          <w:szCs w:val="28"/>
          <w:highlight w:val="none"/>
          <w:lang w:val="en-US" w:eastAsia="zh-CN"/>
        </w:rPr>
        <w:t>，根据评分标准，该指标得8分。</w:t>
      </w:r>
    </w:p>
    <w:p>
      <w:pPr>
        <w:pStyle w:val="3"/>
        <w:ind w:left="0" w:leftChars="0" w:firstLine="643" w:firstLineChars="200"/>
        <w:jc w:val="left"/>
        <w:rPr>
          <w:rFonts w:hint="eastAsia"/>
          <w:color w:val="auto"/>
          <w:highlight w:val="none"/>
        </w:rPr>
      </w:pPr>
      <w:r>
        <w:rPr>
          <w:rFonts w:hint="eastAsia" w:ascii="Times New Roman" w:hAnsi="Times New Roman" w:cs="Times New Roman"/>
          <w:b/>
          <w:bCs/>
          <w:color w:val="auto"/>
          <w:highlight w:val="none"/>
          <w:lang w:val="en-US" w:eastAsia="zh-CN"/>
        </w:rPr>
        <w:t>五、预算执行进度与绩效指标偏差</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该项目全年预算资金30万元，到位资金30万元，实际支出30万元，预算执行率为100%，项目绩效指标总体完成率为95.04%，项目预算执行进度与绩效指标完成进度偏差率为-4.96%。</w:t>
      </w:r>
    </w:p>
    <w:p>
      <w:pPr>
        <w:pStyle w:val="3"/>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numPr>
          <w:ilvl w:val="0"/>
          <w:numId w:val="4"/>
        </w:numPr>
        <w:ind w:firstLine="643"/>
        <w:rPr>
          <w:color w:val="auto"/>
          <w:highlight w:val="none"/>
        </w:rPr>
      </w:pPr>
      <w:bookmarkStart w:id="16" w:name="_Toc1921"/>
      <w:bookmarkStart w:id="17" w:name="_Toc28290"/>
      <w:r>
        <w:rPr>
          <w:rFonts w:hint="eastAsia"/>
          <w:color w:val="auto"/>
          <w:highlight w:val="none"/>
        </w:rPr>
        <w:t>主要经验及做法</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在上级专项资金使用方面，严格按照相关项目资金的使用管理办法执行，由农经中心、财政共同监管。严格</w:t>
      </w:r>
      <w:r>
        <w:rPr>
          <w:rFonts w:hint="eastAsia" w:ascii="宋体" w:hAnsi="宋体" w:eastAsia="宋体" w:cs="宋体"/>
          <w:b w:val="0"/>
          <w:bCs w:val="0"/>
          <w:color w:val="auto"/>
          <w:szCs w:val="28"/>
          <w:highlight w:val="none"/>
          <w:lang w:val="zh-TW" w:eastAsia="zh-TW"/>
        </w:rPr>
        <w:t>按规定办理资金拨付手续,专款专用</w:t>
      </w:r>
      <w:r>
        <w:rPr>
          <w:rFonts w:hint="eastAsia" w:ascii="宋体" w:hAnsi="宋体" w:eastAsia="宋体" w:cs="宋体"/>
          <w:b w:val="0"/>
          <w:bCs w:val="0"/>
          <w:color w:val="auto"/>
          <w:szCs w:val="28"/>
          <w:highlight w:val="none"/>
          <w:lang w:val="zh-TW" w:eastAsia="zh-CN"/>
        </w:rPr>
        <w:t>，没有</w:t>
      </w:r>
      <w:r>
        <w:rPr>
          <w:rFonts w:hint="eastAsia" w:ascii="宋体" w:hAnsi="宋体" w:eastAsia="宋体" w:cs="宋体"/>
          <w:b w:val="0"/>
          <w:bCs w:val="0"/>
          <w:color w:val="auto"/>
          <w:szCs w:val="28"/>
          <w:highlight w:val="none"/>
          <w:lang w:val="zh-TW" w:eastAsia="zh-TW"/>
        </w:rPr>
        <w:t>截留、滞留</w:t>
      </w:r>
      <w:r>
        <w:rPr>
          <w:rFonts w:hint="eastAsia" w:ascii="宋体" w:hAnsi="宋体" w:eastAsia="宋体" w:cs="宋体"/>
          <w:b w:val="0"/>
          <w:bCs w:val="0"/>
          <w:color w:val="auto"/>
          <w:szCs w:val="28"/>
          <w:highlight w:val="none"/>
          <w:lang w:val="zh-TW" w:eastAsia="zh-CN"/>
        </w:rPr>
        <w:t>、</w:t>
      </w:r>
      <w:r>
        <w:rPr>
          <w:rFonts w:hint="eastAsia" w:ascii="宋体" w:hAnsi="宋体" w:eastAsia="宋体" w:cs="宋体"/>
          <w:b w:val="0"/>
          <w:bCs w:val="0"/>
          <w:color w:val="auto"/>
          <w:szCs w:val="28"/>
          <w:highlight w:val="none"/>
          <w:lang w:val="zh-TW" w:eastAsia="zh-TW"/>
        </w:rPr>
        <w:t>扩大开支范围、挤占、挪用或被骗取、侵吞等违法违纪问题。</w:t>
      </w:r>
      <w:r>
        <w:rPr>
          <w:rFonts w:hint="eastAsia" w:ascii="宋体" w:hAnsi="宋体" w:eastAsia="宋体" w:cs="宋体"/>
          <w:b w:val="0"/>
          <w:bCs w:val="0"/>
          <w:color w:val="auto"/>
          <w:szCs w:val="28"/>
          <w:highlight w:val="none"/>
          <w:lang w:val="en-US" w:eastAsia="zh-CN"/>
        </w:rPr>
        <w:t>库米什镇柯尔克孜铁米村人居环境整治项目涉及到的购买垃圾船严格执行了政府采购等相关规定。我单位严格按照《关于印发&lt;新疆维吾尔自治区农业生产发展资金管理的办法&gt;的通知》（新财规[2020]17号）要求加强资金管理。成立由单位主要领导牵头，财务科室及相关业务科室负责人组成项目监督小组，实行项目支出审核，项目材料审核，现场勘验评价、综合分析评价，确保专款专用。建立健全项目建设、运行管理、财务管理等各项规章制度。县财政、审计部门和项目主管单位，对资金的使用随时进行检查、监督，提高资金使用效益，保证专项项目的顺利实施和计划任务的完成。</w:t>
      </w:r>
    </w:p>
    <w:p>
      <w:pPr>
        <w:spacing w:line="560" w:lineRule="exact"/>
        <w:ind w:firstLine="560" w:firstLineChars="200"/>
        <w:rPr>
          <w:rFonts w:hint="default"/>
          <w:color w:val="auto"/>
          <w:highlight w:val="none"/>
          <w:lang w:val="en-US" w:eastAsia="zh-CN"/>
        </w:rPr>
      </w:pPr>
      <w:r>
        <w:rPr>
          <w:rFonts w:hint="eastAsia" w:ascii="宋体" w:hAnsi="宋体" w:eastAsia="宋体" w:cs="宋体"/>
          <w:b w:val="0"/>
          <w:bCs w:val="0"/>
          <w:color w:val="auto"/>
          <w:szCs w:val="28"/>
          <w:highlight w:val="none"/>
          <w:lang w:val="en-US" w:eastAsia="zh-CN"/>
        </w:rPr>
        <w:t>通过实行县级部门报账、公示公告等有效监管办法，确保资金专款专用，特别是做到资金到项目、管理到项目、核算到项目。以资金投入控制项目规模，强化对项目资金的监督管理。同时，积极配合审计等有关部门做好审计、稽查等工作，对政策落实和资金使用中出现违纪行为，进行严肃查处，依法依纪追查。</w:t>
      </w:r>
    </w:p>
    <w:bookmarkEnd w:id="16"/>
    <w:bookmarkEnd w:id="17"/>
    <w:p>
      <w:pPr>
        <w:pStyle w:val="4"/>
        <w:numPr>
          <w:ilvl w:val="0"/>
          <w:numId w:val="4"/>
        </w:numPr>
        <w:tabs>
          <w:tab w:val="left" w:pos="480"/>
        </w:tabs>
        <w:ind w:firstLine="643"/>
        <w:rPr>
          <w:color w:val="auto"/>
          <w:highlight w:val="none"/>
        </w:rPr>
      </w:pPr>
      <w:r>
        <w:rPr>
          <w:rFonts w:hint="eastAsia"/>
          <w:color w:val="auto"/>
          <w:highlight w:val="none"/>
        </w:rPr>
        <w:t>存在的问题及原因分析</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1.通过近几年对单位项目进行项目支出绩效评价工作，对一个项目从开始到结束全程进行目标监控，结合我单位的工作性质，相关工作人员虽然逐步树立了绩效理念，但是了解的还不够深入，效益类指标还无法做到全部转化为定量指标，不能有效进行成本效益分析，需要进一步加强项目绩效培训。</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2.绩效自评工作仍然存在评价不深入、评价不全面等问题，对各项佐证材料的提供了解不全面，对提供的印证材料是否全面、是否符合要求不够明确。</w:t>
      </w:r>
    </w:p>
    <w:p>
      <w:pPr>
        <w:pStyle w:val="3"/>
        <w:ind w:firstLine="640"/>
        <w:rPr>
          <w:color w:val="auto"/>
          <w:highlight w:val="none"/>
        </w:rPr>
      </w:pPr>
      <w:r>
        <w:rPr>
          <w:rFonts w:hint="eastAsia"/>
          <w:color w:val="auto"/>
          <w:highlight w:val="none"/>
          <w:lang w:eastAsia="zh-CN"/>
        </w:rPr>
        <w:t>七</w:t>
      </w:r>
      <w:r>
        <w:rPr>
          <w:rFonts w:hint="eastAsia"/>
          <w:color w:val="auto"/>
          <w:highlight w:val="none"/>
        </w:rPr>
        <w:t>、有关建议</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1.在下年度项目绩效管理评价工作开展时要注意首先从指标设置时做好科学合理，指标设置“少而精”，突出重点，尽量将效益指标定量化，可衡量；在监控过程中注意资金执行率与项目开展进度相互匹配，开展自评时充分结合项目实施过程，从多个方面深入进行评价。。</w:t>
      </w:r>
    </w:p>
    <w:p>
      <w:pPr>
        <w:spacing w:line="560" w:lineRule="exact"/>
        <w:ind w:firstLine="560" w:firstLineChars="200"/>
        <w:rPr>
          <w:rFonts w:hint="default"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2.柯尔克孜铁米村委会给辖区村民宣传好，要爱护公共财产。</w:t>
      </w:r>
    </w:p>
    <w:p>
      <w:pPr>
        <w:pStyle w:val="3"/>
        <w:ind w:firstLine="640"/>
        <w:rPr>
          <w:color w:val="auto"/>
          <w:highlight w:val="none"/>
        </w:rPr>
      </w:pPr>
      <w:r>
        <w:rPr>
          <w:rFonts w:hint="eastAsia"/>
          <w:color w:val="auto"/>
          <w:highlight w:val="none"/>
          <w:lang w:eastAsia="zh-CN"/>
        </w:rPr>
        <w:t>八</w:t>
      </w:r>
      <w:r>
        <w:rPr>
          <w:rFonts w:hint="eastAsia"/>
          <w:color w:val="auto"/>
          <w:highlight w:val="none"/>
        </w:rPr>
        <w:t>、其他需要说明的问题</w:t>
      </w:r>
    </w:p>
    <w:p>
      <w:pPr>
        <w:spacing w:line="560" w:lineRule="exact"/>
        <w:ind w:firstLine="560" w:firstLineChars="200"/>
        <w:rPr>
          <w:rFonts w:hint="eastAsia" w:ascii="宋体" w:hAnsi="宋体" w:eastAsia="宋体" w:cs="宋体"/>
          <w:b w:val="0"/>
          <w:bCs w:val="0"/>
          <w:color w:val="auto"/>
          <w:szCs w:val="28"/>
          <w:highlight w:val="none"/>
          <w:lang w:val="en-US" w:eastAsia="zh-CN"/>
        </w:rPr>
      </w:pPr>
      <w:r>
        <w:rPr>
          <w:rFonts w:hint="eastAsia" w:ascii="宋体" w:hAnsi="宋体" w:eastAsia="宋体" w:cs="宋体"/>
          <w:b w:val="0"/>
          <w:bCs w:val="0"/>
          <w:color w:val="auto"/>
          <w:szCs w:val="28"/>
          <w:highlight w:val="none"/>
          <w:lang w:val="en-US" w:eastAsia="zh-CN"/>
        </w:rPr>
        <w:t>我单位对上述项目支出绩效评价报告内反映内容的真实性、完整性负责，接受上级部门及社会公众监督。</w:t>
      </w:r>
    </w:p>
    <w:p>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pPr>
        <w:spacing w:line="560" w:lineRule="exact"/>
        <w:ind w:firstLine="560" w:firstLineChars="200"/>
        <w:rPr>
          <w:color w:val="auto"/>
          <w:highlight w:val="none"/>
        </w:rPr>
      </w:pPr>
      <w:r>
        <w:rPr>
          <w:rFonts w:hint="eastAsia" w:ascii="宋体" w:hAnsi="宋体" w:eastAsia="宋体" w:cs="宋体"/>
          <w:b w:val="0"/>
          <w:bCs w:val="0"/>
          <w:color w:val="auto"/>
          <w:szCs w:val="28"/>
          <w:highlight w:val="none"/>
          <w:lang w:val="en-US" w:eastAsia="zh-CN"/>
        </w:rPr>
        <w:t>附件1：项目绩效评价指标体系表和项目综合得分表</w:t>
      </w:r>
    </w:p>
    <w:sectPr>
      <w:footerReference r:id="rId9"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2109C3"/>
    <w:multiLevelType w:val="singleLevel"/>
    <w:tmpl w:val="CB2109C3"/>
    <w:lvl w:ilvl="0" w:tentative="0">
      <w:start w:val="2"/>
      <w:numFmt w:val="decimal"/>
      <w:suff w:val="nothing"/>
      <w:lvlText w:val="（%1）"/>
      <w:lvlJc w:val="left"/>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iM2Y3NTU3ODg5Y2U0ZTM2OGMzNWM4NDEzMWQyNTIifQ=="/>
  </w:docVars>
  <w:rsids>
    <w:rsidRoot w:val="00000000"/>
    <w:rsid w:val="0119677B"/>
    <w:rsid w:val="012B4701"/>
    <w:rsid w:val="01DB1C83"/>
    <w:rsid w:val="03092820"/>
    <w:rsid w:val="036D28B4"/>
    <w:rsid w:val="043A1855"/>
    <w:rsid w:val="05F96B7B"/>
    <w:rsid w:val="06D849E3"/>
    <w:rsid w:val="078E4413"/>
    <w:rsid w:val="08066657"/>
    <w:rsid w:val="08D31906"/>
    <w:rsid w:val="09FE6E56"/>
    <w:rsid w:val="0DDA1988"/>
    <w:rsid w:val="0EB44575"/>
    <w:rsid w:val="0EEF4FBF"/>
    <w:rsid w:val="10321EC1"/>
    <w:rsid w:val="12071360"/>
    <w:rsid w:val="121C60CC"/>
    <w:rsid w:val="125E0EE8"/>
    <w:rsid w:val="12AF4946"/>
    <w:rsid w:val="13382F7C"/>
    <w:rsid w:val="142B3A0D"/>
    <w:rsid w:val="148B7538"/>
    <w:rsid w:val="162B4B2F"/>
    <w:rsid w:val="16F13FCB"/>
    <w:rsid w:val="17B35DB7"/>
    <w:rsid w:val="18301B92"/>
    <w:rsid w:val="19067AD5"/>
    <w:rsid w:val="19131523"/>
    <w:rsid w:val="1B202616"/>
    <w:rsid w:val="1CFB5724"/>
    <w:rsid w:val="1DB25B36"/>
    <w:rsid w:val="1E5A22DA"/>
    <w:rsid w:val="1E805C34"/>
    <w:rsid w:val="1E8D0B79"/>
    <w:rsid w:val="1ED85A70"/>
    <w:rsid w:val="1F0E4FEE"/>
    <w:rsid w:val="1F4B4494"/>
    <w:rsid w:val="20BD3C4E"/>
    <w:rsid w:val="234324B7"/>
    <w:rsid w:val="24FD664F"/>
    <w:rsid w:val="2732016E"/>
    <w:rsid w:val="27F51DBA"/>
    <w:rsid w:val="282E4B0E"/>
    <w:rsid w:val="2BBE7BD1"/>
    <w:rsid w:val="2C84368F"/>
    <w:rsid w:val="2D793060"/>
    <w:rsid w:val="2D8C6743"/>
    <w:rsid w:val="2DA961C0"/>
    <w:rsid w:val="2F1327D3"/>
    <w:rsid w:val="2F1C72B3"/>
    <w:rsid w:val="2F490B52"/>
    <w:rsid w:val="2F5A4E26"/>
    <w:rsid w:val="30534F57"/>
    <w:rsid w:val="308E4DD3"/>
    <w:rsid w:val="318117AD"/>
    <w:rsid w:val="31C644E9"/>
    <w:rsid w:val="32FE3FC1"/>
    <w:rsid w:val="3422222F"/>
    <w:rsid w:val="352E7146"/>
    <w:rsid w:val="35496A51"/>
    <w:rsid w:val="359E0064"/>
    <w:rsid w:val="36E032BC"/>
    <w:rsid w:val="36E74081"/>
    <w:rsid w:val="37216346"/>
    <w:rsid w:val="39330366"/>
    <w:rsid w:val="3A095552"/>
    <w:rsid w:val="3AE31593"/>
    <w:rsid w:val="3B9D10B9"/>
    <w:rsid w:val="3BCB62E9"/>
    <w:rsid w:val="3D107E76"/>
    <w:rsid w:val="3D243D79"/>
    <w:rsid w:val="3EAF52E8"/>
    <w:rsid w:val="3F966C0E"/>
    <w:rsid w:val="3FDE71AD"/>
    <w:rsid w:val="409749EB"/>
    <w:rsid w:val="409D1424"/>
    <w:rsid w:val="40FB575F"/>
    <w:rsid w:val="417C08E0"/>
    <w:rsid w:val="424B0183"/>
    <w:rsid w:val="42DB714F"/>
    <w:rsid w:val="435D3AE7"/>
    <w:rsid w:val="49E1317B"/>
    <w:rsid w:val="4AFD3FE5"/>
    <w:rsid w:val="4BF16EEB"/>
    <w:rsid w:val="4C2F6420"/>
    <w:rsid w:val="4C6755B6"/>
    <w:rsid w:val="4D467EC5"/>
    <w:rsid w:val="4D9A1350"/>
    <w:rsid w:val="4ED22AC0"/>
    <w:rsid w:val="4FAB2261"/>
    <w:rsid w:val="50015117"/>
    <w:rsid w:val="502033FA"/>
    <w:rsid w:val="51FE5311"/>
    <w:rsid w:val="52C55120"/>
    <w:rsid w:val="52D27B05"/>
    <w:rsid w:val="535B2362"/>
    <w:rsid w:val="53F8370C"/>
    <w:rsid w:val="540C3689"/>
    <w:rsid w:val="55081F04"/>
    <w:rsid w:val="56496330"/>
    <w:rsid w:val="56B7773E"/>
    <w:rsid w:val="579D547E"/>
    <w:rsid w:val="58AC7953"/>
    <w:rsid w:val="591075D9"/>
    <w:rsid w:val="59A3114A"/>
    <w:rsid w:val="5A6E0A5B"/>
    <w:rsid w:val="5B7756EE"/>
    <w:rsid w:val="5BF33045"/>
    <w:rsid w:val="5C49708A"/>
    <w:rsid w:val="5CFA4828"/>
    <w:rsid w:val="5D4B35A8"/>
    <w:rsid w:val="5D802FF1"/>
    <w:rsid w:val="5EE23F85"/>
    <w:rsid w:val="5F3F4774"/>
    <w:rsid w:val="60716BAF"/>
    <w:rsid w:val="63DF2257"/>
    <w:rsid w:val="643B7C00"/>
    <w:rsid w:val="66C2121F"/>
    <w:rsid w:val="67FD2BAD"/>
    <w:rsid w:val="68DC4DE2"/>
    <w:rsid w:val="69981651"/>
    <w:rsid w:val="6B573CA8"/>
    <w:rsid w:val="6BE760F1"/>
    <w:rsid w:val="6C43773D"/>
    <w:rsid w:val="6C5E0930"/>
    <w:rsid w:val="6E4F7E74"/>
    <w:rsid w:val="6E8B7C84"/>
    <w:rsid w:val="6EF72976"/>
    <w:rsid w:val="6F2B6AC3"/>
    <w:rsid w:val="6F4251EF"/>
    <w:rsid w:val="6FA73E9E"/>
    <w:rsid w:val="714D0D63"/>
    <w:rsid w:val="73F76E28"/>
    <w:rsid w:val="75061AC9"/>
    <w:rsid w:val="751E1297"/>
    <w:rsid w:val="753164B5"/>
    <w:rsid w:val="753242D5"/>
    <w:rsid w:val="75907A75"/>
    <w:rsid w:val="75B01AD0"/>
    <w:rsid w:val="77D805F9"/>
    <w:rsid w:val="789667E7"/>
    <w:rsid w:val="7A5C5D83"/>
    <w:rsid w:val="7C557640"/>
    <w:rsid w:val="7C9C0693"/>
    <w:rsid w:val="7DF43893"/>
    <w:rsid w:val="7E0609D0"/>
    <w:rsid w:val="7E350DC4"/>
    <w:rsid w:val="7E467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_Style 1"/>
    <w:qFormat/>
    <w:uiPriority w:val="0"/>
    <w:pPr>
      <w:widowControl w:val="0"/>
      <w:ind w:firstLine="200" w:firstLineChars="200"/>
      <w:jc w:val="both"/>
    </w:pPr>
    <w:rPr>
      <w:rFonts w:ascii="Times New Roman" w:hAnsi="Times New Roman" w:eastAsia="仿宋_GB2312" w:cs="Times New Roman"/>
      <w:kern w:val="2"/>
      <w:sz w:val="24"/>
      <w:szCs w:val="22"/>
      <w:lang w:val="en-US" w:eastAsia="zh-CN" w:bidi="ar-SA"/>
    </w:r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Body Text Indent"/>
    <w:basedOn w:val="1"/>
    <w:qFormat/>
    <w:uiPriority w:val="0"/>
    <w:pPr>
      <w:spacing w:after="120"/>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Body Text First Indent 2"/>
    <w:basedOn w:val="8"/>
    <w:qFormat/>
    <w:uiPriority w:val="99"/>
    <w:pPr>
      <w:ind w:firstLine="420" w:firstLineChars="200"/>
    </w:pPr>
  </w:style>
  <w:style w:type="character" w:styleId="14">
    <w:name w:val="Strong"/>
    <w:basedOn w:val="13"/>
    <w:qFormat/>
    <w:uiPriority w:val="0"/>
    <w:rPr>
      <w:b/>
      <w:bCs/>
    </w:rPr>
  </w:style>
  <w:style w:type="paragraph" w:customStyle="1" w:styleId="15">
    <w:name w:val="PlainText"/>
    <w:basedOn w:val="1"/>
    <w:qFormat/>
    <w:uiPriority w:val="0"/>
    <w:pPr>
      <w:spacing w:line="240" w:lineRule="auto"/>
      <w:jc w:val="both"/>
    </w:pPr>
    <w:rPr>
      <w:rFonts w:ascii="宋体" w:hAnsi="Courier New" w:eastAsia="宋体"/>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10787</Words>
  <Characters>11253</Characters>
  <Lines>0</Lines>
  <Paragraphs>0</Paragraphs>
  <TotalTime>5</TotalTime>
  <ScaleCrop>false</ScaleCrop>
  <LinksUpToDate>false</LinksUpToDate>
  <CharactersWithSpaces>11469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2024-08-20T03:28:07Z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F55C58AC828D45198D67BF2CC7ACCC1F_13</vt:lpwstr>
  </property>
</Properties>
</file>