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color w:val="auto"/>
          <w:sz w:val="36"/>
          <w:szCs w:val="36"/>
          <w:highlight w:val="none"/>
        </w:rPr>
      </w:pPr>
      <w:bookmarkStart w:id="18" w:name="_GoBack"/>
      <w:bookmarkEnd w:id="18"/>
    </w:p>
    <w:p>
      <w:pPr>
        <w:jc w:val="center"/>
        <w:rPr>
          <w:rFonts w:ascii="宋体" w:hAnsi="宋体" w:eastAsia="宋体" w:cs="Arial"/>
          <w:b/>
          <w:bCs/>
          <w:color w:val="auto"/>
          <w:sz w:val="36"/>
          <w:szCs w:val="36"/>
          <w:highlight w:val="none"/>
        </w:rPr>
      </w:pPr>
    </w:p>
    <w:p>
      <w:pPr>
        <w:jc w:val="center"/>
        <w:rPr>
          <w:rFonts w:ascii="宋体" w:hAnsi="宋体" w:eastAsia="宋体" w:cs="Arial"/>
          <w:b/>
          <w:bCs/>
          <w:color w:val="auto"/>
          <w:sz w:val="36"/>
          <w:szCs w:val="36"/>
          <w:highlight w:val="none"/>
        </w:rPr>
      </w:pPr>
    </w:p>
    <w:p>
      <w:pPr>
        <w:spacing w:line="240" w:lineRule="atLeast"/>
        <w:ind w:left="0" w:leftChars="0" w:firstLine="0" w:firstLineChars="0"/>
        <w:jc w:val="center"/>
        <w:rPr>
          <w:rFonts w:ascii="黑体" w:hAnsi="黑体" w:eastAsia="黑体" w:cs="黑体"/>
          <w:b/>
          <w:bCs/>
          <w:color w:val="auto"/>
          <w:sz w:val="40"/>
          <w:szCs w:val="40"/>
          <w:highlight w:val="none"/>
        </w:rPr>
      </w:pPr>
      <w:r>
        <w:rPr>
          <w:rFonts w:hint="eastAsia" w:ascii="黑体" w:hAnsi="黑体" w:eastAsia="黑体" w:cs="黑体"/>
          <w:b/>
          <w:bCs/>
          <w:color w:val="auto"/>
          <w:sz w:val="40"/>
          <w:szCs w:val="40"/>
          <w:highlight w:val="none"/>
        </w:rPr>
        <w:t>202</w:t>
      </w:r>
      <w:r>
        <w:rPr>
          <w:rFonts w:hint="eastAsia" w:ascii="黑体" w:hAnsi="黑体" w:eastAsia="黑体" w:cs="黑体"/>
          <w:b/>
          <w:bCs/>
          <w:color w:val="auto"/>
          <w:sz w:val="40"/>
          <w:szCs w:val="40"/>
          <w:highlight w:val="none"/>
          <w:lang w:val="en-US" w:eastAsia="zh-CN"/>
        </w:rPr>
        <w:t>3</w:t>
      </w:r>
      <w:r>
        <w:rPr>
          <w:rFonts w:hint="eastAsia" w:ascii="黑体" w:hAnsi="黑体" w:eastAsia="黑体" w:cs="黑体"/>
          <w:b/>
          <w:bCs/>
          <w:color w:val="auto"/>
          <w:sz w:val="40"/>
          <w:szCs w:val="40"/>
          <w:highlight w:val="none"/>
        </w:rPr>
        <w:t>年</w:t>
      </w:r>
      <w:r>
        <w:rPr>
          <w:rFonts w:hint="eastAsia" w:ascii="黑体" w:hAnsi="黑体" w:eastAsia="黑体" w:cs="黑体"/>
          <w:b/>
          <w:bCs/>
          <w:color w:val="auto"/>
          <w:sz w:val="40"/>
          <w:szCs w:val="40"/>
          <w:highlight w:val="none"/>
          <w:lang w:eastAsia="zh-CN"/>
        </w:rPr>
        <w:t>学前教育幼儿资助县级配套</w:t>
      </w:r>
      <w:r>
        <w:rPr>
          <w:rFonts w:hint="eastAsia" w:ascii="黑体" w:hAnsi="黑体" w:eastAsia="黑体" w:cs="黑体"/>
          <w:b/>
          <w:bCs/>
          <w:color w:val="auto"/>
          <w:sz w:val="40"/>
          <w:szCs w:val="40"/>
          <w:highlight w:val="none"/>
        </w:rPr>
        <w:t>绩效评价报告</w:t>
      </w: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uto"/>
        <w:jc w:val="center"/>
        <w:rPr>
          <w:rFonts w:ascii="宋体" w:hAnsi="宋体" w:eastAsia="宋体" w:cs="Arial"/>
          <w:b/>
          <w:bCs/>
          <w:color w:val="auto"/>
          <w:sz w:val="36"/>
          <w:szCs w:val="36"/>
          <w:highlight w:val="none"/>
        </w:rPr>
      </w:pPr>
    </w:p>
    <w:p>
      <w:pPr>
        <w:spacing w:line="360" w:lineRule="auto"/>
        <w:ind w:firstLine="600"/>
        <w:rPr>
          <w:rFonts w:hint="eastAsia" w:ascii="黑体" w:eastAsia="黑体"/>
          <w:color w:val="auto"/>
          <w:sz w:val="32"/>
          <w:szCs w:val="32"/>
          <w:highlight w:val="none"/>
        </w:rPr>
      </w:pPr>
    </w:p>
    <w:p>
      <w:pPr>
        <w:spacing w:line="360" w:lineRule="auto"/>
        <w:ind w:firstLine="600"/>
        <w:rPr>
          <w:rFonts w:hint="eastAsia" w:ascii="黑体" w:eastAsia="黑体"/>
          <w:color w:val="auto"/>
          <w:sz w:val="32"/>
          <w:szCs w:val="32"/>
          <w:highlight w:val="none"/>
        </w:rPr>
      </w:pPr>
      <w:r>
        <w:rPr>
          <w:rFonts w:hint="eastAsia" w:ascii="黑体" w:eastAsia="黑体"/>
          <w:color w:val="auto"/>
          <w:sz w:val="32"/>
          <w:szCs w:val="32"/>
          <w:highlight w:val="none"/>
        </w:rPr>
        <w:t>项目名称：2023年学前教育幼儿资助县级配套</w:t>
      </w:r>
    </w:p>
    <w:p>
      <w:pPr>
        <w:spacing w:line="360" w:lineRule="auto"/>
        <w:ind w:firstLine="600"/>
        <w:rPr>
          <w:rFonts w:hint="default" w:ascii="黑体" w:eastAsia="黑体"/>
          <w:color w:val="auto"/>
          <w:sz w:val="32"/>
          <w:szCs w:val="32"/>
          <w:highlight w:val="none"/>
          <w:lang w:val="en-US" w:eastAsia="zh-CN"/>
        </w:rPr>
      </w:pPr>
      <w:r>
        <w:rPr>
          <w:rFonts w:hint="eastAsia" w:ascii="黑体" w:eastAsia="黑体"/>
          <w:color w:val="auto"/>
          <w:sz w:val="32"/>
          <w:szCs w:val="32"/>
          <w:highlight w:val="none"/>
        </w:rPr>
        <w:t>实施单位（公章）：</w:t>
      </w:r>
      <w:r>
        <w:rPr>
          <w:rFonts w:hint="eastAsia" w:ascii="黑体" w:eastAsia="黑体"/>
          <w:color w:val="auto"/>
          <w:sz w:val="32"/>
          <w:szCs w:val="32"/>
          <w:highlight w:val="none"/>
          <w:lang w:val="en-US" w:eastAsia="zh-CN"/>
        </w:rPr>
        <w:t>托克逊县库米什镇小学</w:t>
      </w:r>
    </w:p>
    <w:p>
      <w:pPr>
        <w:spacing w:line="360" w:lineRule="auto"/>
        <w:ind w:firstLine="600"/>
        <w:rPr>
          <w:rFonts w:hint="eastAsia" w:ascii="黑体" w:eastAsia="黑体"/>
          <w:color w:val="auto"/>
          <w:sz w:val="32"/>
          <w:szCs w:val="32"/>
          <w:highlight w:val="none"/>
          <w:lang w:val="en-US" w:eastAsia="zh-CN"/>
        </w:rPr>
      </w:pPr>
      <w:r>
        <w:rPr>
          <w:rFonts w:hint="eastAsia" w:ascii="黑体" w:eastAsia="黑体"/>
          <w:color w:val="auto"/>
          <w:sz w:val="32"/>
          <w:szCs w:val="32"/>
          <w:highlight w:val="none"/>
        </w:rPr>
        <w:t>项目负责人（签章）：</w:t>
      </w:r>
      <w:r>
        <w:rPr>
          <w:rFonts w:hint="eastAsia" w:ascii="黑体" w:eastAsia="黑体"/>
          <w:color w:val="auto"/>
          <w:sz w:val="32"/>
          <w:szCs w:val="32"/>
          <w:highlight w:val="none"/>
          <w:lang w:val="en-US" w:eastAsia="zh-CN"/>
        </w:rPr>
        <w:t>轩云亭</w:t>
      </w:r>
    </w:p>
    <w:p>
      <w:pPr>
        <w:spacing w:line="360" w:lineRule="auto"/>
        <w:ind w:firstLine="600"/>
        <w:rPr>
          <w:rFonts w:hint="default" w:ascii="黑体" w:eastAsia="黑体"/>
          <w:color w:val="auto"/>
          <w:sz w:val="32"/>
          <w:szCs w:val="32"/>
          <w:highlight w:val="none"/>
          <w:lang w:val="en-US"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928" w:right="1531" w:bottom="1701" w:left="1531" w:header="737" w:footer="851" w:gutter="0"/>
          <w:cols w:space="720" w:num="1"/>
          <w:docGrid w:type="lines" w:linePitch="408" w:charSpace="0"/>
        </w:sectPr>
      </w:pPr>
      <w:r>
        <w:rPr>
          <w:rFonts w:hint="eastAsia" w:ascii="黑体" w:eastAsia="黑体"/>
          <w:color w:val="auto"/>
          <w:sz w:val="32"/>
          <w:szCs w:val="32"/>
          <w:highlight w:val="none"/>
        </w:rPr>
        <w:t>填报时间：202</w:t>
      </w:r>
      <w:r>
        <w:rPr>
          <w:rFonts w:hint="eastAsia" w:ascii="黑体" w:eastAsia="黑体"/>
          <w:color w:val="auto"/>
          <w:sz w:val="32"/>
          <w:szCs w:val="32"/>
          <w:highlight w:val="none"/>
          <w:lang w:val="en-US" w:eastAsia="zh-CN"/>
        </w:rPr>
        <w:t>3</w:t>
      </w:r>
      <w:r>
        <w:rPr>
          <w:rFonts w:hint="eastAsia" w:ascii="黑体" w:eastAsia="黑体"/>
          <w:color w:val="auto"/>
          <w:sz w:val="32"/>
          <w:szCs w:val="32"/>
          <w:highlight w:val="none"/>
        </w:rPr>
        <w:t>年</w:t>
      </w:r>
      <w:r>
        <w:rPr>
          <w:rFonts w:hint="eastAsia" w:ascii="黑体" w:eastAsia="黑体"/>
          <w:color w:val="auto"/>
          <w:sz w:val="32"/>
          <w:szCs w:val="32"/>
          <w:highlight w:val="none"/>
          <w:lang w:val="en-US" w:eastAsia="zh-CN"/>
        </w:rPr>
        <w:t>3</w:t>
      </w:r>
      <w:r>
        <w:rPr>
          <w:rFonts w:hint="eastAsia" w:ascii="黑体" w:eastAsia="黑体"/>
          <w:color w:val="auto"/>
          <w:sz w:val="32"/>
          <w:szCs w:val="32"/>
          <w:highlight w:val="none"/>
        </w:rPr>
        <w:t>月</w:t>
      </w:r>
      <w:r>
        <w:rPr>
          <w:rFonts w:hint="eastAsia" w:ascii="黑体" w:eastAsia="黑体"/>
          <w:color w:val="auto"/>
          <w:sz w:val="32"/>
          <w:szCs w:val="32"/>
          <w:highlight w:val="none"/>
          <w:lang w:val="en-US" w:eastAsia="zh-CN"/>
        </w:rPr>
        <w:t>31日</w:t>
      </w:r>
    </w:p>
    <w:p>
      <w:pPr>
        <w:spacing w:line="240" w:lineRule="atLeast"/>
        <w:ind w:left="0" w:leftChars="0" w:firstLine="0" w:firstLineChars="0"/>
        <w:jc w:val="center"/>
        <w:rPr>
          <w:rFonts w:hint="eastAsia"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2023年学前教育幼儿资助县级配套项目支出</w:t>
      </w:r>
    </w:p>
    <w:p>
      <w:pPr>
        <w:spacing w:line="240" w:lineRule="atLeast"/>
        <w:ind w:left="0" w:leftChars="0" w:firstLine="0" w:firstLineChars="0"/>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绩效评价报告</w:t>
      </w:r>
    </w:p>
    <w:p>
      <w:pPr>
        <w:pStyle w:val="3"/>
        <w:ind w:firstLine="640"/>
        <w:rPr>
          <w:rFonts w:hint="eastAsia"/>
          <w:color w:val="auto"/>
          <w:highlight w:val="none"/>
        </w:rPr>
      </w:pPr>
    </w:p>
    <w:p>
      <w:pPr>
        <w:pStyle w:val="3"/>
        <w:ind w:firstLine="640"/>
        <w:rPr>
          <w:color w:val="auto"/>
          <w:highlight w:val="none"/>
        </w:rPr>
      </w:pPr>
      <w:r>
        <w:rPr>
          <w:rFonts w:hint="eastAsia"/>
          <w:color w:val="auto"/>
          <w:highlight w:val="none"/>
        </w:rPr>
        <w:t>一、基本情况</w:t>
      </w:r>
    </w:p>
    <w:p>
      <w:pPr>
        <w:pStyle w:val="5"/>
        <w:ind w:firstLine="562"/>
        <w:rPr>
          <w:color w:val="auto"/>
          <w:highlight w:val="none"/>
        </w:rPr>
      </w:pPr>
      <w:r>
        <w:rPr>
          <w:rFonts w:hint="eastAsia"/>
          <w:color w:val="auto"/>
          <w:highlight w:val="none"/>
          <w:lang w:eastAsia="zh-CN"/>
        </w:rPr>
        <w:t>（</w:t>
      </w:r>
      <w:r>
        <w:rPr>
          <w:rFonts w:hint="eastAsia"/>
          <w:color w:val="auto"/>
          <w:highlight w:val="none"/>
          <w:lang w:val="en-US" w:eastAsia="zh-CN"/>
        </w:rPr>
        <w:t>一</w:t>
      </w:r>
      <w:r>
        <w:rPr>
          <w:rFonts w:hint="eastAsia"/>
          <w:color w:val="auto"/>
          <w:highlight w:val="none"/>
          <w:lang w:eastAsia="zh-CN"/>
        </w:rPr>
        <w:t>）</w:t>
      </w:r>
      <w:r>
        <w:rPr>
          <w:rFonts w:hint="eastAsia"/>
          <w:color w:val="auto"/>
          <w:highlight w:val="none"/>
        </w:rPr>
        <w:t>项目背景</w:t>
      </w:r>
    </w:p>
    <w:p>
      <w:pPr>
        <w:pStyle w:val="5"/>
        <w:ind w:firstLine="562"/>
        <w:rPr>
          <w:rFonts w:hint="eastAsia"/>
          <w:color w:val="auto"/>
          <w:highlight w:val="none"/>
          <w:lang w:val="en-US" w:eastAsia="zh-CN"/>
        </w:rPr>
      </w:pPr>
      <w:r>
        <w:rPr>
          <w:rFonts w:hint="eastAsia"/>
          <w:color w:val="auto"/>
          <w:highlight w:val="none"/>
          <w:lang w:val="en-US" w:eastAsia="zh-CN"/>
        </w:rPr>
        <w:t>1.项目概况</w:t>
      </w:r>
    </w:p>
    <w:p>
      <w:pPr>
        <w:pStyle w:val="4"/>
        <w:ind w:firstLine="643"/>
        <w:rPr>
          <w:rFonts w:hint="eastAsia"/>
          <w:color w:val="auto"/>
          <w:highlight w:val="none"/>
          <w:lang w:val="en-US" w:eastAsia="zh-CN"/>
        </w:rPr>
      </w:pPr>
      <w:r>
        <w:rPr>
          <w:rFonts w:hint="eastAsia" w:ascii="仿宋_GB2312" w:hAnsi="Times New Roman" w:eastAsia="仿宋_GB2312" w:cs="Times New Roman"/>
          <w:b w:val="0"/>
          <w:bCs/>
          <w:color w:val="auto"/>
          <w:kern w:val="2"/>
          <w:sz w:val="28"/>
          <w:szCs w:val="28"/>
          <w:highlight w:val="none"/>
          <w:lang w:val="en-US" w:eastAsia="zh-CN" w:bidi="ar-SA"/>
        </w:rPr>
        <w:t>办好学前教育，实现幼有所育，是党和政府为老百姓办实事的重大民生工程。为解决学前教育资源不足，城乡发展不平衡、一些地方入园难，入园贵等问题，根据《国务院关于当前发展学前教育的若干意见》《国家中长期教育改革和发展规划纲要》《关于实施学前教育三年行动计划的意见》等文件精神，中央财政通过补助和奖励的方式支持学前教育发展，进一步加强公办幼儿园建设，不断扩大学前教育资源，全面提高政府公共服务能力，保障适龄儿童接受基本的、有质量的学前教育。</w:t>
      </w:r>
    </w:p>
    <w:p>
      <w:pPr>
        <w:pStyle w:val="5"/>
        <w:ind w:firstLine="562"/>
        <w:rPr>
          <w:color w:val="auto"/>
          <w:highlight w:val="none"/>
        </w:rPr>
      </w:pPr>
      <w:r>
        <w:rPr>
          <w:rFonts w:hint="eastAsia"/>
          <w:color w:val="auto"/>
          <w:highlight w:val="none"/>
          <w:lang w:val="en-US" w:eastAsia="zh-CN"/>
        </w:rPr>
        <w:t>2.</w:t>
      </w:r>
      <w:r>
        <w:rPr>
          <w:rFonts w:hint="eastAsia"/>
          <w:color w:val="auto"/>
          <w:highlight w:val="none"/>
        </w:rPr>
        <w:t>项目实施主体</w:t>
      </w:r>
    </w:p>
    <w:p>
      <w:pPr>
        <w:ind w:firstLine="562"/>
        <w:rPr>
          <w:rFonts w:hint="eastAsia"/>
          <w:b/>
          <w:color w:val="auto"/>
          <w:highlight w:val="none"/>
        </w:rPr>
      </w:pPr>
      <w:r>
        <w:rPr>
          <w:rFonts w:hint="eastAsia"/>
          <w:b/>
          <w:color w:val="auto"/>
          <w:highlight w:val="none"/>
        </w:rPr>
        <w:t>（1）单位职能</w:t>
      </w:r>
    </w:p>
    <w:p>
      <w:pPr>
        <w:ind w:firstLine="560"/>
        <w:rPr>
          <w:rFonts w:hint="eastAsia" w:ascii="仿宋" w:hAnsi="仿宋" w:eastAsia="仿宋"/>
          <w:color w:val="auto"/>
          <w:szCs w:val="28"/>
          <w:highlight w:val="none"/>
          <w:lang w:val="en-US" w:eastAsia="zh-CN"/>
        </w:rPr>
      </w:pPr>
      <w:r>
        <w:rPr>
          <w:rFonts w:hint="eastAsia" w:ascii="仿宋" w:hAnsi="仿宋" w:eastAsia="仿宋"/>
          <w:color w:val="auto"/>
          <w:szCs w:val="28"/>
          <w:highlight w:val="none"/>
          <w:lang w:val="en-US" w:eastAsia="zh-CN"/>
        </w:rPr>
        <w:t>1）宣传贯彻执行党和国家的教育方针、政策、法律法规等，坚持依法治教、依法治学，贯彻执行县教体局的行政规章制度。</w:t>
      </w:r>
    </w:p>
    <w:p>
      <w:pPr>
        <w:ind w:firstLine="560"/>
        <w:rPr>
          <w:rFonts w:hint="eastAsia" w:ascii="仿宋" w:hAnsi="仿宋" w:eastAsia="仿宋"/>
          <w:color w:val="auto"/>
          <w:szCs w:val="28"/>
          <w:highlight w:val="none"/>
          <w:lang w:val="en-US" w:eastAsia="zh-CN"/>
        </w:rPr>
      </w:pPr>
      <w:r>
        <w:rPr>
          <w:rFonts w:hint="eastAsia" w:ascii="仿宋" w:hAnsi="仿宋" w:eastAsia="仿宋"/>
          <w:color w:val="auto"/>
          <w:szCs w:val="28"/>
          <w:highlight w:val="none"/>
          <w:lang w:val="en-US" w:eastAsia="zh-CN"/>
        </w:rPr>
        <w:t>2）配合县人民政府制定符合党的教育方针和国家教育法律法规以及本校实际的教育发展规划和学校布局调整规划，并抓好组织实施和落实工作。</w:t>
      </w:r>
    </w:p>
    <w:p>
      <w:pPr>
        <w:ind w:firstLine="560"/>
        <w:rPr>
          <w:rFonts w:hint="eastAsia" w:ascii="仿宋" w:hAnsi="仿宋" w:eastAsia="仿宋"/>
          <w:color w:val="auto"/>
          <w:szCs w:val="28"/>
          <w:highlight w:val="none"/>
          <w:lang w:val="en-US" w:eastAsia="zh-CN"/>
        </w:rPr>
      </w:pPr>
      <w:r>
        <w:rPr>
          <w:rFonts w:hint="eastAsia" w:ascii="仿宋" w:hAnsi="仿宋" w:eastAsia="仿宋"/>
          <w:color w:val="auto"/>
          <w:szCs w:val="28"/>
          <w:highlight w:val="none"/>
          <w:lang w:val="en-US" w:eastAsia="zh-CN"/>
        </w:rPr>
        <w:t>3）巩固提高“两基”工作成果和整体水平，配合各级人民政府依法动员工作。</w:t>
      </w:r>
    </w:p>
    <w:p>
      <w:pPr>
        <w:ind w:firstLine="560"/>
        <w:rPr>
          <w:rFonts w:hint="eastAsia" w:ascii="仿宋" w:hAnsi="仿宋" w:eastAsia="仿宋"/>
          <w:color w:val="auto"/>
          <w:szCs w:val="28"/>
          <w:highlight w:val="none"/>
          <w:lang w:val="en-US" w:eastAsia="zh-CN"/>
        </w:rPr>
      </w:pPr>
      <w:r>
        <w:rPr>
          <w:rFonts w:hint="eastAsia" w:ascii="仿宋" w:hAnsi="仿宋" w:eastAsia="仿宋"/>
          <w:color w:val="auto"/>
          <w:szCs w:val="28"/>
          <w:highlight w:val="none"/>
          <w:lang w:val="en-US" w:eastAsia="zh-CN"/>
        </w:rPr>
        <w:t>4）组织开展本校的教育教学科研和教育教学改革，科研兴教，科研兴校。负责对本校教育教学业务的具体管理，负责教育教学，管理及教研教改工作，全力推进素质教育实施。</w:t>
      </w:r>
    </w:p>
    <w:p>
      <w:pPr>
        <w:pStyle w:val="4"/>
        <w:ind w:firstLine="643"/>
        <w:rPr>
          <w:rFonts w:hint="eastAsia"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val="0"/>
          <w:bCs/>
          <w:color w:val="auto"/>
          <w:kern w:val="2"/>
          <w:sz w:val="28"/>
          <w:szCs w:val="28"/>
          <w:highlight w:val="none"/>
          <w:lang w:val="en-US" w:eastAsia="zh-CN" w:bidi="ar-SA"/>
        </w:rPr>
        <w:t>5）按照干部和教师的职数、编制和管理权限，负责本校教师人事管理、继续教育、考核考评等工作。</w:t>
      </w:r>
    </w:p>
    <w:p>
      <w:pPr>
        <w:pStyle w:val="4"/>
        <w:ind w:firstLine="643"/>
        <w:rPr>
          <w:rFonts w:hint="eastAsia"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val="0"/>
          <w:bCs/>
          <w:color w:val="auto"/>
          <w:kern w:val="2"/>
          <w:sz w:val="28"/>
          <w:szCs w:val="28"/>
          <w:highlight w:val="none"/>
          <w:lang w:val="en-US" w:eastAsia="zh-CN" w:bidi="ar-SA"/>
        </w:rPr>
        <w:t>6）负责本校财务和基建管理，筹措资金，改善办学条件等工作。</w:t>
      </w:r>
    </w:p>
    <w:p>
      <w:pPr>
        <w:pStyle w:val="4"/>
        <w:ind w:firstLine="643"/>
        <w:rPr>
          <w:rFonts w:hint="eastAsia"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val="0"/>
          <w:bCs/>
          <w:color w:val="auto"/>
          <w:kern w:val="2"/>
          <w:sz w:val="28"/>
          <w:szCs w:val="28"/>
          <w:highlight w:val="none"/>
          <w:lang w:val="en-US" w:eastAsia="zh-CN" w:bidi="ar-SA"/>
        </w:rPr>
        <w:t>7）指导、管理、检查、评价本校的教育教学工作，提高办学质量和办学效益。全面推进素质教育，全面提高教育教学质量。</w:t>
      </w:r>
    </w:p>
    <w:p>
      <w:pPr>
        <w:ind w:firstLine="562"/>
        <w:rPr>
          <w:rFonts w:hint="eastAsia" w:eastAsia="仿宋_GB2312"/>
          <w:b/>
          <w:color w:val="auto"/>
          <w:highlight w:val="none"/>
          <w:lang w:eastAsia="zh-CN"/>
        </w:rPr>
      </w:pPr>
      <w:r>
        <w:rPr>
          <w:rFonts w:hint="eastAsia"/>
          <w:b/>
          <w:color w:val="auto"/>
          <w:highlight w:val="none"/>
        </w:rPr>
        <w:t>（2）</w:t>
      </w:r>
      <w:r>
        <w:rPr>
          <w:rFonts w:hint="eastAsia"/>
          <w:b/>
          <w:color w:val="auto"/>
          <w:highlight w:val="none"/>
          <w:lang w:val="en-US" w:eastAsia="zh-CN"/>
        </w:rPr>
        <w:t>机构设置及</w:t>
      </w:r>
      <w:r>
        <w:rPr>
          <w:rFonts w:hint="eastAsia"/>
          <w:b/>
          <w:color w:val="auto"/>
          <w:highlight w:val="none"/>
          <w:lang w:eastAsia="zh-CN"/>
        </w:rPr>
        <w:t>人员情况</w:t>
      </w:r>
    </w:p>
    <w:p>
      <w:pPr>
        <w:ind w:firstLine="560"/>
        <w:rPr>
          <w:rFonts w:ascii="仿宋" w:hAnsi="仿宋" w:eastAsia="仿宋"/>
          <w:color w:val="auto"/>
          <w:highlight w:val="none"/>
        </w:rPr>
      </w:pPr>
      <w:r>
        <w:rPr>
          <w:rFonts w:hint="eastAsia" w:ascii="仿宋" w:hAnsi="仿宋" w:eastAsia="仿宋"/>
          <w:color w:val="auto"/>
          <w:szCs w:val="28"/>
          <w:highlight w:val="none"/>
          <w:lang w:val="en-US" w:eastAsia="zh-CN"/>
        </w:rPr>
        <w:t>托克逊县库米什小学共设有3个处室，主要有：办公室、教务室、财务室。托克逊县库米什小学人员编制数共6人，年初实有在职人员6人，退休人员0</w:t>
      </w:r>
      <w:r>
        <w:rPr>
          <w:rFonts w:hint="eastAsia" w:ascii="仿宋" w:hAnsi="仿宋" w:eastAsia="仿宋"/>
          <w:color w:val="auto"/>
          <w:szCs w:val="28"/>
          <w:highlight w:val="none"/>
        </w:rPr>
        <w:t>人。年末实有在职人数</w:t>
      </w:r>
      <w:r>
        <w:rPr>
          <w:rFonts w:hint="eastAsia" w:ascii="仿宋" w:hAnsi="仿宋" w:eastAsia="仿宋"/>
          <w:color w:val="auto"/>
          <w:szCs w:val="28"/>
          <w:highlight w:val="none"/>
          <w:lang w:val="en-US" w:eastAsia="zh-CN"/>
        </w:rPr>
        <w:t>6</w:t>
      </w:r>
      <w:r>
        <w:rPr>
          <w:rFonts w:hint="eastAsia" w:ascii="仿宋" w:hAnsi="仿宋" w:eastAsia="仿宋"/>
          <w:color w:val="auto"/>
          <w:szCs w:val="28"/>
          <w:highlight w:val="none"/>
        </w:rPr>
        <w:t>人。</w:t>
      </w:r>
    </w:p>
    <w:p>
      <w:pPr>
        <w:pStyle w:val="5"/>
        <w:ind w:firstLine="562"/>
        <w:rPr>
          <w:color w:val="auto"/>
          <w:highlight w:val="none"/>
        </w:rPr>
      </w:pPr>
      <w:r>
        <w:rPr>
          <w:rFonts w:hint="eastAsia"/>
          <w:color w:val="auto"/>
          <w:highlight w:val="none"/>
          <w:lang w:val="en-US" w:eastAsia="zh-CN"/>
        </w:rPr>
        <w:t>3</w:t>
      </w:r>
      <w:r>
        <w:rPr>
          <w:rFonts w:hint="eastAsia"/>
          <w:color w:val="auto"/>
          <w:highlight w:val="none"/>
        </w:rPr>
        <w:t>.主要内容及实施情况</w:t>
      </w:r>
    </w:p>
    <w:p>
      <w:pPr>
        <w:ind w:firstLine="560"/>
        <w:rPr>
          <w:rFonts w:hint="eastAsia" w:ascii="仿宋" w:hAnsi="仿宋" w:eastAsia="仿宋"/>
          <w:color w:val="auto"/>
          <w:szCs w:val="28"/>
          <w:highlight w:val="none"/>
          <w:lang w:val="en-US" w:eastAsia="zh-CN"/>
        </w:rPr>
      </w:pPr>
      <w:r>
        <w:rPr>
          <w:rFonts w:hint="eastAsia" w:ascii="仿宋" w:hAnsi="仿宋" w:eastAsia="仿宋"/>
          <w:color w:val="auto"/>
          <w:szCs w:val="28"/>
          <w:highlight w:val="none"/>
          <w:lang w:val="en-US" w:eastAsia="zh-CN"/>
        </w:rPr>
        <w:t>项目名称：2023年学前教育幼儿资助县级配套</w:t>
      </w:r>
    </w:p>
    <w:p>
      <w:pPr>
        <w:ind w:firstLine="560"/>
        <w:rPr>
          <w:rFonts w:hint="eastAsia" w:ascii="仿宋" w:hAnsi="仿宋" w:eastAsia="仿宋"/>
          <w:color w:val="auto"/>
          <w:szCs w:val="28"/>
          <w:highlight w:val="none"/>
          <w:lang w:val="en-US" w:eastAsia="zh-CN"/>
        </w:rPr>
      </w:pPr>
      <w:r>
        <w:rPr>
          <w:rFonts w:hint="eastAsia" w:ascii="仿宋" w:hAnsi="仿宋" w:eastAsia="仿宋"/>
          <w:color w:val="auto"/>
          <w:szCs w:val="28"/>
          <w:highlight w:val="none"/>
          <w:lang w:val="en-US" w:eastAsia="zh-CN"/>
        </w:rPr>
        <w:t>项目主要内容：保障库米什小学13名农村在园幼儿免费接受学前三年教育,提高我学区农村学前国语教育覆盖率，完善学前教育体系，持续推进学前教育事业发展。</w:t>
      </w:r>
    </w:p>
    <w:p>
      <w:pPr>
        <w:ind w:firstLine="560"/>
        <w:rPr>
          <w:rFonts w:hint="eastAsia" w:ascii="仿宋" w:hAnsi="仿宋" w:eastAsia="仿宋"/>
          <w:color w:val="auto"/>
          <w:szCs w:val="28"/>
          <w:highlight w:val="none"/>
          <w:lang w:val="en-US" w:eastAsia="zh-CN"/>
        </w:rPr>
      </w:pPr>
      <w:r>
        <w:rPr>
          <w:rFonts w:hint="eastAsia" w:ascii="仿宋" w:hAnsi="仿宋" w:eastAsia="仿宋"/>
          <w:color w:val="auto"/>
          <w:szCs w:val="28"/>
          <w:highlight w:val="none"/>
          <w:lang w:val="en-US" w:eastAsia="zh-CN"/>
        </w:rPr>
        <w:t>项目实施时间：2023年1月-2023年12月</w:t>
      </w:r>
    </w:p>
    <w:p>
      <w:pPr>
        <w:ind w:firstLine="560"/>
        <w:rPr>
          <w:rFonts w:hint="eastAsia" w:ascii="仿宋" w:hAnsi="仿宋" w:eastAsia="仿宋"/>
          <w:color w:val="auto"/>
          <w:szCs w:val="28"/>
          <w:highlight w:val="none"/>
          <w:lang w:val="en-US" w:eastAsia="zh-CN"/>
        </w:rPr>
      </w:pPr>
      <w:r>
        <w:rPr>
          <w:rFonts w:hint="eastAsia" w:ascii="仿宋" w:hAnsi="仿宋" w:eastAsia="仿宋"/>
          <w:color w:val="auto"/>
          <w:szCs w:val="28"/>
          <w:highlight w:val="none"/>
          <w:lang w:val="en-US" w:eastAsia="zh-CN"/>
        </w:rPr>
        <w:t>项目实施情况：</w:t>
      </w:r>
    </w:p>
    <w:p>
      <w:pPr>
        <w:ind w:firstLine="560"/>
        <w:rPr>
          <w:rFonts w:hint="eastAsia" w:ascii="仿宋" w:hAnsi="仿宋" w:eastAsia="仿宋" w:cs="Times New Roman"/>
          <w:color w:val="auto"/>
          <w:szCs w:val="28"/>
          <w:highlight w:val="none"/>
          <w:lang w:val="en-US" w:eastAsia="zh-CN"/>
        </w:rPr>
      </w:pPr>
      <w:r>
        <w:rPr>
          <w:rFonts w:hint="eastAsia" w:ascii="仿宋" w:hAnsi="仿宋" w:eastAsia="仿宋" w:cs="Times New Roman"/>
          <w:color w:val="auto"/>
          <w:szCs w:val="28"/>
          <w:highlight w:val="none"/>
          <w:lang w:val="en-US" w:eastAsia="zh-CN"/>
        </w:rPr>
        <w:t>2023年学前教育幼儿资助县级配套项目预算安排总额为1.60万元，主要用于保障库米什镇片区学前教育教学工作正常开展，确保库米什镇片区幼儿园正常招收适龄入学儿童。2023年我片区保障了1所幼儿园13名幼儿享受学前三年教育，做到应入尽入，保证了片区幼儿百分百入园，确保了片区内1所幼儿园补助全覆盖，及时支付各幼儿园经费，保障幼儿园冬季正常供暖，确保幼儿园食品安全，确保幼儿园伙食费按时支付，有效提高了学前教育普惠保障。确保了学前教育教育保障机制政策按规定得到落实，提高了我县农村学前国语教育覆盖率，完善了学前教育体系，持续推进了学前教育事业发展。</w:t>
      </w:r>
    </w:p>
    <w:p>
      <w:pPr>
        <w:pStyle w:val="5"/>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pPr>
        <w:ind w:firstLine="560"/>
        <w:rPr>
          <w:rFonts w:hint="default" w:eastAsia="仿宋_GB2312"/>
          <w:color w:val="auto"/>
          <w:highlight w:val="none"/>
          <w:lang w:val="en-US" w:eastAsia="zh-CN"/>
        </w:rPr>
      </w:pPr>
      <w:r>
        <w:rPr>
          <w:rFonts w:hint="eastAsia" w:ascii="仿宋_GB2312" w:hAnsi="仿宋_GB2312" w:cs="Times New Roman"/>
          <w:b w:val="0"/>
          <w:bCs w:val="0"/>
          <w:color w:val="auto"/>
          <w:kern w:val="0"/>
          <w:sz w:val="28"/>
          <w:szCs w:val="32"/>
          <w:highlight w:val="none"/>
          <w:lang w:val="en-US" w:eastAsia="zh-CN" w:bidi="ar-SA"/>
        </w:rPr>
        <w:t>2023年学前教育幼儿资助县级配套</w:t>
      </w:r>
      <w:r>
        <w:rPr>
          <w:color w:val="auto"/>
          <w:highlight w:val="none"/>
        </w:rPr>
        <w:t>预算安排总额为</w:t>
      </w:r>
      <w:r>
        <w:rPr>
          <w:rFonts w:hint="eastAsia"/>
          <w:color w:val="auto"/>
          <w:highlight w:val="none"/>
          <w:lang w:val="en-US" w:eastAsia="zh-CN"/>
        </w:rPr>
        <w:t>1.60</w:t>
      </w:r>
      <w:r>
        <w:rPr>
          <w:color w:val="auto"/>
          <w:highlight w:val="none"/>
        </w:rPr>
        <w:t>万元，其中财政资金</w:t>
      </w:r>
      <w:r>
        <w:rPr>
          <w:rFonts w:hint="eastAsia"/>
          <w:color w:val="auto"/>
          <w:highlight w:val="none"/>
          <w:lang w:val="en-US" w:eastAsia="zh-CN"/>
        </w:rPr>
        <w:t>1.60</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1.6</w:t>
      </w:r>
      <w:r>
        <w:rPr>
          <w:color w:val="auto"/>
          <w:highlight w:val="none"/>
        </w:rPr>
        <w:t>万元，预算资金到位率为</w:t>
      </w:r>
      <w:r>
        <w:rPr>
          <w:rFonts w:hint="eastAsia"/>
          <w:color w:val="auto"/>
          <w:highlight w:val="none"/>
          <w:lang w:val="en-US" w:eastAsia="zh-CN"/>
        </w:rPr>
        <w:t>100</w:t>
      </w:r>
      <w:r>
        <w:rPr>
          <w:color w:val="auto"/>
          <w:highlight w:val="none"/>
        </w:rPr>
        <w:t>%。</w:t>
      </w:r>
    </w:p>
    <w:p>
      <w:pPr>
        <w:ind w:firstLine="562"/>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pPr>
        <w:ind w:firstLine="560"/>
        <w:rPr>
          <w:rFonts w:hint="default" w:eastAsia="仿宋_GB2312"/>
          <w:b w:val="0"/>
          <w:bCs w:val="0"/>
          <w:color w:val="auto"/>
          <w:highlight w:val="none"/>
          <w:lang w:val="en-US" w:eastAsia="zh-CN"/>
        </w:rPr>
      </w:pPr>
      <w:r>
        <w:rPr>
          <w:rFonts w:hint="eastAsia"/>
          <w:color w:val="auto"/>
          <w:highlight w:val="none"/>
          <w:lang w:eastAsia="zh-CN"/>
        </w:rPr>
        <w:t>截止到</w:t>
      </w:r>
      <w:r>
        <w:rPr>
          <w:rFonts w:hint="eastAsia"/>
          <w:color w:val="auto"/>
          <w:highlight w:val="none"/>
          <w:lang w:val="en-US" w:eastAsia="zh-CN"/>
        </w:rPr>
        <w:t>2023年12月31日，</w:t>
      </w:r>
      <w:r>
        <w:rPr>
          <w:rFonts w:hint="eastAsia"/>
          <w:color w:val="auto"/>
          <w:highlight w:val="none"/>
        </w:rPr>
        <w:t>本项目实际支付资金</w:t>
      </w:r>
      <w:r>
        <w:rPr>
          <w:rFonts w:hint="eastAsia"/>
          <w:color w:val="auto"/>
          <w:highlight w:val="none"/>
          <w:lang w:val="en-US" w:eastAsia="zh-CN"/>
        </w:rPr>
        <w:t>1.51</w:t>
      </w:r>
      <w:r>
        <w:rPr>
          <w:rFonts w:hint="eastAsia"/>
          <w:color w:val="auto"/>
          <w:highlight w:val="none"/>
        </w:rPr>
        <w:t>万元，预算执行率</w:t>
      </w:r>
      <w:r>
        <w:rPr>
          <w:rFonts w:hint="eastAsia"/>
          <w:color w:val="auto"/>
          <w:highlight w:val="none"/>
          <w:lang w:val="en-US" w:eastAsia="zh-CN"/>
        </w:rPr>
        <w:t>94.38</w:t>
      </w:r>
      <w:r>
        <w:rPr>
          <w:color w:val="auto"/>
          <w:highlight w:val="none"/>
        </w:rPr>
        <w:t>%</w:t>
      </w:r>
      <w:r>
        <w:rPr>
          <w:rFonts w:hint="eastAsia"/>
          <w:color w:val="auto"/>
          <w:highlight w:val="none"/>
          <w:lang w:eastAsia="zh-CN"/>
        </w:rPr>
        <w:t>，结余资金指标额度已由县财政收回。</w:t>
      </w:r>
      <w:r>
        <w:rPr>
          <w:rFonts w:hint="eastAsia"/>
          <w:color w:val="auto"/>
          <w:highlight w:val="none"/>
        </w:rPr>
        <w:t>项目资金主要用于</w:t>
      </w:r>
      <w:r>
        <w:rPr>
          <w:rFonts w:hint="eastAsia"/>
          <w:color w:val="auto"/>
          <w:highlight w:val="none"/>
          <w:lang w:val="en-US" w:eastAsia="zh-CN"/>
        </w:rPr>
        <w:t>支付电费0.83万元、维修费0.02万元、助学金0.66万元。</w:t>
      </w:r>
    </w:p>
    <w:p>
      <w:pPr>
        <w:pStyle w:val="4"/>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pPr>
        <w:pStyle w:val="5"/>
        <w:bidi w:val="0"/>
        <w:rPr>
          <w:color w:val="auto"/>
          <w:highlight w:val="none"/>
        </w:rPr>
      </w:pPr>
      <w:r>
        <w:rPr>
          <w:rFonts w:hint="eastAsia"/>
          <w:color w:val="auto"/>
          <w:highlight w:val="none"/>
        </w:rPr>
        <w:t>1.总体目标</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保障</w:t>
      </w:r>
      <w:r>
        <w:rPr>
          <w:rFonts w:hint="eastAsia" w:cs="Times New Roman"/>
          <w:color w:val="auto"/>
          <w:highlight w:val="none"/>
          <w:lang w:val="en-US" w:eastAsia="zh-CN"/>
        </w:rPr>
        <w:t>克尔碱</w:t>
      </w:r>
      <w:r>
        <w:rPr>
          <w:rFonts w:hint="eastAsia" w:ascii="Times New Roman" w:hAnsi="Times New Roman" w:cs="Times New Roman"/>
          <w:color w:val="auto"/>
          <w:highlight w:val="none"/>
          <w:lang w:val="en-US" w:eastAsia="zh-CN"/>
        </w:rPr>
        <w:t>学区</w:t>
      </w:r>
      <w:r>
        <w:rPr>
          <w:rFonts w:hint="eastAsia" w:cs="Times New Roman"/>
          <w:color w:val="auto"/>
          <w:highlight w:val="none"/>
          <w:lang w:val="en-US" w:eastAsia="zh-CN"/>
        </w:rPr>
        <w:t>13</w:t>
      </w:r>
      <w:r>
        <w:rPr>
          <w:rFonts w:hint="eastAsia" w:ascii="Times New Roman" w:hAnsi="Times New Roman" w:cs="Times New Roman"/>
          <w:color w:val="auto"/>
          <w:highlight w:val="none"/>
          <w:lang w:val="en-US" w:eastAsia="zh-CN"/>
        </w:rPr>
        <w:t>名农村在园幼儿免费接受学前三年教育,提高我学区农村学前国语教育覆盖率，完善学前教育体系，持续推进学前教育事业发展。</w:t>
      </w:r>
    </w:p>
    <w:p>
      <w:pPr>
        <w:pStyle w:val="5"/>
        <w:ind w:firstLine="562"/>
        <w:rPr>
          <w:color w:val="auto"/>
          <w:highlight w:val="none"/>
        </w:rPr>
      </w:pPr>
      <w:r>
        <w:rPr>
          <w:rFonts w:hint="eastAsia"/>
          <w:color w:val="auto"/>
          <w:highlight w:val="none"/>
        </w:rPr>
        <w:t>2.阶段性目标</w:t>
      </w:r>
    </w:p>
    <w:p>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pPr>
        <w:ind w:firstLine="562"/>
        <w:rPr>
          <w:rFonts w:hAnsi="Arial" w:cs="宋体"/>
          <w:b/>
          <w:bCs/>
          <w:color w:val="auto"/>
          <w:highlight w:val="none"/>
        </w:rPr>
      </w:pPr>
      <w:r>
        <w:rPr>
          <w:rFonts w:hint="eastAsia" w:hAnsi="Arial" w:cs="宋体"/>
          <w:b/>
          <w:bCs/>
          <w:color w:val="auto"/>
          <w:highlight w:val="none"/>
        </w:rPr>
        <w:t>（1）</w:t>
      </w:r>
      <w:r>
        <w:rPr>
          <w:rFonts w:hint="eastAsia"/>
          <w:b/>
          <w:color w:val="auto"/>
          <w:highlight w:val="none"/>
        </w:rPr>
        <w:t>项目产出目标</w:t>
      </w:r>
    </w:p>
    <w:p>
      <w:pPr>
        <w:ind w:firstLine="560"/>
        <w:rPr>
          <w:color w:val="auto"/>
          <w:highlight w:val="none"/>
        </w:rPr>
      </w:pPr>
      <w:r>
        <w:rPr>
          <w:rFonts w:hint="eastAsia"/>
          <w:color w:val="auto"/>
          <w:highlight w:val="none"/>
        </w:rPr>
        <w:t>①数量指标</w:t>
      </w:r>
    </w:p>
    <w:p>
      <w:pPr>
        <w:ind w:firstLine="560"/>
        <w:rPr>
          <w:color w:val="auto"/>
          <w:highlight w:val="none"/>
        </w:rPr>
      </w:pPr>
      <w:r>
        <w:rPr>
          <w:rFonts w:hint="eastAsia"/>
          <w:color w:val="auto"/>
          <w:highlight w:val="none"/>
        </w:rPr>
        <w:t>“享受学前教育资助的幼儿园数量”指标，预期指标值</w:t>
      </w:r>
      <w:r>
        <w:rPr>
          <w:rFonts w:hint="eastAsia"/>
          <w:color w:val="auto"/>
          <w:highlight w:val="none"/>
          <w:lang w:eastAsia="zh-CN"/>
        </w:rPr>
        <w:t>大于等于</w:t>
      </w:r>
      <w:r>
        <w:rPr>
          <w:rFonts w:hint="eastAsia"/>
          <w:color w:val="auto"/>
          <w:highlight w:val="none"/>
          <w:lang w:val="en-US" w:eastAsia="zh-CN"/>
        </w:rPr>
        <w:t>1所</w:t>
      </w:r>
      <w:r>
        <w:rPr>
          <w:rFonts w:hint="eastAsia"/>
          <w:color w:val="auto"/>
          <w:highlight w:val="none"/>
        </w:rPr>
        <w:t>；</w:t>
      </w:r>
    </w:p>
    <w:p>
      <w:pPr>
        <w:ind w:firstLine="560"/>
        <w:rPr>
          <w:rFonts w:hint="eastAsia"/>
          <w:color w:val="auto"/>
          <w:highlight w:val="none"/>
        </w:rPr>
      </w:pPr>
      <w:r>
        <w:rPr>
          <w:rFonts w:hint="eastAsia"/>
          <w:color w:val="auto"/>
          <w:highlight w:val="none"/>
        </w:rPr>
        <w:t>“享受学前教育资助的幼儿人数”指标，预期指标值</w:t>
      </w:r>
      <w:r>
        <w:rPr>
          <w:rFonts w:hint="eastAsia"/>
          <w:color w:val="auto"/>
          <w:highlight w:val="none"/>
          <w:lang w:eastAsia="zh-CN"/>
        </w:rPr>
        <w:t>等于</w:t>
      </w:r>
      <w:r>
        <w:rPr>
          <w:rFonts w:hint="eastAsia"/>
          <w:color w:val="auto"/>
          <w:highlight w:val="none"/>
          <w:lang w:val="en-US" w:eastAsia="zh-CN"/>
        </w:rPr>
        <w:t>13人</w:t>
      </w:r>
      <w:r>
        <w:rPr>
          <w:rFonts w:hint="eastAsia"/>
          <w:color w:val="auto"/>
          <w:highlight w:val="none"/>
        </w:rPr>
        <w:t>。</w:t>
      </w:r>
    </w:p>
    <w:p>
      <w:pPr>
        <w:ind w:firstLine="560"/>
        <w:rPr>
          <w:rFonts w:hint="eastAsia"/>
          <w:color w:val="auto"/>
          <w:highlight w:val="none"/>
        </w:rPr>
      </w:pPr>
      <w:r>
        <w:rPr>
          <w:rFonts w:hint="eastAsia"/>
          <w:color w:val="auto"/>
          <w:highlight w:val="none"/>
        </w:rPr>
        <w:t>“普惠性学前教育资源覆盖率”指标，预期指标值</w:t>
      </w:r>
      <w:r>
        <w:rPr>
          <w:rFonts w:hint="eastAsia"/>
          <w:color w:val="auto"/>
          <w:highlight w:val="none"/>
          <w:lang w:eastAsia="zh-CN"/>
        </w:rPr>
        <w:t>大于等于</w:t>
      </w:r>
      <w:r>
        <w:rPr>
          <w:rFonts w:hint="eastAsia"/>
          <w:color w:val="auto"/>
          <w:highlight w:val="none"/>
          <w:lang w:val="en-US" w:eastAsia="zh-CN"/>
        </w:rPr>
        <w:t>95%</w:t>
      </w:r>
      <w:r>
        <w:rPr>
          <w:rFonts w:hint="eastAsia"/>
          <w:color w:val="auto"/>
          <w:highlight w:val="none"/>
        </w:rPr>
        <w:t>。</w:t>
      </w:r>
    </w:p>
    <w:p>
      <w:pPr>
        <w:ind w:firstLine="560"/>
        <w:rPr>
          <w:rFonts w:hint="eastAsia"/>
          <w:color w:val="auto"/>
          <w:highlight w:val="none"/>
        </w:rPr>
      </w:pPr>
      <w:r>
        <w:rPr>
          <w:rFonts w:hint="eastAsia"/>
          <w:color w:val="auto"/>
          <w:highlight w:val="none"/>
        </w:rPr>
        <w:t>“公办园在园幼儿占比”指标，预期指标值</w:t>
      </w:r>
      <w:r>
        <w:rPr>
          <w:rFonts w:hint="eastAsia"/>
          <w:color w:val="auto"/>
          <w:highlight w:val="none"/>
          <w:lang w:eastAsia="zh-CN"/>
        </w:rPr>
        <w:t>大于等于</w:t>
      </w:r>
      <w:r>
        <w:rPr>
          <w:rFonts w:hint="eastAsia"/>
          <w:color w:val="auto"/>
          <w:highlight w:val="none"/>
          <w:lang w:val="en-US" w:eastAsia="zh-CN"/>
        </w:rPr>
        <w:t>95%</w:t>
      </w:r>
      <w:r>
        <w:rPr>
          <w:rFonts w:hint="eastAsia"/>
          <w:color w:val="auto"/>
          <w:highlight w:val="none"/>
        </w:rPr>
        <w:t>。</w:t>
      </w:r>
    </w:p>
    <w:p>
      <w:pPr>
        <w:ind w:firstLine="560"/>
        <w:rPr>
          <w:color w:val="auto"/>
          <w:highlight w:val="none"/>
        </w:rPr>
      </w:pPr>
      <w:r>
        <w:rPr>
          <w:rFonts w:hint="eastAsia"/>
          <w:color w:val="auto"/>
          <w:highlight w:val="none"/>
        </w:rPr>
        <w:t>②质量指标</w:t>
      </w:r>
    </w:p>
    <w:p>
      <w:pPr>
        <w:ind w:firstLine="560"/>
        <w:rPr>
          <w:color w:val="auto"/>
          <w:highlight w:val="none"/>
        </w:rPr>
      </w:pPr>
      <w:r>
        <w:rPr>
          <w:rFonts w:hint="eastAsia"/>
          <w:color w:val="auto"/>
          <w:highlight w:val="none"/>
        </w:rPr>
        <w:t>“农村学前国语教育覆盖率”指标，预期指标值为</w:t>
      </w:r>
      <w:r>
        <w:rPr>
          <w:rFonts w:hint="eastAsia"/>
          <w:color w:val="auto"/>
          <w:highlight w:val="none"/>
          <w:lang w:val="en-US" w:eastAsia="zh-CN"/>
        </w:rPr>
        <w:t>100%</w:t>
      </w:r>
      <w:r>
        <w:rPr>
          <w:rFonts w:hint="eastAsia"/>
          <w:color w:val="auto"/>
          <w:highlight w:val="none"/>
        </w:rPr>
        <w:t>；</w:t>
      </w:r>
    </w:p>
    <w:p>
      <w:pPr>
        <w:ind w:firstLine="560"/>
        <w:rPr>
          <w:color w:val="auto"/>
          <w:highlight w:val="none"/>
        </w:rPr>
      </w:pPr>
      <w:r>
        <w:rPr>
          <w:rFonts w:hint="eastAsia"/>
          <w:color w:val="auto"/>
          <w:highlight w:val="none"/>
        </w:rPr>
        <w:t>“专业幼师上岗率”指标，预期指标值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pPr>
        <w:ind w:firstLine="560"/>
        <w:rPr>
          <w:color w:val="auto"/>
          <w:highlight w:val="none"/>
        </w:rPr>
      </w:pPr>
      <w:r>
        <w:rPr>
          <w:rFonts w:hint="eastAsia"/>
          <w:color w:val="auto"/>
          <w:highlight w:val="none"/>
        </w:rPr>
        <w:t>③</w:t>
      </w:r>
      <w:r>
        <w:rPr>
          <w:rFonts w:hint="eastAsia"/>
          <w:color w:val="auto"/>
          <w:highlight w:val="none"/>
          <w:lang w:eastAsia="zh-CN"/>
        </w:rPr>
        <w:t>时效</w:t>
      </w:r>
      <w:r>
        <w:rPr>
          <w:rFonts w:hint="eastAsia"/>
          <w:color w:val="auto"/>
          <w:highlight w:val="none"/>
        </w:rPr>
        <w:t>指标</w:t>
      </w:r>
    </w:p>
    <w:p>
      <w:pPr>
        <w:ind w:firstLine="560"/>
        <w:rPr>
          <w:rFonts w:hint="eastAsia"/>
          <w:color w:val="auto"/>
          <w:highlight w:val="none"/>
        </w:rPr>
      </w:pPr>
      <w:r>
        <w:rPr>
          <w:rFonts w:hint="eastAsia"/>
          <w:color w:val="auto"/>
          <w:highlight w:val="none"/>
        </w:rPr>
        <w:t>“资金拨付及时率”指标，预期指标值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pPr>
        <w:ind w:firstLine="562"/>
        <w:rPr>
          <w:color w:val="auto"/>
          <w:highlight w:val="none"/>
        </w:rPr>
      </w:pPr>
      <w:r>
        <w:rPr>
          <w:rFonts w:hint="eastAsia" w:hAnsi="Arial" w:cs="宋体"/>
          <w:b/>
          <w:bCs/>
          <w:color w:val="auto"/>
          <w:highlight w:val="none"/>
        </w:rPr>
        <w:t>（</w:t>
      </w:r>
      <w:r>
        <w:rPr>
          <w:rFonts w:hint="eastAsia" w:hAnsi="Arial" w:cs="宋体"/>
          <w:b/>
          <w:bCs/>
          <w:color w:val="auto"/>
          <w:highlight w:val="none"/>
          <w:lang w:val="en-US" w:eastAsia="zh-CN"/>
        </w:rPr>
        <w:t>2</w:t>
      </w:r>
      <w:r>
        <w:rPr>
          <w:rFonts w:hint="eastAsia" w:hAnsi="Arial" w:cs="宋体"/>
          <w:b/>
          <w:bCs/>
          <w:color w:val="auto"/>
          <w:highlight w:val="none"/>
        </w:rPr>
        <w:t>）</w:t>
      </w:r>
      <w:r>
        <w:rPr>
          <w:rFonts w:hint="eastAsia" w:hAnsi="Arial" w:cs="宋体"/>
          <w:b/>
          <w:bCs/>
          <w:color w:val="auto"/>
          <w:highlight w:val="none"/>
          <w:lang w:val="en-US" w:eastAsia="zh-CN"/>
        </w:rPr>
        <w:t>项目</w:t>
      </w:r>
      <w:r>
        <w:rPr>
          <w:rFonts w:hint="eastAsia"/>
          <w:b/>
          <w:color w:val="auto"/>
          <w:highlight w:val="none"/>
          <w:lang w:val="en-US" w:eastAsia="zh-CN"/>
        </w:rPr>
        <w:t>成本</w:t>
      </w:r>
      <w:r>
        <w:rPr>
          <w:rFonts w:hint="eastAsia"/>
          <w:b/>
          <w:color w:val="auto"/>
          <w:highlight w:val="none"/>
        </w:rPr>
        <w:t>目标</w:t>
      </w:r>
    </w:p>
    <w:p>
      <w:pPr>
        <w:ind w:firstLine="560"/>
        <w:rPr>
          <w:rFonts w:hint="eastAsia"/>
          <w:color w:val="auto"/>
          <w:highlight w:val="none"/>
        </w:rPr>
      </w:pPr>
      <w:r>
        <w:rPr>
          <w:rFonts w:hint="eastAsia"/>
          <w:color w:val="auto"/>
          <w:highlight w:val="none"/>
        </w:rPr>
        <w:t>①</w:t>
      </w:r>
      <w:r>
        <w:rPr>
          <w:rFonts w:hint="eastAsia"/>
          <w:color w:val="auto"/>
          <w:highlight w:val="none"/>
          <w:lang w:val="en-US" w:eastAsia="zh-CN"/>
        </w:rPr>
        <w:t>经济</w:t>
      </w:r>
      <w:r>
        <w:rPr>
          <w:rFonts w:hint="eastAsia"/>
          <w:color w:val="auto"/>
          <w:highlight w:val="none"/>
        </w:rPr>
        <w:t>成本指标</w:t>
      </w:r>
    </w:p>
    <w:p>
      <w:pPr>
        <w:ind w:firstLine="560"/>
        <w:rPr>
          <w:rFonts w:hint="eastAsia"/>
          <w:color w:val="auto"/>
          <w:highlight w:val="none"/>
        </w:rPr>
      </w:pPr>
      <w:r>
        <w:rPr>
          <w:rFonts w:hint="eastAsia"/>
          <w:color w:val="auto"/>
          <w:highlight w:val="none"/>
        </w:rPr>
        <w:t>“学前教育资助经费平均发放标准”指标，预期指标值</w:t>
      </w:r>
      <w:r>
        <w:rPr>
          <w:rFonts w:hint="eastAsia"/>
          <w:color w:val="auto"/>
          <w:highlight w:val="none"/>
          <w:lang w:eastAsia="zh-CN"/>
        </w:rPr>
        <w:t>为</w:t>
      </w:r>
      <w:r>
        <w:rPr>
          <w:rFonts w:hint="eastAsia"/>
          <w:color w:val="auto"/>
          <w:highlight w:val="none"/>
          <w:lang w:val="en-US" w:eastAsia="zh-CN"/>
        </w:rPr>
        <w:t>1227.8元/人/学年</w:t>
      </w:r>
      <w:r>
        <w:rPr>
          <w:rFonts w:hint="eastAsia"/>
          <w:color w:val="auto"/>
          <w:highlight w:val="none"/>
        </w:rPr>
        <w:t>；</w:t>
      </w:r>
    </w:p>
    <w:p>
      <w:pPr>
        <w:ind w:firstLine="560"/>
        <w:rPr>
          <w:rFonts w:hint="eastAsia"/>
          <w:color w:val="auto"/>
          <w:highlight w:val="none"/>
          <w:lang w:val="en-US" w:eastAsia="zh-CN"/>
        </w:rPr>
      </w:pPr>
      <w:r>
        <w:rPr>
          <w:rFonts w:hint="eastAsia"/>
          <w:color w:val="auto"/>
          <w:highlight w:val="none"/>
        </w:rPr>
        <w:t>②</w:t>
      </w:r>
      <w:r>
        <w:rPr>
          <w:rFonts w:hint="eastAsia"/>
          <w:color w:val="auto"/>
          <w:highlight w:val="none"/>
          <w:lang w:val="en-US" w:eastAsia="zh-CN"/>
        </w:rPr>
        <w:t>社会成本指标</w:t>
      </w:r>
    </w:p>
    <w:p>
      <w:pPr>
        <w:ind w:firstLine="560"/>
        <w:rPr>
          <w:rFonts w:hint="eastAsia"/>
          <w:color w:val="auto"/>
          <w:highlight w:val="none"/>
          <w:lang w:val="en-US" w:eastAsia="zh-CN"/>
        </w:rPr>
      </w:pPr>
      <w:r>
        <w:rPr>
          <w:rFonts w:hint="eastAsia"/>
          <w:color w:val="auto"/>
          <w:highlight w:val="none"/>
          <w:lang w:val="en-US" w:eastAsia="zh-CN"/>
        </w:rPr>
        <w:t>无；</w:t>
      </w:r>
    </w:p>
    <w:p>
      <w:pPr>
        <w:ind w:firstLine="560"/>
        <w:rPr>
          <w:rFonts w:hint="eastAsia"/>
          <w:color w:val="auto"/>
          <w:highlight w:val="none"/>
          <w:lang w:val="en-US" w:eastAsia="zh-CN"/>
        </w:rPr>
      </w:pPr>
      <w:r>
        <w:rPr>
          <w:rFonts w:hint="eastAsia"/>
          <w:color w:val="auto"/>
          <w:highlight w:val="none"/>
        </w:rPr>
        <w:t>③</w:t>
      </w:r>
      <w:r>
        <w:rPr>
          <w:rFonts w:hint="eastAsia"/>
          <w:color w:val="auto"/>
          <w:highlight w:val="none"/>
          <w:lang w:val="en-US" w:eastAsia="zh-CN"/>
        </w:rPr>
        <w:t>生态环境成本指标</w:t>
      </w:r>
    </w:p>
    <w:p>
      <w:pPr>
        <w:ind w:firstLine="560"/>
        <w:rPr>
          <w:rFonts w:hint="default"/>
          <w:color w:val="auto"/>
          <w:highlight w:val="none"/>
          <w:lang w:val="en-US" w:eastAsia="zh-CN"/>
        </w:rPr>
      </w:pPr>
      <w:r>
        <w:rPr>
          <w:rFonts w:hint="eastAsia"/>
          <w:color w:val="auto"/>
          <w:highlight w:val="none"/>
          <w:lang w:val="en-US" w:eastAsia="zh-CN"/>
        </w:rPr>
        <w:t>无；</w:t>
      </w:r>
    </w:p>
    <w:p>
      <w:pPr>
        <w:ind w:firstLine="562"/>
        <w:rPr>
          <w:rFonts w:ascii="仿宋" w:hAnsi="仿宋" w:eastAsia="仿宋"/>
          <w:b/>
          <w:color w:val="auto"/>
          <w:highlight w:val="none"/>
        </w:rPr>
      </w:pPr>
      <w:r>
        <w:rPr>
          <w:rFonts w:hint="eastAsia" w:ascii="仿宋" w:hAnsi="仿宋" w:eastAsia="仿宋"/>
          <w:b/>
          <w:color w:val="auto"/>
          <w:highlight w:val="none"/>
        </w:rPr>
        <w:t>（</w:t>
      </w:r>
      <w:r>
        <w:rPr>
          <w:rFonts w:hint="eastAsia" w:ascii="仿宋" w:hAnsi="仿宋" w:eastAsia="仿宋"/>
          <w:b/>
          <w:color w:val="auto"/>
          <w:highlight w:val="none"/>
          <w:lang w:val="en-US" w:eastAsia="zh-CN"/>
        </w:rPr>
        <w:t>3</w:t>
      </w:r>
      <w:r>
        <w:rPr>
          <w:rFonts w:hint="eastAsia" w:ascii="仿宋" w:hAnsi="仿宋" w:eastAsia="仿宋"/>
          <w:b/>
          <w:color w:val="auto"/>
          <w:highlight w:val="none"/>
        </w:rPr>
        <w:t>）项目效益目标</w:t>
      </w:r>
    </w:p>
    <w:p>
      <w:pPr>
        <w:ind w:firstLine="560"/>
        <w:rPr>
          <w:rFonts w:hint="default" w:eastAsia="仿宋_GB2312"/>
          <w:color w:val="auto"/>
          <w:highlight w:val="none"/>
          <w:lang w:val="en-US" w:eastAsia="zh-CN"/>
        </w:rPr>
      </w:pPr>
      <w:r>
        <w:rPr>
          <w:rFonts w:hint="eastAsia"/>
          <w:color w:val="auto"/>
          <w:highlight w:val="none"/>
        </w:rPr>
        <w:t>①经济效益指标</w:t>
      </w:r>
      <w:r>
        <w:rPr>
          <w:rFonts w:hint="eastAsia"/>
          <w:color w:val="auto"/>
          <w:highlight w:val="none"/>
          <w:lang w:val="en-US" w:eastAsia="zh-CN"/>
        </w:rPr>
        <w:t xml:space="preserve"> </w:t>
      </w:r>
    </w:p>
    <w:p>
      <w:pPr>
        <w:ind w:firstLine="560"/>
        <w:rPr>
          <w:rFonts w:hint="eastAsia" w:eastAsia="仿宋_GB2312"/>
          <w:color w:val="auto"/>
          <w:highlight w:val="none"/>
          <w:lang w:val="en-US" w:eastAsia="zh-CN"/>
        </w:rPr>
      </w:pPr>
      <w:r>
        <w:rPr>
          <w:rFonts w:hint="eastAsia"/>
          <w:color w:val="auto"/>
          <w:highlight w:val="none"/>
          <w:lang w:val="en-US" w:eastAsia="zh-CN"/>
        </w:rPr>
        <w:t>无</w:t>
      </w:r>
    </w:p>
    <w:p>
      <w:pPr>
        <w:ind w:firstLine="560"/>
        <w:rPr>
          <w:rFonts w:hint="eastAsia"/>
          <w:color w:val="auto"/>
          <w:highlight w:val="none"/>
        </w:rPr>
      </w:pPr>
      <w:r>
        <w:rPr>
          <w:rFonts w:hint="eastAsia"/>
          <w:color w:val="auto"/>
          <w:highlight w:val="none"/>
        </w:rPr>
        <w:t>②社会效益指标</w:t>
      </w:r>
    </w:p>
    <w:p>
      <w:pPr>
        <w:ind w:firstLine="560"/>
        <w:rPr>
          <w:rFonts w:hint="eastAsia" w:ascii="Times New Roman" w:hAnsi="Times New Roman" w:cs="Times New Roman"/>
          <w:color w:val="auto"/>
          <w:highlight w:val="none"/>
        </w:rPr>
      </w:pPr>
      <w:r>
        <w:rPr>
          <w:rFonts w:hint="eastAsia" w:ascii="Times New Roman" w:hAnsi="Times New Roman" w:cs="Times New Roman"/>
          <w:color w:val="auto"/>
          <w:highlight w:val="none"/>
        </w:rPr>
        <w:t>“学前三年毛入率”指标，预期指标值</w:t>
      </w:r>
      <w:r>
        <w:rPr>
          <w:rFonts w:hint="eastAsia" w:ascii="Times New Roman" w:hAnsi="Times New Roman" w:cs="Times New Roman"/>
          <w:color w:val="auto"/>
          <w:highlight w:val="none"/>
          <w:lang w:eastAsia="zh-CN"/>
        </w:rPr>
        <w:t>大于等于</w:t>
      </w:r>
      <w:r>
        <w:rPr>
          <w:rFonts w:hint="eastAsia" w:ascii="Times New Roman" w:hAnsi="Times New Roman" w:cs="Times New Roman"/>
          <w:color w:val="auto"/>
          <w:highlight w:val="none"/>
          <w:lang w:val="en-US" w:eastAsia="zh-CN"/>
        </w:rPr>
        <w:t>100%</w:t>
      </w:r>
      <w:r>
        <w:rPr>
          <w:rFonts w:hint="eastAsia" w:ascii="Times New Roman" w:hAnsi="Times New Roman" w:cs="Times New Roman"/>
          <w:color w:val="auto"/>
          <w:highlight w:val="none"/>
        </w:rPr>
        <w:t>；</w:t>
      </w:r>
    </w:p>
    <w:p>
      <w:pPr>
        <w:ind w:firstLine="560"/>
        <w:rPr>
          <w:rFonts w:hint="eastAsia" w:ascii="Times New Roman" w:hAnsi="Times New Roman" w:cs="Times New Roman"/>
          <w:color w:val="auto"/>
          <w:highlight w:val="none"/>
        </w:rPr>
      </w:pPr>
      <w:r>
        <w:rPr>
          <w:rFonts w:hint="eastAsia" w:ascii="Times New Roman" w:hAnsi="Times New Roman" w:cs="Times New Roman"/>
          <w:color w:val="auto"/>
          <w:highlight w:val="none"/>
        </w:rPr>
        <w:t>“</w:t>
      </w:r>
      <w:r>
        <w:rPr>
          <w:rFonts w:hint="eastAsia" w:ascii="Times New Roman" w:hAnsi="Times New Roman" w:cs="Times New Roman"/>
          <w:color w:val="auto"/>
          <w:highlight w:val="none"/>
          <w:lang w:eastAsia="zh-CN"/>
        </w:rPr>
        <w:t>积极提高学前教育普惠保障水平</w:t>
      </w:r>
      <w:r>
        <w:rPr>
          <w:rFonts w:hint="eastAsia" w:ascii="Times New Roman" w:hAnsi="Times New Roman" w:cs="Times New Roman"/>
          <w:color w:val="auto"/>
          <w:highlight w:val="none"/>
        </w:rPr>
        <w:t>”指标，预期指标值为有效</w:t>
      </w:r>
      <w:r>
        <w:rPr>
          <w:rFonts w:hint="eastAsia" w:ascii="Times New Roman" w:hAnsi="Times New Roman" w:cs="Times New Roman"/>
          <w:color w:val="auto"/>
          <w:highlight w:val="none"/>
          <w:lang w:val="en-US" w:eastAsia="zh-CN"/>
        </w:rPr>
        <w:t>提高</w:t>
      </w:r>
      <w:r>
        <w:rPr>
          <w:rFonts w:hint="eastAsia" w:ascii="Times New Roman" w:hAnsi="Times New Roman" w:cs="Times New Roman"/>
          <w:color w:val="auto"/>
          <w:highlight w:val="none"/>
        </w:rPr>
        <w:t>；</w:t>
      </w:r>
    </w:p>
    <w:p>
      <w:pPr>
        <w:ind w:firstLine="560"/>
        <w:rPr>
          <w:rFonts w:hint="eastAsia"/>
          <w:color w:val="auto"/>
          <w:highlight w:val="none"/>
          <w:lang w:val="en-US" w:eastAsia="zh-CN"/>
        </w:rPr>
      </w:pPr>
      <w:r>
        <w:rPr>
          <w:rFonts w:hint="eastAsia"/>
          <w:color w:val="auto"/>
          <w:highlight w:val="none"/>
        </w:rPr>
        <w:t>③生态效益指标</w:t>
      </w:r>
      <w:r>
        <w:rPr>
          <w:rFonts w:hint="eastAsia"/>
          <w:color w:val="auto"/>
          <w:highlight w:val="none"/>
          <w:lang w:val="en-US" w:eastAsia="zh-CN"/>
        </w:rPr>
        <w:t xml:space="preserve"> </w:t>
      </w:r>
    </w:p>
    <w:p>
      <w:pPr>
        <w:ind w:firstLine="560"/>
        <w:rPr>
          <w:color w:val="auto"/>
          <w:highlight w:val="none"/>
        </w:rPr>
      </w:pPr>
      <w:r>
        <w:rPr>
          <w:rFonts w:hint="eastAsia"/>
          <w:color w:val="auto"/>
          <w:highlight w:val="none"/>
          <w:lang w:val="en-US" w:eastAsia="zh-CN"/>
        </w:rPr>
        <w:t>无。</w:t>
      </w:r>
    </w:p>
    <w:p>
      <w:pPr>
        <w:ind w:firstLine="562"/>
        <w:rPr>
          <w:rFonts w:ascii="仿宋" w:hAnsi="仿宋" w:eastAsia="仿宋"/>
          <w:b/>
          <w:color w:val="auto"/>
          <w:highlight w:val="none"/>
        </w:rPr>
      </w:pPr>
      <w:r>
        <w:rPr>
          <w:rFonts w:hint="eastAsia" w:ascii="仿宋" w:hAnsi="仿宋" w:eastAsia="仿宋"/>
          <w:b/>
          <w:color w:val="auto"/>
          <w:highlight w:val="none"/>
        </w:rPr>
        <w:t>（3）</w:t>
      </w:r>
      <w:r>
        <w:rPr>
          <w:rFonts w:hint="eastAsia" w:ascii="仿宋" w:hAnsi="仿宋" w:eastAsia="仿宋"/>
          <w:b/>
          <w:color w:val="auto"/>
          <w:highlight w:val="none"/>
          <w:lang w:val="en-US" w:eastAsia="zh-CN"/>
        </w:rPr>
        <w:t>项目</w:t>
      </w:r>
      <w:r>
        <w:rPr>
          <w:rFonts w:hint="eastAsia" w:ascii="仿宋" w:hAnsi="仿宋" w:eastAsia="仿宋"/>
          <w:b/>
          <w:color w:val="auto"/>
          <w:highlight w:val="none"/>
        </w:rPr>
        <w:t>满意度目标</w:t>
      </w:r>
    </w:p>
    <w:p>
      <w:pPr>
        <w:ind w:firstLine="560"/>
        <w:rPr>
          <w:color w:val="auto"/>
          <w:highlight w:val="none"/>
        </w:rPr>
      </w:pPr>
      <w:r>
        <w:rPr>
          <w:rFonts w:hint="eastAsia"/>
          <w:color w:val="auto"/>
          <w:highlight w:val="none"/>
        </w:rPr>
        <w:t>①满意度指标</w:t>
      </w:r>
    </w:p>
    <w:p>
      <w:pPr>
        <w:ind w:firstLine="560"/>
        <w:rPr>
          <w:color w:val="auto"/>
          <w:highlight w:val="none"/>
        </w:rPr>
      </w:pPr>
      <w:r>
        <w:rPr>
          <w:rFonts w:hint="eastAsia"/>
          <w:color w:val="auto"/>
          <w:highlight w:val="none"/>
        </w:rPr>
        <w:t>“受益幼儿家长满意度”指标，预期指标值</w:t>
      </w:r>
      <w:r>
        <w:rPr>
          <w:rFonts w:hint="eastAsia"/>
          <w:color w:val="auto"/>
          <w:highlight w:val="none"/>
          <w:lang w:eastAsia="zh-CN"/>
        </w:rPr>
        <w:t>大于等于</w:t>
      </w:r>
      <w:r>
        <w:rPr>
          <w:rFonts w:hint="eastAsia"/>
          <w:color w:val="auto"/>
          <w:highlight w:val="none"/>
        </w:rPr>
        <w:t>9</w:t>
      </w:r>
      <w:r>
        <w:rPr>
          <w:rFonts w:hint="eastAsia"/>
          <w:color w:val="auto"/>
          <w:highlight w:val="none"/>
          <w:lang w:val="en-US" w:eastAsia="zh-CN"/>
        </w:rPr>
        <w:t>0</w:t>
      </w:r>
      <w:r>
        <w:rPr>
          <w:rFonts w:hint="eastAsia"/>
          <w:color w:val="auto"/>
          <w:highlight w:val="none"/>
        </w:rPr>
        <w:t>%；</w:t>
      </w:r>
    </w:p>
    <w:p>
      <w:pPr>
        <w:pStyle w:val="3"/>
        <w:ind w:firstLine="640"/>
        <w:rPr>
          <w:color w:val="auto"/>
          <w:highlight w:val="none"/>
        </w:rPr>
      </w:pPr>
      <w:r>
        <w:rPr>
          <w:rFonts w:hint="eastAsia"/>
          <w:color w:val="auto"/>
          <w:highlight w:val="none"/>
        </w:rPr>
        <w:t>二、绩效评价工作开展情况</w:t>
      </w:r>
    </w:p>
    <w:p>
      <w:pPr>
        <w:pStyle w:val="4"/>
        <w:numPr>
          <w:ilvl w:val="0"/>
          <w:numId w:val="1"/>
        </w:numPr>
        <w:ind w:firstLine="643"/>
        <w:rPr>
          <w:rFonts w:ascii="楷体" w:hAnsi="楷体" w:cs="楷体"/>
          <w:color w:val="auto"/>
          <w:szCs w:val="32"/>
          <w:highlight w:val="none"/>
        </w:rPr>
      </w:pPr>
      <w:bookmarkStart w:id="0" w:name="_Toc22169_WPSOffice_Level2"/>
      <w:bookmarkStart w:id="1" w:name="_Toc12868"/>
      <w:bookmarkStart w:id="2" w:name="_Toc26632"/>
      <w:bookmarkStart w:id="3" w:name="_Toc5258"/>
      <w:bookmarkStart w:id="4" w:name="_Toc5462343"/>
      <w:bookmarkStart w:id="5" w:name="_Toc22922"/>
      <w:bookmarkStart w:id="6" w:name="_Toc21664"/>
      <w:bookmarkStart w:id="7" w:name="_Toc480473081"/>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pPr>
        <w:pStyle w:val="5"/>
        <w:ind w:firstLine="562"/>
        <w:rPr>
          <w:rFonts w:hint="eastAsia"/>
          <w:color w:val="auto"/>
          <w:highlight w:val="none"/>
        </w:rPr>
      </w:pPr>
      <w:r>
        <w:rPr>
          <w:rFonts w:hint="eastAsia"/>
          <w:color w:val="auto"/>
          <w:highlight w:val="none"/>
        </w:rPr>
        <w:t>1.绩效评价的目的</w:t>
      </w:r>
    </w:p>
    <w:p>
      <w:pPr>
        <w:ind w:firstLine="560"/>
        <w:rPr>
          <w:color w:val="auto"/>
          <w:highlight w:val="none"/>
        </w:rPr>
      </w:pPr>
      <w:r>
        <w:rPr>
          <w:rFonts w:hint="eastAsia"/>
          <w:color w:val="auto"/>
          <w:highlight w:val="none"/>
        </w:rPr>
        <w:t>为全面实施预算绩效管理，建立科学、合理的项目支出绩效评价管理体系，提高财政资源配置效率和使用效益，根据</w:t>
      </w:r>
      <w:r>
        <w:rPr>
          <w:rFonts w:hint="eastAsia"/>
          <w:color w:val="auto"/>
          <w:highlight w:val="none"/>
          <w:lang w:val="en-US" w:eastAsia="zh-CN"/>
        </w:rPr>
        <w:t>财政部《项目支出绩效评价管理办法》（财预〔2020〕10号）和自治区财政厅《自治区财政支出绩效评价管理暂行办法》（新财预〔2018〕189号）等相关文件精神，</w:t>
      </w:r>
      <w:r>
        <w:rPr>
          <w:rFonts w:hint="eastAsia"/>
          <w:color w:val="auto"/>
          <w:highlight w:val="none"/>
          <w:lang w:eastAsia="zh-CN"/>
        </w:rPr>
        <w:t>我</w:t>
      </w:r>
      <w:r>
        <w:rPr>
          <w:rFonts w:hint="eastAsia"/>
          <w:color w:val="auto"/>
          <w:highlight w:val="none"/>
        </w:rPr>
        <w:t>单位针对</w:t>
      </w:r>
      <w:r>
        <w:rPr>
          <w:rFonts w:hint="eastAsia"/>
          <w:color w:val="auto"/>
          <w:highlight w:val="none"/>
          <w:lang w:val="en-US" w:eastAsia="zh-CN"/>
        </w:rPr>
        <w:t>该</w:t>
      </w:r>
      <w:r>
        <w:rPr>
          <w:rFonts w:hint="eastAsia"/>
          <w:color w:val="auto"/>
          <w:highlight w:val="none"/>
        </w:rPr>
        <w:t>项目开展本次部门项目支出绩效评价工作。通过绩效评价，促进本单位发现问题、总结经验、改进工作</w:t>
      </w:r>
      <w:r>
        <w:rPr>
          <w:rFonts w:hint="eastAsia"/>
          <w:color w:val="auto"/>
          <w:highlight w:val="none"/>
          <w:lang w:eastAsia="zh-CN"/>
        </w:rPr>
        <w:t>。</w:t>
      </w:r>
      <w:r>
        <w:rPr>
          <w:rFonts w:hint="eastAsia"/>
          <w:color w:val="auto"/>
          <w:highlight w:val="none"/>
          <w:lang w:val="en-US" w:eastAsia="zh-CN"/>
        </w:rPr>
        <w:t>绩效评价</w:t>
      </w:r>
      <w:r>
        <w:rPr>
          <w:rFonts w:hint="eastAsia"/>
          <w:color w:val="auto"/>
          <w:highlight w:val="none"/>
        </w:rPr>
        <w:t>旨在评价</w:t>
      </w:r>
      <w:r>
        <w:rPr>
          <w:rFonts w:hint="eastAsia"/>
          <w:color w:val="auto"/>
          <w:highlight w:val="none"/>
          <w:lang w:eastAsia="zh-CN"/>
        </w:rPr>
        <w:t>本</w:t>
      </w:r>
      <w:r>
        <w:rPr>
          <w:rFonts w:hint="eastAsia"/>
          <w:color w:val="auto"/>
          <w:highlight w:val="none"/>
        </w:rPr>
        <w:t>项目前期审批、实施过程及实施效果，促进预算管理不断完善，加快绩效目标的实现，保证财政资金有效、合理使用，具体绩效评价的目的细分如下：</w:t>
      </w:r>
    </w:p>
    <w:p>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spacing w:line="600" w:lineRule="exact"/>
        <w:ind w:firstLine="560"/>
        <w:rPr>
          <w:rFonts w:hint="eastAsia"/>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Style w:val="5"/>
        <w:ind w:firstLine="562"/>
        <w:rPr>
          <w:rFonts w:hint="eastAsia"/>
          <w:color w:val="auto"/>
          <w:highlight w:val="none"/>
        </w:rPr>
      </w:pPr>
      <w:r>
        <w:rPr>
          <w:rFonts w:hint="eastAsia"/>
          <w:color w:val="auto"/>
          <w:highlight w:val="none"/>
        </w:rPr>
        <w:t>2.绩效评价对象</w:t>
      </w:r>
    </w:p>
    <w:p>
      <w:pPr>
        <w:ind w:firstLine="560"/>
        <w:rPr>
          <w:rFonts w:ascii="Times New Roman" w:hAnsi="Times New Roman" w:cs="Times New Roman"/>
          <w:color w:val="auto"/>
          <w:highlight w:val="none"/>
        </w:rPr>
      </w:pPr>
      <w:r>
        <w:rPr>
          <w:rFonts w:hint="eastAsia" w:ascii="Times New Roman" w:hAnsi="Times New Roman" w:cs="Times New Roman"/>
          <w:color w:val="auto"/>
          <w:highlight w:val="none"/>
        </w:rPr>
        <w:t>此次我单位根据《财政支出绩效评价管理暂行办法》（财预〔2020〕10号）文件要求实施评价工作，本次评价对象为</w:t>
      </w:r>
      <w:r>
        <w:rPr>
          <w:rFonts w:hint="default" w:ascii="Times New Roman" w:hAnsi="Times New Roman" w:cs="Times New Roman"/>
          <w:color w:val="auto"/>
          <w:highlight w:val="none"/>
        </w:rPr>
        <w:t>2023年学前教育幼儿资助县级配套</w:t>
      </w:r>
      <w:r>
        <w:rPr>
          <w:rFonts w:hint="eastAsia" w:ascii="Times New Roman" w:hAnsi="Times New Roman" w:cs="Times New Roman"/>
          <w:color w:val="auto"/>
          <w:highlight w:val="none"/>
          <w:lang w:eastAsia="zh-CN"/>
        </w:rPr>
        <w:t>项目</w:t>
      </w:r>
      <w:r>
        <w:rPr>
          <w:rFonts w:hint="eastAsia" w:ascii="Times New Roman" w:hAnsi="Times New Roman" w:cs="Times New Roman"/>
          <w:color w:val="auto"/>
          <w:highlight w:val="none"/>
        </w:rPr>
        <w:t>，评价核心为项目</w:t>
      </w:r>
      <w:r>
        <w:rPr>
          <w:rFonts w:hint="eastAsia" w:ascii="Times New Roman" w:hAnsi="Times New Roman" w:cs="Times New Roman"/>
          <w:color w:val="auto"/>
          <w:highlight w:val="none"/>
          <w:lang w:val="en-US" w:eastAsia="zh-CN"/>
        </w:rPr>
        <w:t>的资金投入、产出及效益</w:t>
      </w:r>
      <w:r>
        <w:rPr>
          <w:rFonts w:hint="eastAsia" w:ascii="Times New Roman" w:hAnsi="Times New Roman" w:cs="Times New Roman"/>
          <w:color w:val="auto"/>
          <w:highlight w:val="none"/>
        </w:rPr>
        <w:t>。</w:t>
      </w:r>
    </w:p>
    <w:p>
      <w:pPr>
        <w:pStyle w:val="5"/>
        <w:ind w:firstLine="562"/>
        <w:rPr>
          <w:rFonts w:hint="eastAsia"/>
          <w:color w:val="auto"/>
          <w:highlight w:val="none"/>
        </w:rPr>
      </w:pPr>
      <w:r>
        <w:rPr>
          <w:rFonts w:hint="eastAsia"/>
          <w:color w:val="auto"/>
          <w:highlight w:val="none"/>
        </w:rPr>
        <w:t>3.绩效评价范围</w:t>
      </w:r>
    </w:p>
    <w:p>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pPr>
        <w:pStyle w:val="4"/>
        <w:numPr>
          <w:ilvl w:val="0"/>
          <w:numId w:val="1"/>
        </w:numPr>
        <w:ind w:firstLine="643"/>
        <w:rPr>
          <w:color w:val="auto"/>
          <w:highlight w:val="none"/>
        </w:rPr>
      </w:pPr>
      <w:r>
        <w:rPr>
          <w:rFonts w:hint="eastAsia"/>
          <w:color w:val="auto"/>
          <w:highlight w:val="none"/>
        </w:rPr>
        <w:t>绩效评价原则、评价指标体系、评价方法评价标准</w:t>
      </w:r>
    </w:p>
    <w:p>
      <w:pPr>
        <w:pStyle w:val="5"/>
        <w:ind w:firstLine="562"/>
        <w:rPr>
          <w:color w:val="auto"/>
          <w:highlight w:val="none"/>
        </w:rPr>
      </w:pPr>
      <w:r>
        <w:rPr>
          <w:rFonts w:hint="eastAsia"/>
          <w:color w:val="auto"/>
          <w:highlight w:val="none"/>
        </w:rPr>
        <w:t>1.绩效评价原则</w:t>
      </w:r>
    </w:p>
    <w:p>
      <w:pPr>
        <w:ind w:firstLine="560"/>
        <w:rPr>
          <w:color w:val="auto"/>
          <w:highlight w:val="none"/>
        </w:rPr>
      </w:pPr>
      <w:r>
        <w:rPr>
          <w:rFonts w:hint="eastAsia"/>
          <w:color w:val="auto"/>
          <w:highlight w:val="none"/>
        </w:rPr>
        <w:t>依据《中华人民共和国预算法》《中共 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pPr>
        <w:ind w:firstLine="560"/>
        <w:rPr>
          <w:color w:val="auto"/>
          <w:highlight w:val="none"/>
        </w:rPr>
      </w:pPr>
      <w:r>
        <w:rPr>
          <w:rFonts w:hint="eastAsia"/>
          <w:color w:val="auto"/>
          <w:highlight w:val="none"/>
        </w:rPr>
        <w:t>（1）科学公正。绩效评价应当运用科学合理的方法，按照规范的程序，对项目绩效进行客观、公正的反映。</w:t>
      </w:r>
    </w:p>
    <w:p>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pPr>
        <w:snapToGrid w:val="0"/>
        <w:ind w:firstLine="560"/>
        <w:rPr>
          <w:color w:val="auto"/>
          <w:highlight w:val="none"/>
        </w:rPr>
      </w:pPr>
      <w:r>
        <w:rPr>
          <w:rFonts w:hint="eastAsia"/>
          <w:color w:val="auto"/>
          <w:highlight w:val="none"/>
        </w:rPr>
        <w:t>（4）公开透明。绩效评价结果应依法依规公开，并自觉接受社会监督。</w:t>
      </w:r>
    </w:p>
    <w:p>
      <w:pPr>
        <w:snapToGrid w:val="0"/>
        <w:ind w:firstLine="560"/>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p>
    <w:p>
      <w:pPr>
        <w:snapToGrid w:val="0"/>
        <w:ind w:firstLine="560"/>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pPr>
        <w:snapToGrid w:val="0"/>
        <w:ind w:firstLine="560"/>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pPr>
        <w:spacing w:line="600" w:lineRule="exact"/>
        <w:ind w:firstLine="560"/>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pPr>
        <w:pStyle w:val="5"/>
        <w:ind w:firstLine="562"/>
        <w:rPr>
          <w:color w:val="auto"/>
          <w:highlight w:val="none"/>
        </w:rPr>
      </w:pPr>
      <w:bookmarkStart w:id="8" w:name="_Toc419984722"/>
      <w:bookmarkStart w:id="9" w:name="_Toc1913"/>
      <w:bookmarkStart w:id="10" w:name="_Toc428278230"/>
      <w:bookmarkStart w:id="11" w:name="_Toc26131"/>
      <w:r>
        <w:rPr>
          <w:rFonts w:hint="eastAsia"/>
          <w:color w:val="auto"/>
          <w:highlight w:val="none"/>
        </w:rPr>
        <w:t>2.绩效评价指标体系</w:t>
      </w:r>
      <w:bookmarkEnd w:id="8"/>
      <w:bookmarkEnd w:id="9"/>
      <w:bookmarkEnd w:id="10"/>
      <w:bookmarkEnd w:id="11"/>
    </w:p>
    <w:p>
      <w:pPr>
        <w:ind w:firstLine="560"/>
        <w:rPr>
          <w:rFonts w:hint="eastAsia"/>
          <w:color w:val="auto"/>
          <w:highlight w:val="none"/>
          <w:lang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w:t>
      </w:r>
      <w:r>
        <w:rPr>
          <w:rFonts w:hint="eastAsia"/>
          <w:color w:val="auto"/>
          <w:highlight w:val="none"/>
          <w:lang w:val="zh-TW" w:eastAsia="zh-CN"/>
        </w:rPr>
        <w:t>，</w:t>
      </w:r>
      <w:r>
        <w:rPr>
          <w:rFonts w:hint="eastAsia"/>
          <w:color w:val="auto"/>
          <w:highlight w:val="none"/>
        </w:rPr>
        <w:t>结合项目特点，经与专家组充分协商，设置指标体系结构如下</w:t>
      </w:r>
      <w:r>
        <w:rPr>
          <w:rFonts w:hint="eastAsia"/>
          <w:color w:val="auto"/>
          <w:highlight w:val="none"/>
          <w:lang w:val="zh-TW" w:eastAsia="zh-TW"/>
        </w:rPr>
        <w:t>：设置一级指标共</w:t>
      </w:r>
      <w:r>
        <w:rPr>
          <w:rFonts w:hint="eastAsia"/>
          <w:color w:val="auto"/>
          <w:highlight w:val="none"/>
          <w:lang w:val="en-US" w:eastAsia="zh-CN"/>
        </w:rPr>
        <w:t>5</w:t>
      </w:r>
      <w:r>
        <w:rPr>
          <w:rFonts w:hint="eastAsia"/>
          <w:color w:val="auto"/>
          <w:highlight w:val="none"/>
          <w:lang w:val="zh-TW" w:eastAsia="zh-TW"/>
        </w:rPr>
        <w:t>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en-US" w:eastAsia="zh-CN"/>
        </w:rPr>
        <w:t>成本指标（12分）、</w:t>
      </w:r>
      <w:r>
        <w:rPr>
          <w:rFonts w:hint="eastAsia"/>
          <w:color w:val="auto"/>
          <w:highlight w:val="none"/>
          <w:lang w:val="zh-TW" w:eastAsia="zh-TW"/>
        </w:rPr>
        <w:t>效益指标（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rPr>
        <w:t>主要围绕资金使用、项目管理、资源配置等方面，客观分析项目的产出</w:t>
      </w:r>
      <w:r>
        <w:rPr>
          <w:rFonts w:hint="eastAsia"/>
          <w:color w:val="auto"/>
          <w:highlight w:val="none"/>
          <w:lang w:eastAsia="zh-CN"/>
        </w:rPr>
        <w:t>、</w:t>
      </w:r>
      <w:r>
        <w:rPr>
          <w:rFonts w:hint="eastAsia"/>
          <w:color w:val="auto"/>
          <w:highlight w:val="none"/>
        </w:rPr>
        <w:t>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p>
    <w:p>
      <w:pPr>
        <w:pStyle w:val="5"/>
        <w:ind w:firstLine="562"/>
        <w:rPr>
          <w:color w:val="auto"/>
          <w:highlight w:val="none"/>
        </w:rPr>
      </w:pPr>
      <w:r>
        <w:rPr>
          <w:rFonts w:hint="eastAsia"/>
          <w:color w:val="auto"/>
          <w:highlight w:val="none"/>
        </w:rPr>
        <w:t>3.评价方法</w:t>
      </w:r>
    </w:p>
    <w:p>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ind w:firstLine="560"/>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pPr>
        <w:pStyle w:val="8"/>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pPr>
        <w:pStyle w:val="8"/>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pPr>
        <w:pStyle w:val="8"/>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pPr>
        <w:pStyle w:val="8"/>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pPr>
        <w:pStyle w:val="8"/>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pPr>
        <w:pStyle w:val="8"/>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pPr>
        <w:pStyle w:val="8"/>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pPr>
        <w:pStyle w:val="8"/>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pPr>
        <w:pStyle w:val="8"/>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Style w:val="8"/>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pPr>
        <w:pStyle w:val="8"/>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bidi w:val="0"/>
        <w:rPr>
          <w:rFonts w:hint="eastAsia"/>
          <w:color w:val="auto"/>
          <w:highlight w:val="none"/>
        </w:rPr>
      </w:pPr>
      <w:r>
        <w:rPr>
          <w:rFonts w:hint="eastAsia"/>
          <w:color w:val="auto"/>
          <w:highlight w:val="none"/>
          <w:lang w:val="en-US" w:eastAsia="zh-CN"/>
        </w:rPr>
        <w:t>定性指标：公众评判法，通过问卷及抽样调查等方式评价本项目实施后社会公众对于其实施效果的满意程度。</w:t>
      </w:r>
    </w:p>
    <w:p>
      <w:pPr>
        <w:pStyle w:val="5"/>
        <w:ind w:firstLine="562"/>
        <w:rPr>
          <w:color w:val="auto"/>
          <w:highlight w:val="none"/>
        </w:rPr>
      </w:pPr>
      <w:r>
        <w:rPr>
          <w:rFonts w:hint="eastAsia"/>
          <w:color w:val="auto"/>
          <w:highlight w:val="none"/>
        </w:rPr>
        <w:t>4.评价标准</w:t>
      </w:r>
    </w:p>
    <w:p>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4"/>
        <w:numPr>
          <w:ilvl w:val="0"/>
          <w:numId w:val="1"/>
        </w:numPr>
        <w:ind w:firstLine="643"/>
        <w:rPr>
          <w:color w:val="auto"/>
          <w:highlight w:val="none"/>
        </w:rPr>
      </w:pPr>
      <w:r>
        <w:rPr>
          <w:rFonts w:hint="eastAsia"/>
          <w:color w:val="auto"/>
          <w:highlight w:val="none"/>
        </w:rPr>
        <w:t>绩效评价工作过程</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2024年3月1日，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w:t>
      </w:r>
      <w:r>
        <w:rPr>
          <w:rFonts w:hint="eastAsia" w:ascii="Times New Roman" w:hAnsi="Times New Roman" w:cs="Times New Roman"/>
          <w:color w:val="auto"/>
          <w:highlight w:val="none"/>
          <w:lang w:val="en-US" w:eastAsia="zh-CN"/>
        </w:rPr>
        <w:t>系及评价标准。绩效评价小组成员和职责如下：</w:t>
      </w:r>
    </w:p>
    <w:p>
      <w:pPr>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（1）评价组组长：轩云亭，主要负责确定绩效评价</w:t>
      </w:r>
      <w:r>
        <w:rPr>
          <w:rFonts w:hint="eastAsia" w:ascii="Times New Roman" w:hAnsi="Times New Roman" w:cs="Times New Roman"/>
          <w:color w:val="auto"/>
          <w:highlight w:val="none"/>
          <w:lang w:val="en-US" w:eastAsia="zh-Hans"/>
        </w:rPr>
        <w:t>模</w:t>
      </w:r>
      <w:r>
        <w:rPr>
          <w:rFonts w:hint="eastAsia" w:ascii="Times New Roman" w:hAnsi="Times New Roman" w:cs="Times New Roman"/>
          <w:color w:val="auto"/>
          <w:highlight w:val="none"/>
          <w:lang w:val="en-US" w:eastAsia="zh-CN"/>
        </w:rPr>
        <w:t>板、总体协调沟通、全盘统筹、总体质量把关等工作。</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（2）评价组成员：冯卫星，主要负责绩效评价现场督导，对评价组成员的评价检查工作提供技术指导与支持，对实效评价工作质量把关。</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（3）评价组成员：艾资哈尔·吐尔逊，主要负责现场调研工作，完成收集整理资料、审核数据、填报绩效评价内容等工作。</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2</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8</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9</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16</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18</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31</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pPr>
        <w:pStyle w:val="5"/>
        <w:ind w:firstLine="562"/>
        <w:rPr>
          <w:rFonts w:hint="eastAsia"/>
          <w:color w:val="auto"/>
          <w:highlight w:val="none"/>
        </w:rPr>
      </w:pPr>
      <w:bookmarkStart w:id="12" w:name="_Toc5055"/>
      <w:r>
        <w:rPr>
          <w:rFonts w:hint="eastAsia"/>
          <w:color w:val="auto"/>
          <w:highlight w:val="none"/>
          <w:lang w:val="en-US" w:eastAsia="zh-CN"/>
        </w:rPr>
        <w:t>4.</w:t>
      </w:r>
      <w:r>
        <w:rPr>
          <w:rFonts w:hint="eastAsia"/>
          <w:color w:val="auto"/>
          <w:highlight w:val="none"/>
        </w:rPr>
        <w:t>问题整改</w:t>
      </w:r>
    </w:p>
    <w:p>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5"/>
        <w:bidi w:val="0"/>
        <w:rPr>
          <w:rFonts w:hint="eastAsia"/>
          <w:color w:val="auto"/>
          <w:highlight w:val="none"/>
          <w:lang w:val="en-US" w:eastAsia="zh-CN"/>
        </w:rPr>
      </w:pPr>
      <w:r>
        <w:rPr>
          <w:rFonts w:hint="eastAsia"/>
          <w:color w:val="auto"/>
          <w:highlight w:val="none"/>
          <w:lang w:val="en-US" w:eastAsia="zh-CN"/>
        </w:rPr>
        <w:t>5.归集档案</w:t>
      </w:r>
      <w:bookmarkEnd w:id="12"/>
    </w:p>
    <w:p>
      <w:pPr>
        <w:bidi w:val="0"/>
        <w:rPr>
          <w:color w:val="auto"/>
          <w:highlight w:val="none"/>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pPr>
        <w:pStyle w:val="3"/>
        <w:numPr>
          <w:ilvl w:val="0"/>
          <w:numId w:val="2"/>
        </w:numPr>
        <w:ind w:firstLine="640"/>
        <w:rPr>
          <w:color w:val="auto"/>
          <w:highlight w:val="none"/>
        </w:rPr>
      </w:pPr>
      <w:r>
        <w:rPr>
          <w:rFonts w:hint="eastAsia"/>
          <w:color w:val="auto"/>
          <w:highlight w:val="none"/>
        </w:rPr>
        <w:t>综合评价情况及评价结论</w:t>
      </w:r>
    </w:p>
    <w:p>
      <w:pPr>
        <w:pStyle w:val="4"/>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pPr>
        <w:pageBreakBefore w:val="0"/>
        <w:kinsoku/>
        <w:wordWrap/>
        <w:topLinePunct w:val="0"/>
        <w:autoSpaceDE/>
        <w:autoSpaceDN/>
        <w:bidi w:val="0"/>
        <w:spacing w:line="560" w:lineRule="exact"/>
        <w:ind w:right="0" w:rightChars="0" w:firstLine="643"/>
        <w:rPr>
          <w:rFonts w:hint="eastAsia" w:ascii="Times New Roman" w:hAnsi="Times New Roman" w:cs="Times New Roman"/>
          <w:color w:val="auto"/>
          <w:highlight w:val="none"/>
          <w:lang w:val="en-US" w:eastAsia="zh-CN"/>
        </w:rPr>
      </w:pPr>
      <w:bookmarkStart w:id="14" w:name="_Toc68364666"/>
      <w:r>
        <w:rPr>
          <w:rFonts w:hint="eastAsia"/>
          <w:color w:val="auto"/>
          <w:highlight w:val="none"/>
          <w:lang w:eastAsia="zh-CN"/>
        </w:rPr>
        <w:t>经评价，本项目达到了年初设立的绩效目标，</w:t>
      </w:r>
      <w:r>
        <w:rPr>
          <w:rFonts w:hint="eastAsia"/>
          <w:color w:val="auto"/>
          <w:highlight w:val="none"/>
        </w:rPr>
        <w:t>项目总体组织规范，完成了工作目标，</w:t>
      </w:r>
      <w:r>
        <w:rPr>
          <w:rFonts w:hint="eastAsia"/>
          <w:color w:val="auto"/>
          <w:highlight w:val="none"/>
          <w:lang w:eastAsia="zh-CN"/>
        </w:rPr>
        <w:t>在</w:t>
      </w:r>
      <w:r>
        <w:rPr>
          <w:rFonts w:hint="eastAsia" w:ascii="Times New Roman" w:hAnsi="Times New Roman" w:cs="Times New Roman"/>
          <w:color w:val="auto"/>
          <w:highlight w:val="none"/>
          <w:lang w:val="en-US" w:eastAsia="zh-CN"/>
        </w:rPr>
        <w:t>实施过程中取得了良好的成效，具体表现在以下几个方面：</w:t>
      </w:r>
    </w:p>
    <w:p>
      <w:pPr>
        <w:pageBreakBefore w:val="0"/>
        <w:kinsoku/>
        <w:wordWrap/>
        <w:topLinePunct w:val="0"/>
        <w:autoSpaceDE/>
        <w:autoSpaceDN/>
        <w:bidi w:val="0"/>
        <w:spacing w:line="560" w:lineRule="exact"/>
        <w:ind w:right="0" w:rightChars="0" w:firstLine="643"/>
        <w:rPr>
          <w:rFonts w:hint="eastAsia"/>
          <w:color w:val="auto"/>
          <w:highlight w:val="none"/>
        </w:rPr>
      </w:pPr>
      <w:r>
        <w:rPr>
          <w:rFonts w:hint="eastAsia" w:ascii="Times New Roman" w:hAnsi="Times New Roman" w:cs="Times New Roman"/>
          <w:color w:val="auto"/>
          <w:highlight w:val="none"/>
          <w:lang w:val="en-US" w:eastAsia="zh-CN"/>
        </w:rPr>
        <w:t>1、项目决策方面：根据项目立项符合《国务院关于当前发展学前教育的若干意见》《国家中长期教育改革和发展规划纲要》《关于实施学前教育三年行动计划的意见》等相关法律法规及文件意见，本项目立项依据充分；本项目为</w:t>
      </w:r>
      <w:r>
        <w:rPr>
          <w:rFonts w:hint="default" w:ascii="Times New Roman" w:hAnsi="Times New Roman" w:cs="Times New Roman"/>
          <w:color w:val="auto"/>
          <w:highlight w:val="none"/>
          <w:lang w:val="en-US" w:eastAsia="zh-CN"/>
        </w:rPr>
        <w:t>2023年学前教育幼儿资助</w:t>
      </w:r>
      <w:r>
        <w:rPr>
          <w:rFonts w:hint="eastAsia" w:ascii="Times New Roman" w:hAnsi="Times New Roman" w:cs="Times New Roman"/>
          <w:color w:val="auto"/>
          <w:highlight w:val="none"/>
          <w:lang w:val="en-US" w:eastAsia="zh-CN"/>
        </w:rPr>
        <w:t>的</w:t>
      </w:r>
      <w:r>
        <w:rPr>
          <w:rFonts w:hint="default" w:ascii="Times New Roman" w:hAnsi="Times New Roman" w:cs="Times New Roman"/>
          <w:color w:val="auto"/>
          <w:highlight w:val="none"/>
          <w:lang w:val="en-US" w:eastAsia="zh-CN"/>
        </w:rPr>
        <w:t>县级配套</w:t>
      </w:r>
      <w:r>
        <w:rPr>
          <w:rFonts w:hint="eastAsia" w:ascii="Times New Roman" w:hAnsi="Times New Roman" w:cs="Times New Roman"/>
          <w:color w:val="auto"/>
          <w:highlight w:val="none"/>
          <w:lang w:val="en-US" w:eastAsia="zh-CN"/>
        </w:rPr>
        <w:t>资金，为年初下达预算资金，立项程序规范；绩效目标按照2023年项目实际开展的工</w:t>
      </w:r>
      <w:r>
        <w:rPr>
          <w:rFonts w:hint="eastAsia"/>
          <w:color w:val="auto"/>
          <w:highlight w:val="none"/>
          <w:lang w:val="en-US" w:eastAsia="zh-CN"/>
        </w:rPr>
        <w:t>作任务设定，目标合理，与工作任务相匹配</w:t>
      </w:r>
      <w:r>
        <w:rPr>
          <w:rFonts w:hint="eastAsia"/>
          <w:color w:val="auto"/>
          <w:highlight w:val="none"/>
        </w:rPr>
        <w:t>。</w:t>
      </w:r>
    </w:p>
    <w:p>
      <w:pPr>
        <w:bidi w:val="0"/>
        <w:rPr>
          <w:rFonts w:hint="eastAsia"/>
          <w:color w:val="auto"/>
          <w:highlight w:val="none"/>
        </w:rPr>
      </w:pPr>
      <w:r>
        <w:rPr>
          <w:rFonts w:hint="eastAsia"/>
          <w:color w:val="auto"/>
          <w:highlight w:val="none"/>
          <w:lang w:val="en-US" w:eastAsia="zh-CN"/>
        </w:rPr>
        <w:t>2、</w:t>
      </w:r>
      <w:r>
        <w:rPr>
          <w:rFonts w:hint="eastAsia"/>
          <w:color w:val="auto"/>
          <w:highlight w:val="none"/>
        </w:rPr>
        <w:t>项目管理方面</w:t>
      </w:r>
      <w:r>
        <w:rPr>
          <w:rFonts w:hint="eastAsia"/>
          <w:color w:val="auto"/>
          <w:highlight w:val="none"/>
          <w:lang w:eastAsia="zh-CN"/>
        </w:rPr>
        <w:t>：</w:t>
      </w:r>
      <w:r>
        <w:rPr>
          <w:rFonts w:hint="eastAsia"/>
          <w:color w:val="auto"/>
          <w:highlight w:val="none"/>
          <w:lang w:val="en-US" w:eastAsia="zh-CN"/>
        </w:rPr>
        <w:t>项目在实施过程中严格按照预算支付资金，主要用于保障幼儿园的用电、维修费、助学金等，资金使用符合国家相关财经法规和学校的财务管理制度，符合项目预算批复内容，不存在截留挤占、挪用、虚列支出等情况。通过完善的内部控制管理制度，有效落实各项规章制度，确保了各项工作有序开展。</w:t>
      </w:r>
    </w:p>
    <w:p>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w:t>
      </w:r>
      <w:r>
        <w:rPr>
          <w:rFonts w:hint="eastAsia"/>
          <w:color w:val="auto"/>
          <w:highlight w:val="none"/>
          <w:lang w:eastAsia="zh-CN"/>
        </w:rPr>
        <w:t>项目产</w:t>
      </w:r>
      <w:r>
        <w:rPr>
          <w:rFonts w:hint="eastAsia" w:ascii="Times New Roman" w:hAnsi="Times New Roman" w:cs="Times New Roman"/>
          <w:color w:val="auto"/>
          <w:highlight w:val="none"/>
          <w:lang w:val="en-US" w:eastAsia="zh-CN"/>
        </w:rPr>
        <w:t>出和效益方面：2023年保障了</w:t>
      </w:r>
      <w:r>
        <w:rPr>
          <w:rFonts w:hint="eastAsia" w:cs="Times New Roman"/>
          <w:color w:val="auto"/>
          <w:highlight w:val="none"/>
          <w:lang w:val="en-US" w:eastAsia="zh-CN"/>
        </w:rPr>
        <w:t>库米什镇1</w:t>
      </w:r>
      <w:r>
        <w:rPr>
          <w:rFonts w:hint="eastAsia" w:ascii="Times New Roman" w:hAnsi="Times New Roman" w:cs="Times New Roman"/>
          <w:color w:val="auto"/>
          <w:highlight w:val="none"/>
          <w:lang w:val="en-US" w:eastAsia="zh-CN"/>
        </w:rPr>
        <w:t>所幼儿园</w:t>
      </w:r>
      <w:r>
        <w:rPr>
          <w:rFonts w:hint="eastAsia" w:cs="Times New Roman"/>
          <w:color w:val="auto"/>
          <w:highlight w:val="none"/>
          <w:lang w:val="en-US" w:eastAsia="zh-CN"/>
        </w:rPr>
        <w:t>13</w:t>
      </w:r>
      <w:r>
        <w:rPr>
          <w:rFonts w:hint="eastAsia" w:ascii="Times New Roman" w:hAnsi="Times New Roman" w:cs="Times New Roman"/>
          <w:color w:val="auto"/>
          <w:highlight w:val="none"/>
          <w:lang w:val="en-US" w:eastAsia="zh-CN"/>
        </w:rPr>
        <w:t>名幼儿享受学前三年教育，确保了学前教育教育保障机制政策按规定得到落实，积极提高了学前教育普惠保障水平和我县农村学前国语教育覆盖率，完善了学前教育体系，持续推进了学前教育事业发展。</w:t>
      </w:r>
    </w:p>
    <w:p>
      <w:pPr>
        <w:ind w:firstLine="560"/>
        <w:rPr>
          <w:rFonts w:hint="eastAsia" w:ascii="仿宋_GB2312" w:hAnsi="仿宋_GB2312" w:eastAsia="仿宋_GB2312" w:cs="仿宋_GB2312"/>
          <w:color w:val="auto"/>
          <w:sz w:val="28"/>
          <w:szCs w:val="28"/>
          <w:highlight w:val="none"/>
          <w:lang w:val="en-US" w:eastAsia="zh-CN"/>
        </w:rPr>
      </w:pPr>
      <w:r>
        <w:rPr>
          <w:rFonts w:hint="eastAsia" w:ascii="Times New Roman" w:hAnsi="Times New Roman" w:cs="Times New Roman"/>
          <w:color w:val="auto"/>
          <w:highlight w:val="none"/>
          <w:lang w:val="en-US" w:eastAsia="zh-CN"/>
        </w:rPr>
        <w:t>4、本项目各项工作虽然按规定完成，但在预算绩效管理方面仍然存在问题。一是项目成本指标设置不规范不明确，未有效反映项目预算支出计划，导致难以衡量成本指标支出控制情况；二是</w:t>
      </w:r>
      <w:r>
        <w:rPr>
          <w:rFonts w:hint="eastAsia"/>
          <w:color w:val="auto"/>
          <w:highlight w:val="none"/>
          <w:lang w:val="en-US" w:eastAsia="zh-CN"/>
        </w:rPr>
        <w:t>该项目的预算资金来源于中央专项、自治区专项以及县级配套资金，虽然资金来源不同，但用于同一用途同一受益对象，绩效目标设置时按照资金来源分别设置了绩效目标表，导致对县级配套资金支出的印证材料难以单独证明，对项目整体情况难以全面评价。</w:t>
      </w:r>
    </w:p>
    <w:p>
      <w:pPr>
        <w:pStyle w:val="4"/>
        <w:bidi w:val="0"/>
        <w:rPr>
          <w:rFonts w:hint="eastAsia"/>
          <w:color w:val="auto"/>
          <w:highlight w:val="none"/>
        </w:rPr>
      </w:pPr>
      <w:r>
        <w:rPr>
          <w:rFonts w:hint="eastAsia"/>
          <w:color w:val="auto"/>
          <w:highlight w:val="none"/>
        </w:rPr>
        <w:t>（二）综合评价结论</w:t>
      </w:r>
    </w:p>
    <w:bookmarkEnd w:id="14"/>
    <w:p>
      <w:pPr>
        <w:bidi w:val="0"/>
        <w:rPr>
          <w:rFonts w:hint="eastAsia"/>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95.79分，绩效评级为“优秀”。综合评价结论如下：本项目决策指标共设置6个，满分20分，得分率94%；项目过程指标共设置5个，满分20分，得分率98.9%；项目产出指标共设置7个，满分24分，得分率100%；项目成本指标共设置1个，满分12分，得分率100%；项目效益指标共设置3个，满分24分，得分率88.38%。</w:t>
      </w:r>
    </w:p>
    <w:p>
      <w:pPr>
        <w:pStyle w:val="3"/>
        <w:numPr>
          <w:ilvl w:val="0"/>
          <w:numId w:val="0"/>
        </w:numPr>
        <w:ind w:firstLine="640" w:firstLineChars="200"/>
        <w:rPr>
          <w:rFonts w:hint="eastAsia"/>
          <w:color w:val="auto"/>
          <w:highlight w:val="none"/>
        </w:rPr>
      </w:pPr>
      <w:r>
        <w:rPr>
          <w:rFonts w:hint="eastAsia"/>
          <w:color w:val="auto"/>
          <w:highlight w:val="none"/>
          <w:lang w:val="en-US" w:eastAsia="zh-CN"/>
        </w:rPr>
        <w:t>四、</w:t>
      </w:r>
      <w:r>
        <w:rPr>
          <w:rFonts w:hint="eastAsia"/>
          <w:color w:val="auto"/>
          <w:highlight w:val="none"/>
        </w:rPr>
        <w:t>绩效评价指标分析</w:t>
      </w:r>
    </w:p>
    <w:p>
      <w:pPr>
        <w:pStyle w:val="4"/>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18.8</w:t>
      </w:r>
      <w:r>
        <w:rPr>
          <w:rFonts w:hint="eastAsia" w:ascii="仿宋_GB2312" w:hAnsi="仿宋_GB2312" w:cs="仿宋_GB2312"/>
          <w:color w:val="auto"/>
          <w:sz w:val="28"/>
          <w:szCs w:val="28"/>
          <w:highlight w:val="none"/>
        </w:rPr>
        <w:t>分，得分率为</w:t>
      </w:r>
      <w:r>
        <w:rPr>
          <w:rFonts w:hint="eastAsia" w:ascii="仿宋_GB2312" w:hAnsi="仿宋_GB2312" w:cs="仿宋_GB2312"/>
          <w:color w:val="auto"/>
          <w:sz w:val="28"/>
          <w:szCs w:val="28"/>
          <w:highlight w:val="none"/>
          <w:lang w:val="en-US" w:eastAsia="zh-CN"/>
        </w:rPr>
        <w:t>94</w:t>
      </w:r>
      <w:r>
        <w:rPr>
          <w:rFonts w:hint="eastAsia" w:ascii="仿宋_GB2312" w:hAnsi="仿宋_GB2312" w:cs="仿宋_GB2312"/>
          <w:color w:val="auto"/>
          <w:sz w:val="28"/>
          <w:szCs w:val="28"/>
          <w:highlight w:val="none"/>
        </w:rPr>
        <w:t>%。</w:t>
      </w:r>
    </w:p>
    <w:p>
      <w:pPr>
        <w:pStyle w:val="5"/>
        <w:bidi w:val="0"/>
        <w:rPr>
          <w:rFonts w:hint="eastAsia"/>
          <w:color w:val="auto"/>
          <w:highlight w:val="none"/>
          <w:lang w:val="en-US" w:eastAsia="zh-CN"/>
        </w:rPr>
      </w:pPr>
      <w:r>
        <w:rPr>
          <w:rFonts w:hint="eastAsia"/>
          <w:color w:val="auto"/>
          <w:highlight w:val="none"/>
          <w:lang w:val="en-US" w:eastAsia="zh-CN"/>
        </w:rPr>
        <w:t>1.项目立项情况分析</w:t>
      </w:r>
    </w:p>
    <w:p>
      <w:pPr>
        <w:bidi w:val="0"/>
        <w:rPr>
          <w:rFonts w:hint="eastAsia"/>
          <w:b/>
          <w:bCs/>
          <w:color w:val="auto"/>
          <w:highlight w:val="none"/>
        </w:rPr>
      </w:pPr>
      <w:r>
        <w:rPr>
          <w:rFonts w:hint="eastAsia"/>
          <w:b/>
          <w:bCs/>
          <w:color w:val="auto"/>
          <w:highlight w:val="none"/>
        </w:rPr>
        <w:t>（1）立项依据充分性：</w:t>
      </w:r>
    </w:p>
    <w:p>
      <w:pPr>
        <w:bidi w:val="0"/>
        <w:rPr>
          <w:rFonts w:hint="eastAsia"/>
          <w:color w:val="auto"/>
          <w:highlight w:val="none"/>
        </w:rPr>
      </w:pPr>
      <w:r>
        <w:rPr>
          <w:rFonts w:hint="eastAsia"/>
          <w:color w:val="auto"/>
          <w:highlight w:val="none"/>
        </w:rPr>
        <w:t>项目立项符合</w:t>
      </w:r>
      <w:r>
        <w:rPr>
          <w:rFonts w:hint="eastAsia" w:ascii="Times New Roman" w:hAnsi="Times New Roman" w:cs="Times New Roman"/>
          <w:color w:val="auto"/>
          <w:highlight w:val="none"/>
          <w:lang w:val="en-US" w:eastAsia="zh-CN"/>
        </w:rPr>
        <w:t>《国务院关于当前发展学前教育的若干意见》《国家中长期教育改革和发展规划纲要》《关于实施学前教育三年行动计划的意见》</w:t>
      </w:r>
      <w:r>
        <w:rPr>
          <w:rFonts w:hint="eastAsia"/>
          <w:color w:val="auto"/>
          <w:highlight w:val="none"/>
        </w:rPr>
        <w:t>等国家法律法规</w:t>
      </w:r>
      <w:r>
        <w:rPr>
          <w:rFonts w:hint="eastAsia"/>
          <w:color w:val="auto"/>
          <w:highlight w:val="none"/>
          <w:lang w:eastAsia="zh-CN"/>
        </w:rPr>
        <w:t>以及</w:t>
      </w:r>
      <w:r>
        <w:rPr>
          <w:rFonts w:hint="eastAsia"/>
          <w:color w:val="auto"/>
          <w:highlight w:val="none"/>
        </w:rPr>
        <w:t>相关政策</w:t>
      </w:r>
      <w:r>
        <w:rPr>
          <w:rFonts w:hint="eastAsia"/>
          <w:color w:val="auto"/>
          <w:highlight w:val="none"/>
          <w:lang w:eastAsia="zh-CN"/>
        </w:rPr>
        <w:t>；</w:t>
      </w:r>
      <w:r>
        <w:rPr>
          <w:rFonts w:hint="eastAsia"/>
          <w:color w:val="auto"/>
          <w:highlight w:val="none"/>
        </w:rPr>
        <w:t>项目立项与</w:t>
      </w:r>
      <w:r>
        <w:rPr>
          <w:rFonts w:hint="eastAsia" w:ascii="Times New Roman" w:hAnsi="Times New Roman" w:cs="Times New Roman"/>
          <w:color w:val="auto"/>
          <w:highlight w:val="none"/>
          <w:lang w:val="en-US" w:eastAsia="zh-CN"/>
        </w:rPr>
        <w:t>我单位开展</w:t>
      </w:r>
      <w:r>
        <w:rPr>
          <w:rFonts w:hint="eastAsia" w:ascii="仿宋_GB2312" w:hAnsi="Times New Roman" w:eastAsia="仿宋_GB2312" w:cs="Times New Roman"/>
          <w:b w:val="0"/>
          <w:bCs/>
          <w:color w:val="auto"/>
          <w:kern w:val="2"/>
          <w:sz w:val="30"/>
          <w:szCs w:val="30"/>
          <w:highlight w:val="none"/>
          <w:lang w:val="en-US" w:eastAsia="zh-CN" w:bidi="ar-SA"/>
        </w:rPr>
        <w:t>教育</w:t>
      </w:r>
      <w:r>
        <w:rPr>
          <w:rFonts w:hint="eastAsia" w:ascii="仿宋_GB2312" w:cs="Times New Roman"/>
          <w:b w:val="0"/>
          <w:bCs/>
          <w:color w:val="auto"/>
          <w:kern w:val="2"/>
          <w:sz w:val="30"/>
          <w:szCs w:val="30"/>
          <w:highlight w:val="none"/>
          <w:lang w:val="en-US" w:eastAsia="zh-CN" w:bidi="ar-SA"/>
        </w:rPr>
        <w:t>教学</w:t>
      </w:r>
      <w:r>
        <w:rPr>
          <w:rFonts w:hint="eastAsia" w:ascii="Times New Roman" w:hAnsi="Times New Roman" w:cs="Times New Roman"/>
          <w:color w:val="auto"/>
          <w:highlight w:val="none"/>
          <w:lang w:eastAsia="zh-CN"/>
        </w:rPr>
        <w:t>管理这一部门职责范围相符</w:t>
      </w:r>
      <w:r>
        <w:rPr>
          <w:rFonts w:hint="eastAsia"/>
          <w:color w:val="auto"/>
          <w:highlight w:val="none"/>
        </w:rPr>
        <w:t>，属于部门履职所需；根据《财政资金直接支付申请书》，功能分类</w:t>
      </w:r>
      <w:r>
        <w:rPr>
          <w:rFonts w:hint="eastAsia"/>
          <w:color w:val="auto"/>
          <w:highlight w:val="none"/>
          <w:lang w:val="en-US" w:eastAsia="zh-CN"/>
        </w:rPr>
        <w:t>分别为2050201</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商品和服务支出</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预算法》属于公共财政支持范围，符合中央、地方事权支出责任划分原则；经检查财政项目指标大平台，本项目不存在重复。</w:t>
      </w:r>
    </w:p>
    <w:p>
      <w:pPr>
        <w:bidi w:val="0"/>
        <w:rPr>
          <w:rFonts w:hint="eastAsia"/>
          <w:color w:val="auto"/>
          <w:highlight w:val="none"/>
        </w:rPr>
      </w:pPr>
      <w:r>
        <w:rPr>
          <w:rFonts w:hint="eastAsia"/>
          <w:color w:val="auto"/>
          <w:highlight w:val="none"/>
        </w:rPr>
        <w:t>综上</w:t>
      </w:r>
      <w:r>
        <w:rPr>
          <w:rFonts w:hint="eastAsia"/>
          <w:color w:val="auto"/>
          <w:highlight w:val="none"/>
          <w:lang w:eastAsia="zh-CN"/>
        </w:rPr>
        <w:t>所述</w:t>
      </w:r>
      <w:r>
        <w:rPr>
          <w:rFonts w:hint="eastAsia"/>
          <w:color w:val="auto"/>
          <w:highlight w:val="none"/>
        </w:rPr>
        <w:t>，该指标满分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pPr>
        <w:bidi w:val="0"/>
        <w:rPr>
          <w:rFonts w:hint="eastAsia"/>
          <w:color w:val="auto"/>
          <w:highlight w:val="none"/>
          <w:lang w:eastAsia="zh-CN"/>
        </w:rPr>
      </w:pPr>
      <w:r>
        <w:rPr>
          <w:rFonts w:hint="eastAsia"/>
          <w:color w:val="auto"/>
          <w:highlight w:val="none"/>
          <w:lang w:val="en-US" w:eastAsia="zh-CN"/>
        </w:rPr>
        <w:t>该</w:t>
      </w:r>
      <w:r>
        <w:rPr>
          <w:rFonts w:hint="eastAsia"/>
          <w:color w:val="auto"/>
          <w:highlight w:val="none"/>
        </w:rPr>
        <w:t>项目按照规定的《中华人民共和国预算法》</w:t>
      </w:r>
      <w:r>
        <w:rPr>
          <w:rFonts w:hint="eastAsia"/>
          <w:color w:val="auto"/>
          <w:highlight w:val="none"/>
          <w:lang w:eastAsia="zh-CN"/>
        </w:rPr>
        <w:t>《中华人民共和国预算法实施条例》等</w:t>
      </w:r>
      <w:r>
        <w:rPr>
          <w:rFonts w:hint="eastAsia"/>
          <w:color w:val="auto"/>
          <w:highlight w:val="none"/>
        </w:rPr>
        <w:t>程序申请设立</w:t>
      </w:r>
      <w:r>
        <w:rPr>
          <w:rFonts w:hint="eastAsia"/>
          <w:color w:val="auto"/>
          <w:highlight w:val="none"/>
          <w:lang w:eastAsia="zh-CN"/>
        </w:rPr>
        <w:t>；</w:t>
      </w:r>
      <w:r>
        <w:rPr>
          <w:rFonts w:hint="eastAsia"/>
          <w:color w:val="auto"/>
          <w:highlight w:val="none"/>
        </w:rPr>
        <w:t>事前已经过必要的集体决策</w:t>
      </w:r>
      <w:r>
        <w:rPr>
          <w:rFonts w:hint="eastAsia"/>
          <w:color w:val="auto"/>
          <w:highlight w:val="none"/>
          <w:lang w:eastAsia="zh-CN"/>
        </w:rPr>
        <w:t>；</w:t>
      </w:r>
      <w:r>
        <w:rPr>
          <w:rFonts w:hint="eastAsia"/>
          <w:color w:val="auto"/>
          <w:highlight w:val="none"/>
          <w:lang w:val="en-US" w:eastAsia="zh-CN"/>
        </w:rPr>
        <w:t>单位按照程序向托克逊县人民政府财政局提交了资金申请报告、批复等相关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p>
    <w:p>
      <w:pPr>
        <w:bidi w:val="0"/>
        <w:rPr>
          <w:color w:val="auto"/>
          <w:highlight w:val="none"/>
        </w:rPr>
      </w:pPr>
      <w:r>
        <w:rPr>
          <w:rFonts w:hint="eastAsia"/>
          <w:color w:val="auto"/>
          <w:highlight w:val="none"/>
        </w:rPr>
        <w:t>综上</w:t>
      </w:r>
      <w:r>
        <w:rPr>
          <w:rFonts w:hint="eastAsia"/>
          <w:color w:val="auto"/>
          <w:highlight w:val="none"/>
          <w:lang w:eastAsia="zh-CN"/>
        </w:rPr>
        <w:t>所述</w:t>
      </w:r>
      <w:r>
        <w:rPr>
          <w:rFonts w:hint="eastAsia"/>
          <w:color w:val="auto"/>
          <w:highlight w:val="none"/>
        </w:rPr>
        <w:t>，该指标满分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pPr>
        <w:pStyle w:val="5"/>
        <w:bidi w:val="0"/>
        <w:rPr>
          <w:rFonts w:hint="eastAsia"/>
          <w:color w:val="auto"/>
          <w:highlight w:val="none"/>
          <w:lang w:val="en-US" w:eastAsia="zh-CN"/>
        </w:rPr>
      </w:pPr>
      <w:r>
        <w:rPr>
          <w:rFonts w:hint="eastAsia"/>
          <w:color w:val="auto"/>
          <w:highlight w:val="none"/>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pPr>
        <w:bidi w:val="0"/>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color w:val="auto"/>
          <w:highlight w:val="none"/>
          <w:lang w:val="en-US" w:eastAsia="zh-CN"/>
        </w:rPr>
        <w:t>保障我片区13名农村在园幼儿免费接受学前三年教育,提高我县农村学前国语教育覆盖率，完善学前教育体系，持续推进学前教育事业发展。</w:t>
      </w:r>
    </w:p>
    <w:p>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了大部分产出指标和效益指标</w:t>
      </w:r>
      <w:r>
        <w:rPr>
          <w:rFonts w:hint="eastAsia"/>
          <w:color w:val="auto"/>
          <w:highlight w:val="none"/>
        </w:rPr>
        <w:t>，预期产出效益和效果符合正常的业绩水平。</w:t>
      </w:r>
    </w:p>
    <w:p>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1.60</w:t>
      </w:r>
      <w:r>
        <w:rPr>
          <w:color w:val="auto"/>
          <w:highlight w:val="none"/>
        </w:rPr>
        <w:t>万元，《财政项目支出绩效目标表</w:t>
      </w:r>
      <w:r>
        <w:rPr>
          <w:rFonts w:hint="eastAsia"/>
          <w:color w:val="auto"/>
          <w:highlight w:val="none"/>
        </w:rPr>
        <w:t>》</w:t>
      </w:r>
      <w:r>
        <w:rPr>
          <w:color w:val="auto"/>
          <w:highlight w:val="none"/>
        </w:rPr>
        <w:t>中预算金额为</w:t>
      </w:r>
      <w:r>
        <w:rPr>
          <w:rFonts w:hint="eastAsia"/>
          <w:color w:val="auto"/>
          <w:highlight w:val="none"/>
          <w:lang w:val="en-US" w:eastAsia="zh-CN"/>
        </w:rPr>
        <w:t>1.60</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pPr>
        <w:bidi w:val="0"/>
        <w:rPr>
          <w:rFonts w:hint="eastAsia"/>
          <w:color w:val="auto"/>
          <w:highlight w:val="none"/>
          <w:lang w:eastAsia="zh-CN"/>
        </w:rPr>
      </w:pPr>
      <w:r>
        <w:rPr>
          <w:rFonts w:hint="eastAsia"/>
          <w:color w:val="auto"/>
          <w:highlight w:val="none"/>
          <w:lang w:eastAsia="zh-CN"/>
        </w:rPr>
        <w:t>经检查，我单位年初设置的《项目支出绩效目标表》：</w:t>
      </w:r>
    </w:p>
    <w:p>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w:t>
      </w:r>
      <w:r>
        <w:rPr>
          <w:rFonts w:hint="eastAsia"/>
          <w:color w:val="auto"/>
          <w:highlight w:val="none"/>
          <w:lang w:val="en-US" w:eastAsia="zh-CN"/>
        </w:rPr>
        <w:t>6个二级指标和11个三级指标</w:t>
      </w:r>
      <w:r>
        <w:rPr>
          <w:rFonts w:hint="eastAsia"/>
          <w:color w:val="auto"/>
          <w:highlight w:val="none"/>
          <w:lang w:eastAsia="zh-CN"/>
        </w:rPr>
        <w:t>，</w:t>
      </w:r>
      <w:r>
        <w:rPr>
          <w:rFonts w:hint="eastAsia"/>
          <w:color w:val="auto"/>
          <w:highlight w:val="none"/>
          <w:lang w:val="en-US" w:eastAsia="zh-CN"/>
        </w:rPr>
        <w:t>指标</w:t>
      </w:r>
      <w:r>
        <w:rPr>
          <w:rFonts w:hint="eastAsia"/>
          <w:color w:val="auto"/>
          <w:highlight w:val="none"/>
          <w:lang w:eastAsia="zh-CN"/>
        </w:rPr>
        <w:t>量化率达到</w:t>
      </w:r>
      <w:r>
        <w:rPr>
          <w:rFonts w:hint="eastAsia"/>
          <w:color w:val="auto"/>
          <w:highlight w:val="none"/>
          <w:lang w:val="en-US" w:eastAsia="zh-CN"/>
        </w:rPr>
        <w:t>90.91%</w:t>
      </w:r>
      <w:r>
        <w:rPr>
          <w:rFonts w:hint="eastAsia"/>
          <w:color w:val="auto"/>
          <w:highlight w:val="none"/>
          <w:lang w:eastAsia="zh-CN"/>
        </w:rPr>
        <w:t>；</w:t>
      </w:r>
    </w:p>
    <w:p>
      <w:pPr>
        <w:bidi w:val="0"/>
        <w:rPr>
          <w:rFonts w:hint="eastAsia" w:cs="Times New Roman"/>
          <w:color w:val="auto"/>
          <w:highlight w:val="none"/>
          <w:lang w:val="en-US"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《项目支出绩效目标表》，发现</w:t>
      </w:r>
      <w:r>
        <w:rPr>
          <w:rFonts w:hint="eastAsia"/>
          <w:color w:val="auto"/>
          <w:highlight w:val="none"/>
          <w:lang w:val="en-US" w:eastAsia="zh-CN"/>
        </w:rPr>
        <w:t>项目绩效指标设置不规范，成本指标设置不明确，未有效反</w:t>
      </w:r>
      <w:r>
        <w:rPr>
          <w:rFonts w:hint="eastAsia" w:ascii="Times New Roman" w:hAnsi="Times New Roman" w:cs="Times New Roman"/>
          <w:color w:val="auto"/>
          <w:highlight w:val="none"/>
          <w:lang w:val="en-US" w:eastAsia="zh-CN"/>
        </w:rPr>
        <w:t>映项目资金支出计划，导致指标业绩值不可衡量，根据评分要点，扣1.2分；改进措施：加强预算绩效管理工作的学习和考核，提高相关人员的预算管理能力，将项目绩效目标按照预算编制情况和资金支出计划合理设置成本指标和指标值</w:t>
      </w:r>
      <w:r>
        <w:rPr>
          <w:rFonts w:hint="eastAsia" w:cs="Times New Roman"/>
          <w:color w:val="auto"/>
          <w:highlight w:val="none"/>
          <w:lang w:val="en-US" w:eastAsia="zh-CN"/>
        </w:rPr>
        <w:t>；</w:t>
      </w:r>
    </w:p>
    <w:p>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1.8</w:t>
      </w:r>
      <w:r>
        <w:rPr>
          <w:rFonts w:hint="eastAsia" w:ascii="仿宋_GB2312" w:cs="仿宋_GB2312"/>
          <w:color w:val="auto"/>
          <w:szCs w:val="28"/>
          <w:highlight w:val="none"/>
          <w:lang w:eastAsia="zh-CN"/>
        </w:rPr>
        <w:t>分，本项目所设置绩效指标不够明确。</w:t>
      </w:r>
    </w:p>
    <w:p>
      <w:pPr>
        <w:pStyle w:val="5"/>
        <w:bidi w:val="0"/>
        <w:rPr>
          <w:color w:val="auto"/>
          <w:highlight w:val="none"/>
        </w:rPr>
      </w:pPr>
      <w:r>
        <w:rPr>
          <w:rFonts w:hint="eastAsia"/>
          <w:color w:val="auto"/>
          <w:highlight w:val="none"/>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w:t>
      </w:r>
      <w:r>
        <w:rPr>
          <w:rFonts w:hint="eastAsia" w:ascii="仿宋_GB2312" w:cs="仿宋_GB2312"/>
          <w:color w:val="auto"/>
          <w:sz w:val="28"/>
          <w:szCs w:val="28"/>
          <w:highlight w:val="none"/>
          <w:lang w:eastAsia="zh-CN"/>
        </w:rPr>
        <w:t>经过</w:t>
      </w:r>
      <w:r>
        <w:rPr>
          <w:rFonts w:hint="eastAsia" w:ascii="仿宋_GB2312" w:cs="仿宋_GB2312"/>
          <w:color w:val="auto"/>
          <w:sz w:val="28"/>
          <w:szCs w:val="28"/>
          <w:highlight w:val="none"/>
        </w:rPr>
        <w:t>科学论证</w:t>
      </w:r>
      <w:r>
        <w:rPr>
          <w:rFonts w:hint="eastAsia" w:ascii="仿宋_GB2312" w:cs="仿宋_GB2312"/>
          <w:color w:val="auto"/>
          <w:sz w:val="28"/>
          <w:szCs w:val="28"/>
          <w:highlight w:val="none"/>
          <w:lang w:eastAsia="zh-CN"/>
        </w:rPr>
        <w:t>，且预算内容与项目内容相匹配；</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1.60</w:t>
      </w:r>
      <w:r>
        <w:rPr>
          <w:rFonts w:hint="eastAsia" w:ascii="仿宋_GB2312" w:cs="仿宋_GB2312"/>
          <w:color w:val="auto"/>
          <w:sz w:val="28"/>
          <w:szCs w:val="28"/>
          <w:highlight w:val="none"/>
        </w:rPr>
        <w:t>万元，主要用于</w:t>
      </w:r>
      <w:r>
        <w:rPr>
          <w:rFonts w:hint="eastAsia" w:ascii="仿宋_GB2312" w:cs="仿宋_GB2312"/>
          <w:color w:val="auto"/>
          <w:sz w:val="28"/>
          <w:szCs w:val="28"/>
          <w:highlight w:val="none"/>
          <w:lang w:eastAsia="zh-CN"/>
        </w:rPr>
        <w:t>为在园幼儿提供学前教育而正常发生的</w:t>
      </w:r>
      <w:r>
        <w:rPr>
          <w:rFonts w:hint="eastAsia"/>
          <w:color w:val="auto"/>
          <w:highlight w:val="none"/>
          <w:lang w:val="en-US" w:eastAsia="zh-CN"/>
        </w:rPr>
        <w:t>电费、维修费、助学金等</w:t>
      </w:r>
      <w:r>
        <w:rPr>
          <w:rFonts w:hint="eastAsia" w:ascii="仿宋_GB2312" w:cs="仿宋_GB2312"/>
          <w:color w:val="auto"/>
          <w:sz w:val="28"/>
          <w:szCs w:val="28"/>
          <w:highlight w:val="none"/>
        </w:rPr>
        <w:t>，</w:t>
      </w:r>
      <w:r>
        <w:rPr>
          <w:rFonts w:hint="eastAsia"/>
          <w:color w:val="auto"/>
          <w:highlight w:val="none"/>
          <w:lang w:eastAsia="zh-CN"/>
        </w:rPr>
        <w:t>预算内容与项目内容匹配；</w:t>
      </w:r>
    </w:p>
    <w:p>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测算依据充分；</w:t>
      </w:r>
    </w:p>
    <w:p>
      <w:pPr>
        <w:ind w:firstLine="560"/>
        <w:rPr>
          <w:b w:val="0"/>
          <w:bCs w:val="0"/>
          <w:color w:val="auto"/>
          <w:highlight w:val="yellow"/>
        </w:rPr>
      </w:pPr>
      <w:r>
        <w:rPr>
          <w:rFonts w:hint="eastAsia"/>
          <w:color w:val="auto"/>
          <w:highlight w:val="none"/>
        </w:rPr>
        <w:t>④</w:t>
      </w:r>
      <w:r>
        <w:rPr>
          <w:rFonts w:hint="eastAsia"/>
          <w:color w:val="auto"/>
          <w:highlight w:val="none"/>
          <w:lang w:eastAsia="zh-CN"/>
        </w:rPr>
        <w:t>本</w:t>
      </w:r>
      <w:r>
        <w:rPr>
          <w:rFonts w:hint="eastAsia"/>
          <w:color w:val="auto"/>
          <w:highlight w:val="none"/>
          <w:lang w:val="en-US" w:eastAsia="zh-CN"/>
        </w:rPr>
        <w:t>项目资金主要用于</w:t>
      </w:r>
      <w:r>
        <w:rPr>
          <w:rFonts w:hint="eastAsia"/>
          <w:color w:val="auto"/>
          <w:highlight w:val="none"/>
        </w:rPr>
        <w:t>支付资金</w:t>
      </w:r>
      <w:r>
        <w:rPr>
          <w:rFonts w:hint="eastAsia"/>
          <w:color w:val="auto"/>
          <w:highlight w:val="none"/>
          <w:lang w:val="en-US" w:eastAsia="zh-CN"/>
        </w:rPr>
        <w:t>1.51</w:t>
      </w:r>
      <w:r>
        <w:rPr>
          <w:rFonts w:hint="eastAsia"/>
          <w:color w:val="auto"/>
          <w:highlight w:val="none"/>
        </w:rPr>
        <w:t>万元，预算执行率</w:t>
      </w:r>
      <w:r>
        <w:rPr>
          <w:rFonts w:hint="eastAsia"/>
          <w:color w:val="auto"/>
          <w:highlight w:val="none"/>
          <w:lang w:val="en-US" w:eastAsia="zh-CN"/>
        </w:rPr>
        <w:t>94.38</w:t>
      </w:r>
      <w:r>
        <w:rPr>
          <w:color w:val="auto"/>
          <w:highlight w:val="none"/>
        </w:rPr>
        <w:t>%</w:t>
      </w:r>
      <w:r>
        <w:rPr>
          <w:rFonts w:hint="eastAsia"/>
          <w:color w:val="auto"/>
          <w:highlight w:val="none"/>
          <w:lang w:eastAsia="zh-CN"/>
        </w:rPr>
        <w:t>，结余资金指标额度已由县财政收回。</w:t>
      </w:r>
      <w:r>
        <w:rPr>
          <w:rFonts w:hint="eastAsia"/>
          <w:color w:val="auto"/>
          <w:highlight w:val="none"/>
        </w:rPr>
        <w:t>项目资金主要用于</w:t>
      </w:r>
      <w:r>
        <w:rPr>
          <w:rFonts w:hint="eastAsia"/>
          <w:color w:val="auto"/>
          <w:highlight w:val="none"/>
          <w:lang w:val="en-US" w:eastAsia="zh-CN"/>
        </w:rPr>
        <w:t>支付电费0.83万元、维修费0.02万元、助学金0.66万元。</w:t>
      </w:r>
    </w:p>
    <w:p>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分，本项目预算编制科学。</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pPr>
        <w:pageBreakBefore w:val="0"/>
        <w:kinsoku/>
        <w:wordWrap/>
        <w:topLinePunct w:val="0"/>
        <w:autoSpaceDE/>
        <w:autoSpaceDN/>
        <w:bidi w:val="0"/>
        <w:spacing w:line="560" w:lineRule="exact"/>
        <w:ind w:right="0" w:rightChars="0" w:firstLine="643"/>
        <w:rPr>
          <w:rFonts w:hint="eastAsia" w:cs="仿宋_GB2312"/>
          <w:color w:val="auto"/>
          <w:sz w:val="28"/>
          <w:szCs w:val="28"/>
          <w:highlight w:val="none"/>
          <w:lang w:eastAsia="zh-CN"/>
        </w:rPr>
      </w:pPr>
      <w:r>
        <w:rPr>
          <w:rFonts w:hint="eastAsia" w:ascii="仿宋_GB2312" w:cs="仿宋_GB2312"/>
          <w:color w:val="auto"/>
          <w:sz w:val="28"/>
          <w:szCs w:val="28"/>
          <w:highlight w:val="none"/>
        </w:rPr>
        <w:t>①本项目实际分配资金以</w:t>
      </w:r>
      <w:r>
        <w:rPr>
          <w:rFonts w:hint="eastAsia" w:ascii="仿宋_GB2312" w:cs="仿宋_GB2312"/>
          <w:color w:val="auto"/>
          <w:sz w:val="28"/>
          <w:szCs w:val="28"/>
          <w:highlight w:val="none"/>
          <w:lang w:val="en-US" w:eastAsia="zh-CN"/>
        </w:rPr>
        <w:t>2023年学前教育幼儿资助县级配套资金（托财预[2023]1号）</w:t>
      </w:r>
      <w:r>
        <w:rPr>
          <w:rFonts w:hint="eastAsia" w:ascii="仿宋_GB2312" w:cs="仿宋_GB2312"/>
          <w:color w:val="auto"/>
          <w:sz w:val="28"/>
          <w:szCs w:val="28"/>
          <w:highlight w:val="none"/>
        </w:rPr>
        <w:t>为依据进行资金分配，预算资金分配依据充分</w:t>
      </w:r>
      <w:r>
        <w:rPr>
          <w:rFonts w:hint="eastAsia"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②本项目实际到位资金</w:t>
      </w:r>
      <w:r>
        <w:rPr>
          <w:rFonts w:hint="eastAsia"/>
          <w:color w:val="auto"/>
          <w:highlight w:val="none"/>
          <w:lang w:val="en-US" w:eastAsia="zh-CN"/>
        </w:rPr>
        <w:t>1.51</w:t>
      </w:r>
      <w:r>
        <w:rPr>
          <w:rFonts w:hint="eastAsia" w:ascii="仿宋_GB2312" w:cs="仿宋_GB2312"/>
          <w:color w:val="auto"/>
          <w:sz w:val="28"/>
          <w:szCs w:val="28"/>
          <w:highlight w:val="none"/>
        </w:rPr>
        <w:t>万元，实际分配资金与我单位提交申请的资金额度一致，资金分配额度合理，与我单位实际需求相适应</w:t>
      </w:r>
      <w:r>
        <w:rPr>
          <w:rFonts w:hint="eastAsia"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pPr>
        <w:bidi w:val="0"/>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19.78</w:t>
      </w:r>
      <w:r>
        <w:rPr>
          <w:rFonts w:hint="eastAsia" w:ascii="仿宋_GB2312" w:cs="仿宋_GB2312"/>
          <w:color w:val="auto"/>
          <w:sz w:val="28"/>
          <w:szCs w:val="28"/>
          <w:highlight w:val="none"/>
        </w:rPr>
        <w:t>分</w:t>
      </w:r>
      <w:r>
        <w:rPr>
          <w:rFonts w:hint="eastAsia" w:ascii="仿宋_GB2312" w:cs="仿宋_GB2312"/>
          <w:color w:val="auto"/>
          <w:sz w:val="28"/>
          <w:szCs w:val="28"/>
          <w:highlight w:val="none"/>
          <w:lang w:eastAsia="zh-CN"/>
        </w:rPr>
        <w:t>。</w:t>
      </w:r>
    </w:p>
    <w:p>
      <w:pPr>
        <w:pStyle w:val="5"/>
        <w:bidi w:val="0"/>
        <w:rPr>
          <w:rFonts w:hint="eastAsia"/>
          <w:color w:val="auto"/>
          <w:highlight w:val="none"/>
          <w:lang w:val="en-US" w:eastAsia="zh-CN"/>
        </w:rPr>
      </w:pPr>
      <w:r>
        <w:rPr>
          <w:rFonts w:hint="eastAsia"/>
          <w:color w:val="auto"/>
          <w:highlight w:val="none"/>
          <w:lang w:val="en-US" w:eastAsia="zh-CN"/>
        </w:rPr>
        <w:t>1.资金管理情况分析</w:t>
      </w:r>
    </w:p>
    <w:p>
      <w:pPr>
        <w:bidi w:val="0"/>
        <w:rPr>
          <w:rFonts w:hint="eastAsia"/>
          <w:b/>
          <w:bCs/>
          <w:color w:val="auto"/>
          <w:highlight w:val="none"/>
        </w:rPr>
      </w:pPr>
      <w:r>
        <w:rPr>
          <w:rFonts w:hint="eastAsia"/>
          <w:b/>
          <w:bCs/>
          <w:color w:val="auto"/>
          <w:highlight w:val="none"/>
        </w:rPr>
        <w:t>（1）资金到位率：</w:t>
      </w:r>
    </w:p>
    <w:p>
      <w:pPr>
        <w:bidi w:val="0"/>
        <w:rPr>
          <w:rFonts w:hint="eastAsia"/>
          <w:color w:val="auto"/>
          <w:highlight w:val="none"/>
        </w:rPr>
      </w:pPr>
      <w:r>
        <w:rPr>
          <w:rFonts w:hint="eastAsia"/>
          <w:color w:val="auto"/>
          <w:highlight w:val="none"/>
        </w:rPr>
        <w:t>本项目</w:t>
      </w:r>
      <w:r>
        <w:rPr>
          <w:rFonts w:hint="eastAsia"/>
          <w:color w:val="auto"/>
          <w:highlight w:val="none"/>
          <w:lang w:val="en-US" w:eastAsia="zh-CN"/>
        </w:rPr>
        <w:t>全年</w:t>
      </w:r>
      <w:r>
        <w:rPr>
          <w:rFonts w:hint="eastAsia"/>
          <w:color w:val="auto"/>
          <w:highlight w:val="none"/>
        </w:rPr>
        <w:t>预算资金为</w:t>
      </w:r>
      <w:r>
        <w:rPr>
          <w:rFonts w:hint="eastAsia"/>
          <w:color w:val="auto"/>
          <w:highlight w:val="none"/>
          <w:lang w:val="en-US" w:eastAsia="zh-CN"/>
        </w:rPr>
        <w:t>1.60</w:t>
      </w:r>
      <w:r>
        <w:rPr>
          <w:rFonts w:hint="eastAsia"/>
          <w:color w:val="auto"/>
          <w:highlight w:val="none"/>
        </w:rPr>
        <w:t>万元，其中：本级财政安排资金</w:t>
      </w:r>
      <w:r>
        <w:rPr>
          <w:rFonts w:hint="eastAsia"/>
          <w:color w:val="auto"/>
          <w:highlight w:val="none"/>
          <w:lang w:val="en-US" w:eastAsia="zh-CN"/>
        </w:rPr>
        <w:t>1.60</w:t>
      </w:r>
      <w:r>
        <w:rPr>
          <w:rFonts w:hint="eastAsia"/>
          <w:color w:val="auto"/>
          <w:highlight w:val="none"/>
        </w:rPr>
        <w:t>万元，其他资金</w:t>
      </w:r>
      <w:r>
        <w:rPr>
          <w:rFonts w:hint="eastAsia"/>
          <w:color w:val="auto"/>
          <w:highlight w:val="none"/>
          <w:lang w:val="en-US" w:eastAsia="zh-CN"/>
        </w:rPr>
        <w:t>0</w:t>
      </w:r>
      <w:r>
        <w:rPr>
          <w:rFonts w:hint="eastAsia"/>
          <w:color w:val="auto"/>
          <w:highlight w:val="none"/>
        </w:rPr>
        <w:t>万元</w:t>
      </w:r>
      <w:r>
        <w:rPr>
          <w:rFonts w:hint="eastAsia"/>
          <w:color w:val="auto"/>
          <w:highlight w:val="none"/>
          <w:lang w:eastAsia="zh-CN"/>
        </w:rPr>
        <w:t>，</w:t>
      </w:r>
      <w:r>
        <w:rPr>
          <w:rFonts w:hint="eastAsia"/>
          <w:color w:val="auto"/>
          <w:highlight w:val="none"/>
        </w:rPr>
        <w:t>实际到位资金</w:t>
      </w:r>
      <w:r>
        <w:rPr>
          <w:rFonts w:hint="eastAsia"/>
          <w:color w:val="auto"/>
          <w:highlight w:val="none"/>
          <w:lang w:val="en-US" w:eastAsia="zh-CN"/>
        </w:rPr>
        <w:t>1.6</w:t>
      </w:r>
      <w:r>
        <w:rPr>
          <w:rFonts w:hint="eastAsia"/>
          <w:color w:val="auto"/>
          <w:highlight w:val="none"/>
        </w:rPr>
        <w:t>万元，资金到位率=（实际到位资金/预算资金）×100%=</w:t>
      </w:r>
      <w:r>
        <w:rPr>
          <w:rFonts w:hint="eastAsia"/>
          <w:color w:val="auto"/>
          <w:highlight w:val="none"/>
          <w:lang w:val="en-US" w:eastAsia="zh-CN"/>
        </w:rPr>
        <w:t>100%</w:t>
      </w:r>
      <w:r>
        <w:rPr>
          <w:rFonts w:hint="eastAsia"/>
          <w:color w:val="auto"/>
          <w:highlight w:val="none"/>
        </w:rPr>
        <w:t>。</w:t>
      </w:r>
    </w:p>
    <w:p>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1.6</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1.51</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1.51/1.60</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94.38%</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Times New Roman" w:hAnsi="Times New Roman" w:eastAsia="仿宋_GB2312"/>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3.78</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94.38</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eastAsia="zh-CN"/>
        </w:rPr>
        <w:t>《</w:t>
      </w:r>
      <w:r>
        <w:rPr>
          <w:rFonts w:hint="eastAsia"/>
          <w:color w:val="auto"/>
          <w:highlight w:val="none"/>
          <w:lang w:val="en-US" w:eastAsia="zh-CN"/>
        </w:rPr>
        <w:t>幼儿园经费</w:t>
      </w:r>
      <w:r>
        <w:rPr>
          <w:rFonts w:hint="eastAsia"/>
          <w:color w:val="auto"/>
          <w:highlight w:val="none"/>
        </w:rPr>
        <w:t>管理办法》，资金的拨付有完整的审批程序和手续，资金实际使用方向与预算批复用途一致，不存在截留、挤占、挪用、虚列支出的情况。</w:t>
      </w:r>
    </w:p>
    <w:p>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pPr>
        <w:pStyle w:val="5"/>
        <w:bidi w:val="0"/>
        <w:rPr>
          <w:rFonts w:hint="eastAsia"/>
          <w:color w:val="auto"/>
          <w:highlight w:val="none"/>
          <w:lang w:val="en-US" w:eastAsia="zh-CN"/>
        </w:rPr>
      </w:pPr>
      <w:r>
        <w:rPr>
          <w:rFonts w:hint="eastAsia"/>
          <w:color w:val="auto"/>
          <w:highlight w:val="none"/>
          <w:lang w:val="en-US" w:eastAsia="zh-CN"/>
        </w:rPr>
        <w:t>2.组织实施情况分析</w:t>
      </w:r>
    </w:p>
    <w:p>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pPr>
        <w:bidi w:val="0"/>
        <w:rPr>
          <w:rFonts w:hint="eastAsia"/>
          <w:color w:val="auto"/>
          <w:highlight w:val="none"/>
        </w:rPr>
      </w:pPr>
      <w:r>
        <w:rPr>
          <w:rFonts w:hint="eastAsia"/>
          <w:color w:val="auto"/>
          <w:highlight w:val="none"/>
        </w:rPr>
        <w:t>我单位已制定《</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幼儿园经费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采购业务管理制度》等，上述已建立的制度均符合行政事业单位内控管理要求，财务和业务管理制度合法、合规、完整，本项目执行符合上述制度规定。</w:t>
      </w:r>
    </w:p>
    <w:p>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pPr>
        <w:bidi w:val="0"/>
        <w:rPr>
          <w:rFonts w:hint="eastAsia"/>
          <w:color w:val="auto"/>
          <w:highlight w:val="none"/>
        </w:rPr>
      </w:pPr>
      <w:r>
        <w:rPr>
          <w:rFonts w:hint="eastAsia"/>
          <w:color w:val="auto"/>
          <w:highlight w:val="none"/>
          <w:lang w:eastAsia="zh-CN"/>
        </w:rPr>
        <w:t>①</w:t>
      </w:r>
      <w:r>
        <w:rPr>
          <w:rFonts w:hint="eastAsia"/>
          <w:color w:val="auto"/>
          <w:highlight w:val="none"/>
        </w:rPr>
        <w:t>该项目的</w:t>
      </w:r>
      <w:r>
        <w:rPr>
          <w:rFonts w:hint="eastAsia"/>
          <w:color w:val="auto"/>
          <w:highlight w:val="none"/>
          <w:lang w:val="en-US" w:eastAsia="zh-CN"/>
        </w:rPr>
        <w:t>实施</w:t>
      </w:r>
      <w:r>
        <w:rPr>
          <w:rFonts w:hint="eastAsia"/>
          <w:color w:val="auto"/>
          <w:highlight w:val="none"/>
        </w:rPr>
        <w:t>符合《</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幼儿园经费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w:t>
      </w:r>
    </w:p>
    <w:p>
      <w:pPr>
        <w:bidi w:val="0"/>
        <w:rPr>
          <w:rFonts w:hint="eastAsia"/>
          <w:color w:val="auto"/>
          <w:highlight w:val="none"/>
        </w:rPr>
      </w:pPr>
      <w:r>
        <w:rPr>
          <w:rFonts w:hint="eastAsia"/>
          <w:color w:val="auto"/>
          <w:highlight w:val="none"/>
          <w:lang w:eastAsia="zh-CN"/>
        </w:rPr>
        <w:t>②</w:t>
      </w:r>
      <w:r>
        <w:rPr>
          <w:rFonts w:hint="eastAsia"/>
          <w:color w:val="auto"/>
          <w:highlight w:val="none"/>
        </w:rPr>
        <w:t>经现场查证项目合同书、验收评审表、财务支付凭证等资料齐全并及时归档。</w:t>
      </w:r>
    </w:p>
    <w:p>
      <w:pPr>
        <w:bidi w:val="0"/>
        <w:rPr>
          <w:rFonts w:hint="eastAsia"/>
          <w:color w:val="auto"/>
          <w:highlight w:val="none"/>
          <w:lang w:eastAsia="zh-CN"/>
        </w:rPr>
      </w:pPr>
      <w:r>
        <w:rPr>
          <w:rFonts w:hint="eastAsia"/>
          <w:color w:val="auto"/>
          <w:highlight w:val="none"/>
          <w:lang w:eastAsia="zh-CN"/>
        </w:rPr>
        <w:t>③本项目不存在调整。</w:t>
      </w:r>
    </w:p>
    <w:p>
      <w:pPr>
        <w:bidi w:val="0"/>
        <w:rPr>
          <w:rFonts w:hint="eastAsia"/>
          <w:color w:val="auto"/>
          <w:highlight w:val="none"/>
        </w:rPr>
      </w:pPr>
      <w:r>
        <w:rPr>
          <w:rFonts w:hint="eastAsia"/>
          <w:color w:val="auto"/>
          <w:highlight w:val="none"/>
          <w:lang w:eastAsia="zh-CN"/>
        </w:rPr>
        <w:t>④本项目实施所需要的项目人员和场地设备均已落实到位，具体涉及内容包括：为确保项目的顺利实施我单位</w:t>
      </w:r>
      <w:r>
        <w:rPr>
          <w:rFonts w:hint="eastAsia"/>
          <w:color w:val="auto"/>
          <w:highlight w:val="none"/>
          <w:lang w:val="en-US" w:eastAsia="zh-CN"/>
        </w:rPr>
        <w:t>有明确的岗位职责分工</w:t>
      </w:r>
      <w:r>
        <w:rPr>
          <w:rFonts w:hint="eastAsia"/>
          <w:color w:val="auto"/>
          <w:highlight w:val="none"/>
          <w:lang w:eastAsia="zh-CN"/>
        </w:rPr>
        <w:t>，人员均已配备到位，项目实施过程中所需</w:t>
      </w:r>
      <w:r>
        <w:rPr>
          <w:rFonts w:hint="eastAsia"/>
          <w:color w:val="auto"/>
          <w:highlight w:val="none"/>
          <w:lang w:val="en-US" w:eastAsia="zh-CN"/>
        </w:rPr>
        <w:t>的各项</w:t>
      </w:r>
      <w:r>
        <w:rPr>
          <w:rFonts w:hint="eastAsia"/>
          <w:color w:val="auto"/>
          <w:highlight w:val="none"/>
          <w:lang w:eastAsia="zh-CN"/>
        </w:rPr>
        <w:t>配套也已</w:t>
      </w:r>
      <w:r>
        <w:rPr>
          <w:rFonts w:hint="eastAsia"/>
          <w:color w:val="auto"/>
          <w:highlight w:val="none"/>
          <w:lang w:val="en-US" w:eastAsia="zh-CN"/>
        </w:rPr>
        <w:t>具备</w:t>
      </w:r>
      <w:r>
        <w:rPr>
          <w:rFonts w:hint="eastAsia"/>
          <w:color w:val="auto"/>
          <w:highlight w:val="none"/>
          <w:lang w:eastAsia="zh-CN"/>
        </w:rPr>
        <w:t>。</w:t>
      </w:r>
    </w:p>
    <w:p>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项目产出类指标包括产出数量、产出质量、产出时效、产出成本四方面的内容，权重分为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Style w:val="5"/>
        <w:bidi w:val="0"/>
        <w:rPr>
          <w:rFonts w:hint="eastAsia"/>
          <w:color w:val="auto"/>
          <w:highlight w:val="none"/>
          <w:lang w:val="en-US" w:eastAsia="zh-CN"/>
        </w:rPr>
      </w:pPr>
      <w:r>
        <w:rPr>
          <w:rFonts w:hint="eastAsia"/>
          <w:color w:val="auto"/>
          <w:highlight w:val="none"/>
          <w:lang w:val="en-US" w:eastAsia="zh-CN"/>
        </w:rPr>
        <w:t>1.数量指标完成情况分析</w:t>
      </w:r>
    </w:p>
    <w:p>
      <w:pPr>
        <w:bidi w:val="0"/>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享受学前教育资助的幼儿园数量</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为大于等于</w:t>
      </w:r>
      <w:r>
        <w:rPr>
          <w:rFonts w:hint="eastAsia" w:ascii="仿宋_GB2312" w:hAnsi="仿宋_GB2312" w:cs="仿宋_GB2312"/>
          <w:color w:val="auto"/>
          <w:sz w:val="28"/>
          <w:szCs w:val="28"/>
          <w:highlight w:val="none"/>
          <w:lang w:val="en-US" w:eastAsia="zh-CN"/>
        </w:rPr>
        <w:t>1所</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1所</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3分</w:t>
      </w:r>
      <w:r>
        <w:rPr>
          <w:rFonts w:hint="eastAsia" w:ascii="仿宋_GB2312" w:hAnsi="仿宋_GB2312" w:cs="仿宋_GB2312"/>
          <w:color w:val="auto"/>
          <w:sz w:val="28"/>
          <w:szCs w:val="28"/>
          <w:highlight w:val="none"/>
        </w:rPr>
        <w:t>。</w:t>
      </w:r>
    </w:p>
    <w:p>
      <w:pPr>
        <w:bidi w:val="0"/>
        <w:rPr>
          <w:rFonts w:hint="eastAsia"/>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享受学前教育资助的幼儿人数</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13人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13人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6</w:t>
      </w:r>
      <w:r>
        <w:rPr>
          <w:rFonts w:hint="eastAsia" w:ascii="仿宋_GB2312" w:hAnsi="仿宋_GB2312" w:cs="仿宋_GB2312"/>
          <w:color w:val="auto"/>
          <w:sz w:val="28"/>
          <w:szCs w:val="28"/>
          <w:highlight w:val="none"/>
        </w:rPr>
        <w:t>分。</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“普惠性学前教育资源覆盖率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大于等于</w:t>
      </w:r>
      <w:r>
        <w:rPr>
          <w:rFonts w:hint="eastAsia" w:ascii="仿宋_GB2312" w:hAnsi="仿宋_GB2312" w:cs="仿宋_GB2312"/>
          <w:color w:val="auto"/>
          <w:sz w:val="28"/>
          <w:szCs w:val="28"/>
          <w:highlight w:val="none"/>
          <w:lang w:val="en-US" w:eastAsia="zh-CN"/>
        </w:rPr>
        <w:t>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pPr>
        <w:bidi w:val="0"/>
        <w:rPr>
          <w:color w:val="auto"/>
          <w:highlight w:val="none"/>
        </w:rPr>
      </w:pPr>
      <w:r>
        <w:rPr>
          <w:rFonts w:hint="eastAsia" w:ascii="仿宋_GB2312" w:hAnsi="仿宋_GB2312" w:cs="仿宋_GB2312"/>
          <w:color w:val="auto"/>
          <w:sz w:val="28"/>
          <w:szCs w:val="28"/>
          <w:highlight w:val="none"/>
          <w:lang w:val="en-US" w:eastAsia="zh-CN"/>
        </w:rPr>
        <w:t>“公办园在园幼儿占比</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eastAsia="zh-CN"/>
        </w:rPr>
        <w:t>大于等于</w:t>
      </w:r>
      <w:r>
        <w:rPr>
          <w:rFonts w:hint="eastAsia" w:ascii="仿宋_GB2312" w:hAnsi="仿宋_GB2312" w:cs="仿宋_GB2312"/>
          <w:color w:val="auto"/>
          <w:sz w:val="28"/>
          <w:szCs w:val="28"/>
          <w:highlight w:val="none"/>
          <w:lang w:val="en-US" w:eastAsia="zh-CN"/>
        </w:rPr>
        <w:t>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pPr>
        <w:pStyle w:val="5"/>
        <w:bidi w:val="0"/>
        <w:rPr>
          <w:rFonts w:hint="eastAsia"/>
          <w:color w:val="auto"/>
          <w:highlight w:val="none"/>
          <w:lang w:val="en-US" w:eastAsia="zh-CN"/>
        </w:rPr>
      </w:pPr>
      <w:r>
        <w:rPr>
          <w:rFonts w:hint="eastAsia"/>
          <w:color w:val="auto"/>
          <w:highlight w:val="none"/>
          <w:lang w:val="en-US" w:eastAsia="zh-CN"/>
        </w:rPr>
        <w:t>2.质量指标完成情况分析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农村学前国语教育覆盖率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pPr>
        <w:bidi w:val="0"/>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专业幼师上岗率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pPr>
        <w:pStyle w:val="5"/>
        <w:numPr>
          <w:ilvl w:val="0"/>
          <w:numId w:val="3"/>
        </w:numPr>
        <w:bidi w:val="0"/>
        <w:rPr>
          <w:rFonts w:hint="eastAsia"/>
          <w:color w:val="auto"/>
          <w:highlight w:val="none"/>
        </w:rPr>
      </w:pPr>
      <w:r>
        <w:rPr>
          <w:rFonts w:hint="eastAsia"/>
          <w:color w:val="auto"/>
          <w:highlight w:val="none"/>
          <w:lang w:val="en-US" w:eastAsia="zh-CN"/>
        </w:rPr>
        <w:t>时效指标完成情况分析</w:t>
      </w:r>
    </w:p>
    <w:p>
      <w:pPr>
        <w:bidi w:val="0"/>
        <w:rPr>
          <w:rFonts w:hint="default"/>
          <w:color w:val="auto"/>
          <w:highlight w:val="none"/>
          <w:lang w:val="en-US" w:eastAsia="zh-CN"/>
        </w:rPr>
      </w:pPr>
      <w:r>
        <w:rPr>
          <w:rFonts w:hint="eastAsia" w:ascii="仿宋_GB2312" w:hAnsi="仿宋_GB2312" w:cs="仿宋_GB2312"/>
          <w:color w:val="auto"/>
          <w:sz w:val="28"/>
          <w:szCs w:val="28"/>
          <w:highlight w:val="none"/>
          <w:lang w:val="en-US" w:eastAsia="zh-CN"/>
        </w:rPr>
        <w:t>“资金拨付及时率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pPr>
        <w:pStyle w:val="5"/>
        <w:bidi w:val="0"/>
        <w:rPr>
          <w:rFonts w:hint="eastAsia"/>
          <w:color w:val="auto"/>
          <w:highlight w:val="none"/>
        </w:rPr>
      </w:pPr>
      <w:r>
        <w:rPr>
          <w:rFonts w:hint="eastAsia"/>
          <w:color w:val="auto"/>
          <w:highlight w:val="none"/>
          <w:lang w:val="en-US" w:eastAsia="zh-CN"/>
        </w:rPr>
        <w:t>4.成本指标完成情况分析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学前教育资助经费平均发放标准</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1227.8元/人/学年</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1227.8元/人/学年</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（四）项目效益情况</w:t>
      </w:r>
    </w:p>
    <w:p>
      <w:pPr>
        <w:bidi w:val="0"/>
        <w:rPr>
          <w:rFonts w:hint="eastAsia" w:ascii="仿宋_GB2312" w:cs="仿宋_GB2312"/>
          <w:color w:val="auto"/>
          <w:sz w:val="28"/>
          <w:szCs w:val="28"/>
          <w:highlight w:val="none"/>
        </w:rPr>
      </w:pPr>
      <w:r>
        <w:rPr>
          <w:rFonts w:hint="eastAsia"/>
          <w:color w:val="auto"/>
          <w:highlight w:val="none"/>
          <w:lang w:eastAsia="zh-CN"/>
        </w:rPr>
        <w:t>项目效益类指标由</w:t>
      </w:r>
      <w:r>
        <w:rPr>
          <w:rFonts w:hint="eastAsia" w:ascii="仿宋_GB2312" w:cs="仿宋_GB2312"/>
          <w:color w:val="auto"/>
          <w:sz w:val="28"/>
          <w:szCs w:val="28"/>
          <w:highlight w:val="none"/>
          <w:lang w:val="en-US" w:eastAsia="zh-CN"/>
        </w:rPr>
        <w:t>3</w:t>
      </w:r>
      <w:r>
        <w:rPr>
          <w:rFonts w:hint="eastAsia"/>
          <w:color w:val="auto"/>
          <w:highlight w:val="none"/>
          <w:lang w:eastAsia="zh-CN"/>
        </w:rPr>
        <w:t>个二级指标和</w:t>
      </w:r>
      <w:r>
        <w:rPr>
          <w:rFonts w:hint="eastAsia" w:ascii="仿宋_GB2312" w:cs="仿宋_GB2312"/>
          <w:color w:val="auto"/>
          <w:sz w:val="28"/>
          <w:szCs w:val="28"/>
          <w:highlight w:val="none"/>
          <w:lang w:val="en-US" w:eastAsia="zh-CN"/>
        </w:rPr>
        <w:t>3</w:t>
      </w:r>
      <w:r>
        <w:rPr>
          <w:rFonts w:hint="eastAsia"/>
          <w:color w:val="auto"/>
          <w:highlight w:val="none"/>
          <w:lang w:eastAsia="zh-CN"/>
        </w:rPr>
        <w:t>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21.21</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88.38</w:t>
      </w:r>
      <w:r>
        <w:rPr>
          <w:rFonts w:hint="eastAsia" w:ascii="仿宋_GB2312" w:cs="仿宋_GB2312"/>
          <w:color w:val="auto"/>
          <w:sz w:val="28"/>
          <w:szCs w:val="28"/>
          <w:highlight w:val="none"/>
        </w:rPr>
        <w:t>%。</w:t>
      </w:r>
    </w:p>
    <w:p>
      <w:pPr>
        <w:pStyle w:val="5"/>
        <w:bidi w:val="0"/>
        <w:rPr>
          <w:rFonts w:hint="eastAsia" w:cs="仿宋_GB2312"/>
          <w:b/>
          <w:bCs/>
          <w:color w:val="auto"/>
          <w:sz w:val="28"/>
          <w:szCs w:val="28"/>
          <w:highlight w:val="none"/>
          <w:lang w:val="en-US" w:eastAsia="zh-CN"/>
        </w:rPr>
      </w:pPr>
      <w:r>
        <w:rPr>
          <w:rFonts w:hint="eastAsia" w:cs="仿宋_GB2312"/>
          <w:b/>
          <w:bCs/>
          <w:color w:val="auto"/>
          <w:sz w:val="28"/>
          <w:szCs w:val="28"/>
          <w:highlight w:val="none"/>
          <w:lang w:val="en-US" w:eastAsia="zh-CN"/>
        </w:rPr>
        <w:t>1.经济效益指标完成情况分析</w:t>
      </w:r>
    </w:p>
    <w:p>
      <w:pPr>
        <w:bidi w:val="0"/>
        <w:rPr>
          <w:rFonts w:hint="default"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cs="仿宋_GB2312"/>
          <w:b w:val="0"/>
          <w:bCs w:val="0"/>
          <w:color w:val="auto"/>
          <w:kern w:val="2"/>
          <w:sz w:val="28"/>
          <w:szCs w:val="28"/>
          <w:highlight w:val="none"/>
          <w:lang w:val="en-US" w:eastAsia="zh-CN" w:bidi="ar-SA"/>
        </w:rPr>
        <w:t>无</w:t>
      </w:r>
      <w:r>
        <w:rPr>
          <w:rFonts w:hint="eastAsia" w:ascii="仿宋_GB2312" w:hAnsi="仿宋_GB2312" w:cs="仿宋_GB2312"/>
          <w:color w:val="auto"/>
          <w:sz w:val="28"/>
          <w:szCs w:val="28"/>
          <w:highlight w:val="none"/>
        </w:rPr>
        <w:t>。</w:t>
      </w:r>
    </w:p>
    <w:p>
      <w:pPr>
        <w:pStyle w:val="5"/>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pPr>
        <w:bidi w:val="0"/>
        <w:rPr>
          <w:rFonts w:hint="eastAsia" w:ascii="仿宋_GB2312" w:hAnsi="仿宋_GB2312" w:cs="仿宋_GB2312"/>
          <w:color w:val="auto"/>
          <w:sz w:val="28"/>
          <w:szCs w:val="28"/>
          <w:highlight w:val="none"/>
        </w:rPr>
      </w:pPr>
      <w:r>
        <w:rPr>
          <w:rFonts w:hint="eastAsia" w:ascii="仿宋_GB2312" w:hAnsi="仿宋_GB2312" w:eastAsia="仿宋_GB2312" w:cs="仿宋_GB2312"/>
          <w:b w:val="0"/>
          <w:bCs w:val="0"/>
          <w:color w:val="auto"/>
          <w:kern w:val="2"/>
          <w:sz w:val="28"/>
          <w:szCs w:val="28"/>
          <w:highlight w:val="none"/>
          <w:lang w:val="en-US" w:eastAsia="zh-CN" w:bidi="ar-SA"/>
        </w:rPr>
        <w:t>“学前三年毛入率”指标：</w:t>
      </w:r>
      <w:r>
        <w:rPr>
          <w:rFonts w:hint="eastAsia" w:ascii="仿宋_GB2312" w:hAnsi="仿宋_GB2312" w:cs="仿宋_GB2312"/>
          <w:color w:val="auto"/>
          <w:sz w:val="28"/>
          <w:szCs w:val="28"/>
          <w:highlight w:val="none"/>
        </w:rPr>
        <w:t>预期指标值为</w:t>
      </w:r>
      <w:r>
        <w:rPr>
          <w:rFonts w:hint="eastAsia" w:ascii="仿宋_GB2312" w:hAnsi="仿宋_GB2312" w:cs="仿宋_GB2312"/>
          <w:color w:val="auto"/>
          <w:sz w:val="28"/>
          <w:szCs w:val="28"/>
          <w:highlight w:val="none"/>
          <w:lang w:eastAsia="zh-CN"/>
        </w:rPr>
        <w:t>大于等于</w:t>
      </w:r>
      <w:r>
        <w:rPr>
          <w:rFonts w:hint="eastAsia" w:ascii="仿宋_GB2312" w:hAnsi="仿宋_GB2312" w:cs="仿宋_GB2312"/>
          <w:color w:val="auto"/>
          <w:sz w:val="28"/>
          <w:szCs w:val="28"/>
          <w:highlight w:val="none"/>
        </w:rPr>
        <w:t>100%</w:t>
      </w:r>
      <w:r>
        <w:rPr>
          <w:rFonts w:hint="eastAsia" w:cs="仿宋_GB2312"/>
          <w:color w:val="auto"/>
          <w:sz w:val="28"/>
          <w:szCs w:val="28"/>
          <w:highlight w:val="none"/>
          <w:lang w:eastAsia="zh-CN"/>
        </w:rPr>
        <w:t>，</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pPr>
        <w:bidi w:val="0"/>
        <w:rPr>
          <w:rFonts w:hint="eastAsia"/>
          <w:color w:val="auto"/>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积极提高学前教育普惠保障水平</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有效提高</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pPr>
        <w:pStyle w:val="5"/>
        <w:bidi w:val="0"/>
        <w:rPr>
          <w:rFonts w:hint="eastAsia"/>
          <w:color w:val="auto"/>
          <w:highlight w:val="none"/>
          <w:lang w:val="en-US" w:eastAsia="zh-CN"/>
        </w:rPr>
      </w:pPr>
      <w:r>
        <w:rPr>
          <w:rFonts w:hint="eastAsia"/>
          <w:color w:val="auto"/>
          <w:highlight w:val="none"/>
          <w:lang w:val="en-US" w:eastAsia="zh-CN"/>
        </w:rPr>
        <w:t>3.生态效益指标完成情况分析</w:t>
      </w:r>
    </w:p>
    <w:p>
      <w:pPr>
        <w:bidi w:val="0"/>
        <w:rPr>
          <w:rFonts w:hint="default"/>
          <w:color w:val="auto"/>
          <w:highlight w:val="none"/>
          <w:lang w:val="en-US" w:eastAsia="zh-CN"/>
        </w:rPr>
      </w:pPr>
      <w:r>
        <w:rPr>
          <w:rFonts w:hint="eastAsia"/>
          <w:color w:val="auto"/>
          <w:highlight w:val="none"/>
          <w:lang w:val="en-US" w:eastAsia="zh-CN"/>
        </w:rPr>
        <w:t>无</w:t>
      </w:r>
    </w:p>
    <w:p>
      <w:pPr>
        <w:pStyle w:val="5"/>
        <w:bidi w:val="0"/>
        <w:rPr>
          <w:rFonts w:hint="eastAsia"/>
          <w:color w:val="auto"/>
          <w:highlight w:val="none"/>
          <w:lang w:val="en-US" w:eastAsia="zh-CN"/>
        </w:rPr>
      </w:pPr>
      <w:r>
        <w:rPr>
          <w:rFonts w:hint="eastAsia"/>
          <w:color w:val="auto"/>
          <w:highlight w:val="none"/>
          <w:lang w:val="en-US" w:eastAsia="zh-CN"/>
        </w:rPr>
        <w:t>4.可持续影响指标完成情况分析</w:t>
      </w:r>
    </w:p>
    <w:p>
      <w:pPr>
        <w:bidi w:val="0"/>
        <w:rPr>
          <w:rFonts w:hint="default"/>
          <w:color w:val="auto"/>
          <w:highlight w:val="none"/>
          <w:lang w:val="en-US" w:eastAsia="zh-CN"/>
        </w:rPr>
      </w:pPr>
      <w:r>
        <w:rPr>
          <w:rFonts w:hint="eastAsia"/>
          <w:color w:val="auto"/>
          <w:highlight w:val="none"/>
          <w:lang w:val="en-US" w:eastAsia="zh-CN"/>
        </w:rPr>
        <w:t>无</w:t>
      </w:r>
    </w:p>
    <w:p>
      <w:pPr>
        <w:pStyle w:val="5"/>
        <w:bidi w:val="0"/>
        <w:rPr>
          <w:rFonts w:hint="eastAsia"/>
          <w:color w:val="auto"/>
          <w:highlight w:val="none"/>
          <w:lang w:val="en-US" w:eastAsia="zh-CN"/>
        </w:rPr>
      </w:pPr>
      <w:r>
        <w:rPr>
          <w:rFonts w:hint="eastAsia"/>
          <w:color w:val="auto"/>
          <w:highlight w:val="none"/>
          <w:lang w:val="en-US" w:eastAsia="zh-CN"/>
        </w:rPr>
        <w:t>5.满意度指标完成情况分析</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受益幼儿家长满意度</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大于等于</w:t>
      </w:r>
      <w:r>
        <w:rPr>
          <w:rFonts w:hint="eastAsia" w:ascii="仿宋_GB2312" w:hAnsi="仿宋_GB2312" w:cs="仿宋_GB2312"/>
          <w:color w:val="auto"/>
          <w:sz w:val="28"/>
          <w:szCs w:val="28"/>
          <w:highlight w:val="none"/>
          <w:lang w:val="en-US" w:eastAsia="zh-CN"/>
        </w:rPr>
        <w:t>90%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bookmarkEnd w:id="15"/>
      <w:r>
        <w:rPr>
          <w:rFonts w:hint="eastAsia"/>
          <w:color w:val="auto"/>
          <w:highlight w:val="none"/>
          <w:lang w:eastAsia="zh-CN"/>
        </w:rPr>
        <w:t>。</w:t>
      </w:r>
    </w:p>
    <w:p>
      <w:pPr>
        <w:pStyle w:val="3"/>
        <w:numPr>
          <w:ilvl w:val="0"/>
          <w:numId w:val="2"/>
        </w:numPr>
        <w:ind w:left="0" w:leftChars="0" w:firstLine="643" w:firstLineChars="200"/>
        <w:jc w:val="left"/>
        <w:rPr>
          <w:rFonts w:hint="eastAsia"/>
          <w:color w:val="auto"/>
          <w:highlight w:val="none"/>
          <w:lang w:val="en-US" w:eastAsia="zh-CN"/>
        </w:rPr>
      </w:pPr>
      <w:r>
        <w:rPr>
          <w:rFonts w:hint="eastAsia" w:ascii="Times New Roman" w:hAnsi="Times New Roman" w:cs="Times New Roman"/>
          <w:b/>
          <w:bCs/>
          <w:color w:val="auto"/>
          <w:highlight w:val="none"/>
          <w:lang w:val="en-US" w:eastAsia="zh-CN"/>
        </w:rPr>
        <w:t>预算执行进度与绩效指标偏差</w:t>
      </w:r>
    </w:p>
    <w:p>
      <w:pPr>
        <w:bidi w:val="0"/>
        <w:rPr>
          <w:rFonts w:hint="eastAsia" w:ascii="仿宋_GB2312" w:hAnsi="Times New Roman" w:cs="仿宋_GB2312"/>
          <w:color w:val="auto"/>
          <w:sz w:val="28"/>
          <w:szCs w:val="28"/>
          <w:highlight w:val="none"/>
          <w:lang w:val="en-US" w:eastAsia="zh-CN"/>
        </w:rPr>
      </w:pPr>
      <w:r>
        <w:rPr>
          <w:rFonts w:hint="eastAsia" w:ascii="仿宋_GB2312" w:hAnsi="Times New Roman" w:cs="仿宋_GB2312"/>
          <w:color w:val="auto"/>
          <w:sz w:val="28"/>
          <w:szCs w:val="28"/>
          <w:highlight w:val="none"/>
          <w:lang w:eastAsia="zh-CN"/>
        </w:rPr>
        <w:t>本项目</w:t>
      </w:r>
      <w:r>
        <w:rPr>
          <w:rFonts w:hint="eastAsia" w:ascii="仿宋_GB2312" w:hAnsi="Times New Roman" w:cs="仿宋_GB2312"/>
          <w:color w:val="auto"/>
          <w:sz w:val="28"/>
          <w:szCs w:val="28"/>
          <w:highlight w:val="none"/>
          <w:lang w:val="en-US" w:eastAsia="zh-CN"/>
        </w:rPr>
        <w:t>全年预算数为</w:t>
      </w:r>
      <w:r>
        <w:rPr>
          <w:rFonts w:hint="eastAsia" w:ascii="仿宋_GB2312" w:hAnsi="仿宋_GB2312" w:cs="仿宋_GB2312"/>
          <w:color w:val="auto"/>
          <w:sz w:val="28"/>
          <w:szCs w:val="28"/>
          <w:highlight w:val="none"/>
          <w:lang w:val="en-US" w:eastAsia="zh-CN"/>
        </w:rPr>
        <w:t>1.60</w:t>
      </w:r>
      <w:r>
        <w:rPr>
          <w:rFonts w:hint="eastAsia" w:ascii="仿宋_GB2312" w:hAnsi="Times New Roman" w:cs="仿宋_GB2312"/>
          <w:color w:val="auto"/>
          <w:sz w:val="28"/>
          <w:szCs w:val="28"/>
          <w:highlight w:val="none"/>
          <w:lang w:val="en-US" w:eastAsia="zh-CN"/>
        </w:rPr>
        <w:t>万元，全年到位数为</w:t>
      </w:r>
      <w:r>
        <w:rPr>
          <w:rFonts w:hint="eastAsia" w:ascii="仿宋_GB2312" w:hAnsi="仿宋_GB2312" w:cs="仿宋_GB2312"/>
          <w:color w:val="auto"/>
          <w:sz w:val="28"/>
          <w:szCs w:val="28"/>
          <w:highlight w:val="none"/>
          <w:lang w:val="en-US" w:eastAsia="zh-CN"/>
        </w:rPr>
        <w:t>1.6</w:t>
      </w:r>
      <w:r>
        <w:rPr>
          <w:rFonts w:hint="eastAsia" w:ascii="仿宋_GB2312" w:hAnsi="Times New Roman" w:cs="仿宋_GB2312"/>
          <w:color w:val="auto"/>
          <w:sz w:val="28"/>
          <w:szCs w:val="28"/>
          <w:highlight w:val="none"/>
          <w:lang w:val="en-US" w:eastAsia="zh-CN"/>
        </w:rPr>
        <w:t>万元，全年执行数为</w:t>
      </w:r>
      <w:r>
        <w:rPr>
          <w:rFonts w:hint="eastAsia" w:ascii="仿宋_GB2312" w:hAnsi="仿宋_GB2312" w:cs="仿宋_GB2312"/>
          <w:color w:val="auto"/>
          <w:sz w:val="28"/>
          <w:szCs w:val="28"/>
          <w:highlight w:val="none"/>
          <w:lang w:val="en-US" w:eastAsia="zh-CN"/>
        </w:rPr>
        <w:t>1.51</w:t>
      </w:r>
      <w:r>
        <w:rPr>
          <w:rFonts w:hint="eastAsia" w:ascii="仿宋_GB2312" w:hAnsi="Times New Roman" w:cs="仿宋_GB2312"/>
          <w:color w:val="auto"/>
          <w:sz w:val="28"/>
          <w:szCs w:val="28"/>
          <w:highlight w:val="none"/>
          <w:lang w:val="en-US" w:eastAsia="zh-CN"/>
        </w:rPr>
        <w:t>万元，预算执行率为</w:t>
      </w:r>
      <w:r>
        <w:rPr>
          <w:rFonts w:hint="eastAsia" w:ascii="仿宋_GB2312" w:cs="仿宋_GB2312"/>
          <w:color w:val="auto"/>
          <w:sz w:val="28"/>
          <w:szCs w:val="28"/>
          <w:highlight w:val="none"/>
          <w:lang w:val="en-US" w:eastAsia="zh-CN"/>
        </w:rPr>
        <w:t>94.38</w:t>
      </w:r>
      <w:r>
        <w:rPr>
          <w:rFonts w:hint="eastAsia" w:ascii="仿宋_GB2312" w:hAnsi="Times New Roman" w:cs="仿宋_GB2312"/>
          <w:color w:val="auto"/>
          <w:sz w:val="28"/>
          <w:szCs w:val="28"/>
          <w:highlight w:val="none"/>
          <w:lang w:val="en-US" w:eastAsia="zh-CN"/>
        </w:rPr>
        <w:t>%。</w:t>
      </w:r>
    </w:p>
    <w:p>
      <w:pPr>
        <w:bidi w:val="0"/>
        <w:rPr>
          <w:rFonts w:hint="eastAsia" w:ascii="仿宋_GB2312" w:hAnsi="Times New Roman" w:cs="仿宋_GB2312"/>
          <w:color w:val="auto"/>
          <w:sz w:val="28"/>
          <w:szCs w:val="28"/>
          <w:highlight w:val="none"/>
        </w:rPr>
      </w:pPr>
      <w:r>
        <w:rPr>
          <w:rFonts w:hint="eastAsia" w:ascii="仿宋_GB2312" w:hAnsi="Times New Roman" w:cs="仿宋_GB2312"/>
          <w:color w:val="auto"/>
          <w:sz w:val="28"/>
          <w:szCs w:val="28"/>
          <w:highlight w:val="none"/>
        </w:rPr>
        <w:t>本</w:t>
      </w:r>
      <w:r>
        <w:rPr>
          <w:rFonts w:hint="eastAsia" w:ascii="仿宋_GB2312" w:hAnsi="Times New Roman" w:cs="仿宋_GB2312"/>
          <w:color w:val="auto"/>
          <w:sz w:val="28"/>
          <w:szCs w:val="28"/>
          <w:highlight w:val="none"/>
          <w:lang w:val="zh-TW" w:eastAsia="zh-TW"/>
        </w:rPr>
        <w:t>项目共设置</w:t>
      </w:r>
      <w:r>
        <w:rPr>
          <w:rFonts w:hint="eastAsia" w:ascii="仿宋_GB2312" w:hAnsi="Times New Roman" w:cs="仿宋_GB2312"/>
          <w:color w:val="auto"/>
          <w:sz w:val="28"/>
          <w:szCs w:val="28"/>
          <w:highlight w:val="none"/>
        </w:rPr>
        <w:t>三级指标数量</w:t>
      </w:r>
      <w:r>
        <w:rPr>
          <w:rFonts w:hint="eastAsia" w:ascii="仿宋_GB2312" w:hAnsi="Times New Roman" w:cs="仿宋_GB2312"/>
          <w:color w:val="auto"/>
          <w:sz w:val="28"/>
          <w:szCs w:val="28"/>
          <w:highlight w:val="none"/>
          <w:lang w:val="en-US" w:eastAsia="zh-CN"/>
        </w:rPr>
        <w:t>1</w:t>
      </w:r>
      <w:r>
        <w:rPr>
          <w:rFonts w:hint="eastAsia" w:ascii="仿宋_GB2312" w:cs="仿宋_GB2312"/>
          <w:color w:val="auto"/>
          <w:sz w:val="28"/>
          <w:szCs w:val="28"/>
          <w:highlight w:val="none"/>
          <w:lang w:val="en-US" w:eastAsia="zh-CN"/>
        </w:rPr>
        <w:t>1</w:t>
      </w:r>
      <w:r>
        <w:rPr>
          <w:rFonts w:hint="eastAsia" w:ascii="仿宋_GB2312" w:hAnsi="Times New Roman" w:cs="仿宋_GB2312"/>
          <w:color w:val="auto"/>
          <w:sz w:val="28"/>
          <w:szCs w:val="28"/>
          <w:highlight w:val="none"/>
          <w:lang w:val="zh-TW" w:eastAsia="zh-TW"/>
        </w:rPr>
        <w:t>个，</w:t>
      </w:r>
      <w:r>
        <w:rPr>
          <w:rFonts w:hint="eastAsia" w:ascii="仿宋_GB2312" w:hAnsi="Times New Roman" w:cs="仿宋_GB2312"/>
          <w:color w:val="auto"/>
          <w:sz w:val="28"/>
          <w:szCs w:val="28"/>
          <w:highlight w:val="none"/>
          <w:lang w:val="zh-TW" w:eastAsia="zh-CN"/>
        </w:rPr>
        <w:t>满分指标数量</w:t>
      </w:r>
      <w:r>
        <w:rPr>
          <w:rFonts w:hint="eastAsia" w:ascii="仿宋_GB2312" w:cs="仿宋_GB2312"/>
          <w:color w:val="auto"/>
          <w:sz w:val="28"/>
          <w:szCs w:val="28"/>
          <w:highlight w:val="none"/>
          <w:lang w:val="en-US" w:eastAsia="zh-CN"/>
        </w:rPr>
        <w:t>10</w:t>
      </w:r>
      <w:r>
        <w:rPr>
          <w:rFonts w:hint="eastAsia" w:ascii="仿宋_GB2312" w:hAnsi="Times New Roman" w:cs="仿宋_GB2312"/>
          <w:color w:val="auto"/>
          <w:sz w:val="28"/>
          <w:szCs w:val="28"/>
          <w:highlight w:val="none"/>
          <w:lang w:val="en-US" w:eastAsia="zh-CN"/>
        </w:rPr>
        <w:t>个，扣分指标数量</w:t>
      </w:r>
      <w:r>
        <w:rPr>
          <w:rFonts w:hint="eastAsia" w:ascii="仿宋_GB2312" w:cs="仿宋_GB2312"/>
          <w:color w:val="auto"/>
          <w:sz w:val="28"/>
          <w:szCs w:val="28"/>
          <w:highlight w:val="none"/>
          <w:lang w:val="en-US" w:eastAsia="zh-CN"/>
        </w:rPr>
        <w:t>1</w:t>
      </w:r>
      <w:r>
        <w:rPr>
          <w:rFonts w:hint="eastAsia" w:ascii="仿宋_GB2312" w:hAnsi="Times New Roman" w:cs="仿宋_GB2312"/>
          <w:color w:val="auto"/>
          <w:sz w:val="28"/>
          <w:szCs w:val="28"/>
          <w:highlight w:val="none"/>
          <w:lang w:val="en-US" w:eastAsia="zh-CN"/>
        </w:rPr>
        <w:t>个，经分析计算所有三级指标完成率得出本项目</w:t>
      </w:r>
      <w:r>
        <w:rPr>
          <w:rFonts w:hint="eastAsia" w:ascii="仿宋_GB2312" w:hAnsi="Times New Roman" w:cs="仿宋_GB2312"/>
          <w:color w:val="auto"/>
          <w:sz w:val="28"/>
          <w:szCs w:val="28"/>
          <w:highlight w:val="none"/>
        </w:rPr>
        <w:t>总体完成率为</w:t>
      </w:r>
      <w:r>
        <w:rPr>
          <w:rFonts w:hint="eastAsia" w:ascii="仿宋_GB2312" w:cs="仿宋_GB2312"/>
          <w:color w:val="auto"/>
          <w:sz w:val="28"/>
          <w:szCs w:val="28"/>
          <w:highlight w:val="none"/>
          <w:lang w:val="en-US" w:eastAsia="zh-CN"/>
        </w:rPr>
        <w:t>96.8</w:t>
      </w:r>
      <w:r>
        <w:rPr>
          <w:rFonts w:hint="eastAsia" w:ascii="仿宋_GB2312" w:hAnsi="Times New Roman" w:cs="仿宋_GB2312"/>
          <w:color w:val="auto"/>
          <w:sz w:val="28"/>
          <w:szCs w:val="28"/>
          <w:highlight w:val="none"/>
          <w:lang w:val="en-US" w:eastAsia="zh-CN"/>
        </w:rPr>
        <w:t>%</w:t>
      </w:r>
      <w:r>
        <w:rPr>
          <w:rFonts w:hint="eastAsia" w:ascii="仿宋_GB2312" w:hAnsi="Times New Roman" w:cs="仿宋_GB2312"/>
          <w:color w:val="auto"/>
          <w:sz w:val="28"/>
          <w:szCs w:val="28"/>
          <w:highlight w:val="none"/>
          <w:lang w:val="zh-TW" w:eastAsia="zh-TW"/>
        </w:rPr>
        <w:t>。</w:t>
      </w:r>
    </w:p>
    <w:p>
      <w:pPr>
        <w:bidi w:val="0"/>
        <w:rPr>
          <w:rFonts w:hint="eastAsia"/>
          <w:color w:val="auto"/>
          <w:highlight w:val="none"/>
        </w:rPr>
      </w:pPr>
      <w:r>
        <w:rPr>
          <w:rFonts w:hint="eastAsia" w:ascii="仿宋_GB2312" w:hAnsi="Times New Roman" w:cs="仿宋_GB2312"/>
          <w:color w:val="auto"/>
          <w:sz w:val="28"/>
          <w:szCs w:val="28"/>
          <w:highlight w:val="none"/>
          <w:lang w:val="en-US" w:eastAsia="zh-CN"/>
        </w:rPr>
        <w:t>综上所述本项目预算执行率与总体完成率之间的偏差为</w:t>
      </w:r>
      <w:r>
        <w:rPr>
          <w:rFonts w:hint="eastAsia" w:ascii="仿宋_GB2312" w:cs="仿宋_GB2312"/>
          <w:color w:val="auto"/>
          <w:sz w:val="28"/>
          <w:szCs w:val="28"/>
          <w:highlight w:val="none"/>
          <w:lang w:val="en-US" w:eastAsia="zh-CN"/>
        </w:rPr>
        <w:t>2.42%</w:t>
      </w:r>
      <w:r>
        <w:rPr>
          <w:rFonts w:hint="eastAsia" w:ascii="仿宋_GB2312" w:hAnsi="仿宋_GB2312" w:cs="仿宋_GB2312"/>
          <w:color w:val="auto"/>
          <w:sz w:val="28"/>
          <w:szCs w:val="28"/>
          <w:highlight w:val="none"/>
        </w:rPr>
        <w:t>。</w:t>
      </w:r>
    </w:p>
    <w:p>
      <w:pPr>
        <w:pStyle w:val="3"/>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pPr>
        <w:pStyle w:val="4"/>
        <w:numPr>
          <w:ilvl w:val="0"/>
          <w:numId w:val="4"/>
        </w:numPr>
        <w:ind w:firstLine="643"/>
        <w:rPr>
          <w:color w:val="auto"/>
          <w:highlight w:val="none"/>
        </w:rPr>
      </w:pPr>
      <w:bookmarkStart w:id="16" w:name="_Toc1921"/>
      <w:bookmarkStart w:id="17" w:name="_Toc28290"/>
      <w:r>
        <w:rPr>
          <w:rFonts w:hint="eastAsia"/>
          <w:color w:val="auto"/>
          <w:highlight w:val="none"/>
        </w:rPr>
        <w:t>主要经验及做法</w:t>
      </w:r>
    </w:p>
    <w:bookmarkEnd w:id="16"/>
    <w:bookmarkEnd w:id="17"/>
    <w:p>
      <w:pPr>
        <w:spacing w:line="560" w:lineRule="exact"/>
        <w:ind w:firstLine="560" w:firstLineChars="200"/>
        <w:rPr>
          <w:rFonts w:hint="eastAsia" w:ascii="仿宋_GB2312"/>
          <w:bCs/>
          <w:color w:val="auto"/>
          <w:sz w:val="28"/>
          <w:szCs w:val="28"/>
          <w:highlight w:val="none"/>
        </w:rPr>
      </w:pPr>
      <w:r>
        <w:rPr>
          <w:rFonts w:hint="eastAsia" w:ascii="仿宋_GB2312"/>
          <w:bCs/>
          <w:color w:val="auto"/>
          <w:sz w:val="28"/>
          <w:szCs w:val="28"/>
          <w:highlight w:val="none"/>
          <w:lang w:val="en-US" w:eastAsia="zh-CN"/>
        </w:rPr>
        <w:t>一是</w:t>
      </w:r>
      <w:r>
        <w:rPr>
          <w:rFonts w:hint="eastAsia" w:ascii="仿宋_GB2312"/>
          <w:bCs/>
          <w:color w:val="auto"/>
          <w:sz w:val="28"/>
          <w:szCs w:val="28"/>
          <w:highlight w:val="none"/>
        </w:rPr>
        <w:t>严控资金的拨付使用，支出符合国家财经法规和财务管理制度规定以及有关专项资金管理办法的规定；</w:t>
      </w:r>
    </w:p>
    <w:p>
      <w:pPr>
        <w:spacing w:line="560" w:lineRule="exact"/>
        <w:ind w:firstLine="560" w:firstLineChars="200"/>
        <w:rPr>
          <w:rFonts w:hint="eastAsia" w:ascii="仿宋_GB2312"/>
          <w:bCs/>
          <w:color w:val="auto"/>
          <w:sz w:val="28"/>
          <w:szCs w:val="28"/>
          <w:highlight w:val="none"/>
        </w:rPr>
      </w:pPr>
      <w:r>
        <w:rPr>
          <w:rFonts w:hint="eastAsia" w:ascii="仿宋_GB2312"/>
          <w:bCs/>
          <w:color w:val="auto"/>
          <w:sz w:val="28"/>
          <w:szCs w:val="28"/>
          <w:highlight w:val="none"/>
          <w:lang w:val="en-US" w:eastAsia="zh-CN"/>
        </w:rPr>
        <w:t>二是</w:t>
      </w:r>
      <w:r>
        <w:rPr>
          <w:rFonts w:hint="eastAsia" w:ascii="仿宋_GB2312"/>
          <w:bCs/>
          <w:color w:val="auto"/>
          <w:sz w:val="28"/>
          <w:szCs w:val="28"/>
          <w:highlight w:val="none"/>
        </w:rPr>
        <w:t>资金拨付有完整的审批程序和手续，并制定出了切实可行的实施计划、管理办法等；</w:t>
      </w:r>
    </w:p>
    <w:p>
      <w:pPr>
        <w:spacing w:line="560" w:lineRule="exact"/>
        <w:ind w:firstLine="560" w:firstLineChars="200"/>
        <w:rPr>
          <w:rFonts w:hint="eastAsia" w:ascii="仿宋_GB2312"/>
          <w:bCs/>
          <w:color w:val="auto"/>
          <w:sz w:val="28"/>
          <w:szCs w:val="28"/>
          <w:highlight w:val="none"/>
        </w:rPr>
      </w:pPr>
      <w:r>
        <w:rPr>
          <w:rFonts w:hint="eastAsia" w:ascii="仿宋_GB2312"/>
          <w:bCs/>
          <w:color w:val="auto"/>
          <w:sz w:val="28"/>
          <w:szCs w:val="28"/>
          <w:highlight w:val="none"/>
          <w:lang w:val="en-US" w:eastAsia="zh-CN"/>
        </w:rPr>
        <w:t>三是</w:t>
      </w:r>
      <w:r>
        <w:rPr>
          <w:rFonts w:hint="eastAsia" w:ascii="仿宋_GB2312"/>
          <w:bCs/>
          <w:color w:val="auto"/>
          <w:sz w:val="28"/>
          <w:szCs w:val="28"/>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lang w:val="en-US" w:eastAsia="zh-CN"/>
        </w:rPr>
        <w:t>四是</w:t>
      </w:r>
      <w:r>
        <w:rPr>
          <w:rFonts w:hint="eastAsia" w:ascii="仿宋_GB2312"/>
          <w:bCs/>
          <w:color w:val="auto"/>
          <w:sz w:val="28"/>
          <w:szCs w:val="28"/>
          <w:highlight w:val="none"/>
        </w:rPr>
        <w:t>通过实施2023年农村学前三年教育保障机制经费项目，保障我</w:t>
      </w:r>
      <w:r>
        <w:rPr>
          <w:rFonts w:hint="eastAsia" w:ascii="仿宋_GB2312"/>
          <w:bCs/>
          <w:color w:val="auto"/>
          <w:sz w:val="28"/>
          <w:szCs w:val="28"/>
          <w:highlight w:val="none"/>
          <w:lang w:val="en-US" w:eastAsia="zh-CN"/>
        </w:rPr>
        <w:t>片区655</w:t>
      </w:r>
      <w:r>
        <w:rPr>
          <w:rFonts w:hint="eastAsia" w:ascii="仿宋_GB2312"/>
          <w:bCs/>
          <w:color w:val="auto"/>
          <w:sz w:val="28"/>
          <w:szCs w:val="28"/>
          <w:highlight w:val="none"/>
        </w:rPr>
        <w:t>名城镇在园幼儿免费接受学前三年教育,资金主要用了在园幼儿的伙食费、取暖费、幼儿园日常活动经费等支出，扎实做好了学前教育各项工作，改善了受益群众的家庭经济情况，提高了学前教育普惠保障水平，完善学前教育体系，持续推进学前教育事业发展，满足了人民对幼有所育的期盼。</w:t>
      </w:r>
    </w:p>
    <w:p>
      <w:pPr>
        <w:pStyle w:val="4"/>
        <w:numPr>
          <w:ilvl w:val="0"/>
          <w:numId w:val="4"/>
        </w:numPr>
        <w:ind w:firstLine="643"/>
        <w:rPr>
          <w:color w:val="auto"/>
          <w:highlight w:val="none"/>
        </w:rPr>
      </w:pPr>
      <w:r>
        <w:rPr>
          <w:rFonts w:hint="eastAsia"/>
          <w:color w:val="auto"/>
          <w:highlight w:val="none"/>
        </w:rPr>
        <w:t>存在的问题及原因分析</w:t>
      </w:r>
    </w:p>
    <w:p>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1、项目绩效指标设置不规范，成本指标设置不明确，未有效反映项目资金支出计划，导致难以衡量成本指标支出控制情况。</w:t>
      </w:r>
    </w:p>
    <w:p>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2、项目绩效指标不便于衡量，由于2023年城乡义务教育生均公用经费（小学）来源有中央资金、自治区资金、县级配套资金，绩效目标设置时按照资金来源分别设置绩效目标表，导致对县级配套资金支出的印证材料难以单独证明，对项目整体情况难以全面评价，反映出单位人员对预算绩效管理还存在理解不到位的情况。</w:t>
      </w:r>
    </w:p>
    <w:p>
      <w:pPr>
        <w:pStyle w:val="3"/>
        <w:ind w:firstLine="640"/>
        <w:rPr>
          <w:color w:val="auto"/>
          <w:highlight w:val="none"/>
        </w:rPr>
      </w:pPr>
      <w:r>
        <w:rPr>
          <w:rFonts w:hint="eastAsia"/>
          <w:color w:val="auto"/>
          <w:highlight w:val="none"/>
          <w:lang w:eastAsia="zh-CN"/>
        </w:rPr>
        <w:t>七</w:t>
      </w:r>
      <w:r>
        <w:rPr>
          <w:rFonts w:hint="eastAsia"/>
          <w:color w:val="auto"/>
          <w:highlight w:val="none"/>
        </w:rPr>
        <w:t>、有关建议</w:t>
      </w:r>
    </w:p>
    <w:p>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1、建议将资金来源不同，但资金用途一致、受益对象一致的项目进行合并，编制一个绩效目标，对当年同一项目的追加资金通过绩效目标调整功能进行调整，以达到全面反映对项目全过程的目标。</w:t>
      </w:r>
    </w:p>
    <w:p>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2、建议加强预算绩效管理工作的学习和考核，提高相关人员的预算管理能力，将项目绩效目标按照预算编制情况和资金支出计划合理设置成本指标和指标值，以便对项目资金支出范围、支出控制情况进行跟进管理，实现资金使用效益最大化。</w:t>
      </w:r>
    </w:p>
    <w:p>
      <w:pPr>
        <w:spacing w:line="560" w:lineRule="exact"/>
        <w:ind w:firstLine="640" w:firstLineChars="200"/>
        <w:rPr>
          <w:rFonts w:hint="eastAsia" w:ascii="仿宋_GB2312" w:hAnsi="仿宋_GB2312" w:cs="仿宋_GB2312"/>
          <w:color w:val="auto"/>
          <w:sz w:val="28"/>
          <w:szCs w:val="28"/>
          <w:highlight w:val="none"/>
          <w:lang w:val="en-US" w:eastAsia="zh-CN"/>
        </w:rPr>
      </w:pPr>
      <w:r>
        <w:rPr>
          <w:rFonts w:hint="eastAsia" w:ascii="Times New Roman" w:hAnsi="Times New Roman" w:eastAsia="黑体" w:cs="Times New Roman"/>
          <w:color w:val="auto"/>
          <w:kern w:val="44"/>
          <w:sz w:val="32"/>
          <w:szCs w:val="22"/>
          <w:highlight w:val="none"/>
          <w:lang w:val="en-US" w:eastAsia="zh-CN" w:bidi="ar-SA"/>
        </w:rPr>
        <w:t>八、其他需要说明的问题</w:t>
      </w:r>
    </w:p>
    <w:p>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pPr>
        <w:pStyle w:val="3"/>
        <w:ind w:firstLine="640"/>
        <w:rPr>
          <w:color w:val="auto"/>
          <w:highlight w:val="none"/>
        </w:rPr>
      </w:pPr>
      <w:r>
        <w:rPr>
          <w:rFonts w:hint="eastAsia"/>
          <w:color w:val="auto"/>
          <w:highlight w:val="none"/>
          <w:lang w:eastAsia="zh-CN"/>
        </w:rPr>
        <w:t>九、</w:t>
      </w:r>
      <w:r>
        <w:rPr>
          <w:rFonts w:hint="eastAsia"/>
          <w:color w:val="auto"/>
          <w:highlight w:val="none"/>
        </w:rPr>
        <w:t>附表</w:t>
      </w:r>
    </w:p>
    <w:p>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pPr>
        <w:rPr>
          <w:rFonts w:hint="default"/>
          <w:color w:val="auto"/>
          <w:highlight w:val="none"/>
          <w:lang w:val="en-US" w:eastAsia="zh-CN"/>
        </w:rPr>
      </w:pPr>
    </w:p>
    <w:p>
      <w:pPr>
        <w:rPr>
          <w:color w:val="auto"/>
          <w:highlight w:val="none"/>
        </w:rPr>
      </w:pPr>
    </w:p>
    <w:sectPr>
      <w:footerReference r:id="rId9"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2">
    <w:nsid w:val="2C43E2C8"/>
    <w:multiLevelType w:val="singleLevel"/>
    <w:tmpl w:val="2C43E2C8"/>
    <w:lvl w:ilvl="0" w:tentative="0">
      <w:start w:val="3"/>
      <w:numFmt w:val="decimal"/>
      <w:lvlText w:val="%1."/>
      <w:lvlJc w:val="left"/>
      <w:pPr>
        <w:tabs>
          <w:tab w:val="left" w:pos="312"/>
        </w:tabs>
      </w:pPr>
    </w:lvl>
  </w:abstractNum>
  <w:abstractNum w:abstractNumId="3">
    <w:nsid w:val="4166511E"/>
    <w:multiLevelType w:val="singleLevel"/>
    <w:tmpl w:val="4166511E"/>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4NzdjMGQwZjU2MWJlNTM0OWUxNWY3OTM0ZDA2ODcifQ=="/>
  </w:docVars>
  <w:rsids>
    <w:rsidRoot w:val="00000000"/>
    <w:rsid w:val="00127582"/>
    <w:rsid w:val="00DE3F86"/>
    <w:rsid w:val="014A6AF2"/>
    <w:rsid w:val="022C2BA3"/>
    <w:rsid w:val="025956BB"/>
    <w:rsid w:val="02A62413"/>
    <w:rsid w:val="03642D73"/>
    <w:rsid w:val="03BF118F"/>
    <w:rsid w:val="04A6546B"/>
    <w:rsid w:val="04F4673E"/>
    <w:rsid w:val="05FA1E45"/>
    <w:rsid w:val="07166DCE"/>
    <w:rsid w:val="071C685B"/>
    <w:rsid w:val="0C590374"/>
    <w:rsid w:val="0C675DD7"/>
    <w:rsid w:val="0CFA4A8C"/>
    <w:rsid w:val="0F69792E"/>
    <w:rsid w:val="10937610"/>
    <w:rsid w:val="11C20118"/>
    <w:rsid w:val="1288063A"/>
    <w:rsid w:val="12A56C21"/>
    <w:rsid w:val="12E64D4C"/>
    <w:rsid w:val="13390737"/>
    <w:rsid w:val="135B692A"/>
    <w:rsid w:val="140C15D1"/>
    <w:rsid w:val="148E7382"/>
    <w:rsid w:val="167C0860"/>
    <w:rsid w:val="175353D7"/>
    <w:rsid w:val="17B35DB7"/>
    <w:rsid w:val="18982224"/>
    <w:rsid w:val="1A037B71"/>
    <w:rsid w:val="1A047263"/>
    <w:rsid w:val="1A765416"/>
    <w:rsid w:val="1B1801E4"/>
    <w:rsid w:val="1BC92A8F"/>
    <w:rsid w:val="1CD676AD"/>
    <w:rsid w:val="1CFA48ED"/>
    <w:rsid w:val="1E6C79BE"/>
    <w:rsid w:val="1FB8106C"/>
    <w:rsid w:val="200A2CF9"/>
    <w:rsid w:val="20374FAF"/>
    <w:rsid w:val="2054498F"/>
    <w:rsid w:val="21703D1E"/>
    <w:rsid w:val="223905D4"/>
    <w:rsid w:val="2493704D"/>
    <w:rsid w:val="2505497D"/>
    <w:rsid w:val="25D32AED"/>
    <w:rsid w:val="2644007A"/>
    <w:rsid w:val="266100F9"/>
    <w:rsid w:val="28153891"/>
    <w:rsid w:val="28651CF9"/>
    <w:rsid w:val="29BA1697"/>
    <w:rsid w:val="2A0722F0"/>
    <w:rsid w:val="2AA0481A"/>
    <w:rsid w:val="2B1732E2"/>
    <w:rsid w:val="2D035FCE"/>
    <w:rsid w:val="2DB568C2"/>
    <w:rsid w:val="2E941121"/>
    <w:rsid w:val="2FAF5F15"/>
    <w:rsid w:val="2FC938ED"/>
    <w:rsid w:val="306F163B"/>
    <w:rsid w:val="307236DE"/>
    <w:rsid w:val="31562E94"/>
    <w:rsid w:val="328637ED"/>
    <w:rsid w:val="332A4510"/>
    <w:rsid w:val="33BB2B0C"/>
    <w:rsid w:val="34197D30"/>
    <w:rsid w:val="345A3356"/>
    <w:rsid w:val="34651D60"/>
    <w:rsid w:val="34A03915"/>
    <w:rsid w:val="35496A51"/>
    <w:rsid w:val="356E624F"/>
    <w:rsid w:val="367A41E5"/>
    <w:rsid w:val="39330366"/>
    <w:rsid w:val="39C03EA5"/>
    <w:rsid w:val="3AB17BEE"/>
    <w:rsid w:val="3B0401FD"/>
    <w:rsid w:val="3B9C4EA4"/>
    <w:rsid w:val="3D397027"/>
    <w:rsid w:val="3DB040EC"/>
    <w:rsid w:val="3DEF4827"/>
    <w:rsid w:val="3F0331D2"/>
    <w:rsid w:val="3F4F30F7"/>
    <w:rsid w:val="3F6768FF"/>
    <w:rsid w:val="3FAD084D"/>
    <w:rsid w:val="40A2448B"/>
    <w:rsid w:val="41BB054D"/>
    <w:rsid w:val="41C85424"/>
    <w:rsid w:val="42B263BC"/>
    <w:rsid w:val="43D163CE"/>
    <w:rsid w:val="454442ED"/>
    <w:rsid w:val="468772B0"/>
    <w:rsid w:val="47A520E4"/>
    <w:rsid w:val="47ED377C"/>
    <w:rsid w:val="4A01554A"/>
    <w:rsid w:val="4ACE7E35"/>
    <w:rsid w:val="4B233142"/>
    <w:rsid w:val="4D6B4CF6"/>
    <w:rsid w:val="4E0D2791"/>
    <w:rsid w:val="4F5A6AE8"/>
    <w:rsid w:val="51034A9D"/>
    <w:rsid w:val="516756CC"/>
    <w:rsid w:val="51894824"/>
    <w:rsid w:val="52C55120"/>
    <w:rsid w:val="539435F4"/>
    <w:rsid w:val="53F8370C"/>
    <w:rsid w:val="54684850"/>
    <w:rsid w:val="552B61BF"/>
    <w:rsid w:val="558C043F"/>
    <w:rsid w:val="56877C24"/>
    <w:rsid w:val="569F1B7A"/>
    <w:rsid w:val="573A2E40"/>
    <w:rsid w:val="58A822FD"/>
    <w:rsid w:val="5ADA1C4D"/>
    <w:rsid w:val="5B1C5D82"/>
    <w:rsid w:val="5BBB47C4"/>
    <w:rsid w:val="5E2A1B5D"/>
    <w:rsid w:val="5E9D0F6C"/>
    <w:rsid w:val="5EBC5637"/>
    <w:rsid w:val="5ECB7A0E"/>
    <w:rsid w:val="609C79A1"/>
    <w:rsid w:val="60CA4585"/>
    <w:rsid w:val="61110188"/>
    <w:rsid w:val="62E7773E"/>
    <w:rsid w:val="63DE10E9"/>
    <w:rsid w:val="6419271A"/>
    <w:rsid w:val="65675E8C"/>
    <w:rsid w:val="65A36562"/>
    <w:rsid w:val="65DD31AE"/>
    <w:rsid w:val="65E9620C"/>
    <w:rsid w:val="67BC3C79"/>
    <w:rsid w:val="69B01D77"/>
    <w:rsid w:val="6A015733"/>
    <w:rsid w:val="6B3709F5"/>
    <w:rsid w:val="6BD523D2"/>
    <w:rsid w:val="6E0E5716"/>
    <w:rsid w:val="6E8B7C84"/>
    <w:rsid w:val="6ED01F5D"/>
    <w:rsid w:val="6FB870D9"/>
    <w:rsid w:val="705C3A7D"/>
    <w:rsid w:val="70DD2366"/>
    <w:rsid w:val="70F3572C"/>
    <w:rsid w:val="714F6A99"/>
    <w:rsid w:val="723D52D7"/>
    <w:rsid w:val="726E2CAC"/>
    <w:rsid w:val="73CA112B"/>
    <w:rsid w:val="740E280E"/>
    <w:rsid w:val="755E20FE"/>
    <w:rsid w:val="77FF12C1"/>
    <w:rsid w:val="78054355"/>
    <w:rsid w:val="78BE0E43"/>
    <w:rsid w:val="78C20DB3"/>
    <w:rsid w:val="797F3308"/>
    <w:rsid w:val="79F12A79"/>
    <w:rsid w:val="79F63EF5"/>
    <w:rsid w:val="7A3339FB"/>
    <w:rsid w:val="7B6F4839"/>
    <w:rsid w:val="7C00118E"/>
    <w:rsid w:val="7F0D1E11"/>
    <w:rsid w:val="7F48083C"/>
    <w:rsid w:val="7FAF3413"/>
    <w:rsid w:val="7FD8598D"/>
    <w:rsid w:val="7FF919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5">
    <w:name w:val="heading 3"/>
    <w:basedOn w:val="1"/>
    <w:next w:val="1"/>
    <w:qFormat/>
    <w:uiPriority w:val="99"/>
    <w:pPr>
      <w:keepNext/>
      <w:keepLines/>
      <w:ind w:firstLine="883"/>
      <w:outlineLvl w:val="2"/>
    </w:pPr>
    <w:rPr>
      <w:rFonts w:ascii="仿宋_GB2312" w:hAnsi="仿宋_GB2312"/>
      <w:b/>
      <w:bCs/>
      <w:kern w:val="0"/>
      <w:szCs w:val="32"/>
    </w:rPr>
  </w:style>
  <w:style w:type="paragraph" w:styleId="6">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正文文本缩进 21"/>
    <w:basedOn w:val="1"/>
    <w:qFormat/>
    <w:uiPriority w:val="0"/>
    <w:pPr>
      <w:spacing w:afterLines="0" w:line="480" w:lineRule="auto"/>
      <w:ind w:left="420" w:leftChars="200"/>
    </w:pPr>
    <w:rPr>
      <w:szCs w:val="24"/>
    </w:rPr>
  </w:style>
  <w:style w:type="paragraph" w:styleId="7">
    <w:name w:val="annotation text"/>
    <w:basedOn w:val="1"/>
    <w:qFormat/>
    <w:uiPriority w:val="0"/>
    <w:pPr>
      <w:jc w:val="left"/>
    </w:pPr>
  </w:style>
  <w:style w:type="paragraph" w:styleId="8">
    <w:name w:val="Body Text"/>
    <w:basedOn w:val="1"/>
    <w:next w:val="9"/>
    <w:qFormat/>
    <w:uiPriority w:val="0"/>
  </w:style>
  <w:style w:type="paragraph" w:styleId="9">
    <w:name w:val="Body Text 2"/>
    <w:basedOn w:val="1"/>
    <w:qFormat/>
    <w:uiPriority w:val="0"/>
    <w:pPr>
      <w:spacing w:after="120" w:line="480" w:lineRule="auto"/>
    </w:pPr>
    <w:rPr>
      <w:rFonts w:ascii="Times New Roman" w:hAnsi="Times New Roman" w:eastAsia="宋体" w:cs="Times New Roman"/>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2">
    <w:name w:val="Normal (Web)"/>
    <w:basedOn w:val="1"/>
    <w:qFormat/>
    <w:uiPriority w:val="0"/>
    <w:pPr>
      <w:spacing w:beforeAutospacing="1" w:afterAutospacing="1"/>
      <w:jc w:val="left"/>
    </w:pPr>
    <w:rPr>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10558</Words>
  <Characters>11242</Characters>
  <Lines>0</Lines>
  <Paragraphs>0</Paragraphs>
  <TotalTime>16</TotalTime>
  <ScaleCrop>false</ScaleCrop>
  <LinksUpToDate>false</LinksUpToDate>
  <CharactersWithSpaces>11248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2024-08-19T11:50:56Z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60DD2C802D114C81B3758316795F5C97_12</vt:lpwstr>
  </property>
</Properties>
</file>