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688B1C">
      <w:pPr>
        <w:jc w:val="center"/>
        <w:rPr>
          <w:rFonts w:ascii="宋体" w:hAnsi="宋体" w:eastAsia="宋体" w:cs="Arial"/>
          <w:b/>
          <w:bCs/>
          <w:color w:val="auto"/>
          <w:sz w:val="36"/>
          <w:szCs w:val="36"/>
          <w:highlight w:val="none"/>
        </w:rPr>
      </w:pPr>
    </w:p>
    <w:p w14:paraId="522BAF9D">
      <w:pPr>
        <w:jc w:val="center"/>
        <w:rPr>
          <w:rFonts w:ascii="宋体" w:hAnsi="宋体" w:eastAsia="宋体" w:cs="Arial"/>
          <w:b/>
          <w:bCs/>
          <w:color w:val="auto"/>
          <w:sz w:val="36"/>
          <w:szCs w:val="36"/>
          <w:highlight w:val="none"/>
        </w:rPr>
      </w:pPr>
    </w:p>
    <w:p w14:paraId="4962121C">
      <w:pPr>
        <w:jc w:val="center"/>
        <w:rPr>
          <w:rFonts w:ascii="宋体" w:hAnsi="宋体" w:eastAsia="宋体" w:cs="Arial"/>
          <w:b/>
          <w:bCs/>
          <w:color w:val="auto"/>
          <w:sz w:val="36"/>
          <w:szCs w:val="36"/>
          <w:highlight w:val="none"/>
        </w:rPr>
      </w:pPr>
    </w:p>
    <w:p w14:paraId="25B25AAE">
      <w:pPr>
        <w:spacing w:line="240" w:lineRule="atLeast"/>
        <w:jc w:val="center"/>
        <w:rPr>
          <w:rFonts w:ascii="黑体" w:hAnsi="黑体" w:eastAsia="黑体" w:cs="黑体"/>
          <w:b/>
          <w:bCs/>
          <w:color w:val="auto"/>
          <w:sz w:val="40"/>
          <w:szCs w:val="40"/>
          <w:highlight w:val="none"/>
        </w:rPr>
      </w:pPr>
      <w:r>
        <w:rPr>
          <w:rFonts w:hint="eastAsia" w:ascii="黑体" w:hAnsi="黑体" w:eastAsia="黑体" w:cs="黑体"/>
          <w:b/>
          <w:bCs/>
          <w:color w:val="auto"/>
          <w:sz w:val="40"/>
          <w:szCs w:val="40"/>
          <w:highlight w:val="none"/>
        </w:rPr>
        <w:t>2023年学生资助补助中央直达资金-</w:t>
      </w:r>
      <w:r>
        <w:rPr>
          <w:rFonts w:hint="eastAsia" w:ascii="黑体" w:hAnsi="黑体" w:eastAsia="黑体" w:cs="黑体"/>
          <w:b/>
          <w:bCs/>
          <w:color w:val="auto"/>
          <w:sz w:val="40"/>
          <w:szCs w:val="40"/>
          <w:highlight w:val="none"/>
          <w:lang w:val="en-US" w:eastAsia="zh-CN"/>
        </w:rPr>
        <w:t>技工</w:t>
      </w:r>
      <w:r>
        <w:rPr>
          <w:rFonts w:hint="eastAsia" w:ascii="黑体" w:hAnsi="黑体" w:eastAsia="黑体" w:cs="黑体"/>
          <w:b/>
          <w:bCs/>
          <w:color w:val="auto"/>
          <w:sz w:val="40"/>
          <w:szCs w:val="40"/>
          <w:highlight w:val="none"/>
        </w:rPr>
        <w:t>免学费项目支出绩效评价报告</w:t>
      </w:r>
    </w:p>
    <w:p w14:paraId="67C6D007">
      <w:pPr>
        <w:spacing w:line="240" w:lineRule="atLeast"/>
        <w:jc w:val="center"/>
        <w:rPr>
          <w:rFonts w:ascii="宋体" w:hAnsi="宋体" w:eastAsia="宋体" w:cs="Arial"/>
          <w:b/>
          <w:bCs/>
          <w:color w:val="auto"/>
          <w:sz w:val="36"/>
          <w:szCs w:val="36"/>
          <w:highlight w:val="none"/>
        </w:rPr>
      </w:pPr>
    </w:p>
    <w:p w14:paraId="6574218B">
      <w:pPr>
        <w:spacing w:line="240" w:lineRule="atLeast"/>
        <w:jc w:val="center"/>
        <w:rPr>
          <w:rFonts w:ascii="宋体" w:hAnsi="宋体" w:eastAsia="宋体" w:cs="Arial"/>
          <w:b/>
          <w:bCs/>
          <w:color w:val="auto"/>
          <w:sz w:val="36"/>
          <w:szCs w:val="36"/>
          <w:highlight w:val="none"/>
        </w:rPr>
      </w:pPr>
    </w:p>
    <w:p w14:paraId="5E86AC88">
      <w:pPr>
        <w:spacing w:line="240" w:lineRule="atLeast"/>
        <w:jc w:val="center"/>
        <w:rPr>
          <w:rFonts w:ascii="宋体" w:hAnsi="宋体" w:eastAsia="宋体" w:cs="Arial"/>
          <w:b/>
          <w:bCs/>
          <w:color w:val="auto"/>
          <w:sz w:val="36"/>
          <w:szCs w:val="36"/>
          <w:highlight w:val="none"/>
        </w:rPr>
      </w:pPr>
    </w:p>
    <w:p w14:paraId="0C150AF6">
      <w:pPr>
        <w:spacing w:line="240" w:lineRule="atLeast"/>
        <w:jc w:val="center"/>
        <w:rPr>
          <w:rFonts w:ascii="宋体" w:hAnsi="宋体" w:eastAsia="宋体" w:cs="Arial"/>
          <w:b/>
          <w:bCs/>
          <w:color w:val="auto"/>
          <w:sz w:val="36"/>
          <w:szCs w:val="36"/>
          <w:highlight w:val="none"/>
        </w:rPr>
      </w:pPr>
    </w:p>
    <w:p w14:paraId="0443FAD5">
      <w:pPr>
        <w:spacing w:line="240" w:lineRule="atLeast"/>
        <w:jc w:val="center"/>
        <w:rPr>
          <w:rFonts w:ascii="宋体" w:hAnsi="宋体" w:eastAsia="宋体" w:cs="Arial"/>
          <w:b/>
          <w:bCs/>
          <w:color w:val="auto"/>
          <w:sz w:val="36"/>
          <w:szCs w:val="36"/>
          <w:highlight w:val="none"/>
        </w:rPr>
      </w:pPr>
    </w:p>
    <w:p w14:paraId="5BA57742">
      <w:pPr>
        <w:spacing w:line="240" w:lineRule="atLeast"/>
        <w:jc w:val="center"/>
        <w:rPr>
          <w:rFonts w:ascii="宋体" w:hAnsi="宋体" w:eastAsia="宋体" w:cs="Arial"/>
          <w:b/>
          <w:bCs/>
          <w:color w:val="auto"/>
          <w:sz w:val="36"/>
          <w:szCs w:val="36"/>
          <w:highlight w:val="none"/>
        </w:rPr>
      </w:pPr>
    </w:p>
    <w:p w14:paraId="7F87741E">
      <w:pPr>
        <w:spacing w:line="240" w:lineRule="auto"/>
        <w:jc w:val="center"/>
        <w:rPr>
          <w:rFonts w:ascii="宋体" w:hAnsi="宋体" w:eastAsia="宋体" w:cs="Arial"/>
          <w:b/>
          <w:bCs/>
          <w:color w:val="auto"/>
          <w:sz w:val="36"/>
          <w:szCs w:val="36"/>
          <w:highlight w:val="none"/>
        </w:rPr>
      </w:pPr>
    </w:p>
    <w:p w14:paraId="38161098">
      <w:pPr>
        <w:spacing w:line="360" w:lineRule="auto"/>
        <w:ind w:firstLine="600"/>
        <w:rPr>
          <w:rFonts w:ascii="黑体" w:eastAsia="黑体"/>
          <w:color w:val="auto"/>
          <w:sz w:val="32"/>
          <w:szCs w:val="32"/>
          <w:highlight w:val="none"/>
        </w:rPr>
      </w:pPr>
      <w:r>
        <w:rPr>
          <w:rFonts w:hint="eastAsia" w:ascii="黑体" w:eastAsia="黑体"/>
          <w:color w:val="auto"/>
          <w:sz w:val="32"/>
          <w:szCs w:val="32"/>
          <w:highlight w:val="none"/>
        </w:rPr>
        <w:t>项目名称：2023年学生资助补助中央直达资金-技工免学费</w:t>
      </w:r>
    </w:p>
    <w:p w14:paraId="5A0AAFA0">
      <w:pPr>
        <w:spacing w:line="360" w:lineRule="auto"/>
        <w:ind w:firstLine="600"/>
        <w:rPr>
          <w:rFonts w:hint="eastAsia" w:ascii="黑体" w:eastAsia="黑体"/>
          <w:color w:val="auto"/>
          <w:sz w:val="32"/>
          <w:szCs w:val="32"/>
          <w:highlight w:val="none"/>
          <w:lang w:eastAsia="zh-CN"/>
        </w:rPr>
      </w:pPr>
      <w:r>
        <w:rPr>
          <w:rFonts w:hint="eastAsia" w:ascii="黑体" w:eastAsia="黑体"/>
          <w:color w:val="auto"/>
          <w:sz w:val="32"/>
          <w:szCs w:val="32"/>
          <w:highlight w:val="none"/>
        </w:rPr>
        <w:t>实施单位（公章）：</w:t>
      </w:r>
      <w:r>
        <w:rPr>
          <w:rFonts w:hint="eastAsia" w:ascii="黑体" w:eastAsia="黑体"/>
          <w:color w:val="auto"/>
          <w:sz w:val="32"/>
          <w:szCs w:val="32"/>
          <w:highlight w:val="none"/>
          <w:lang w:eastAsia="zh-CN"/>
        </w:rPr>
        <w:t>托克逊县技工学校</w:t>
      </w:r>
    </w:p>
    <w:p w14:paraId="2F565A1B">
      <w:pPr>
        <w:spacing w:line="360" w:lineRule="auto"/>
        <w:ind w:firstLine="600"/>
        <w:rPr>
          <w:rFonts w:hint="eastAsia" w:ascii="黑体" w:eastAsia="黑体"/>
          <w:color w:val="auto"/>
          <w:sz w:val="32"/>
          <w:szCs w:val="32"/>
          <w:highlight w:val="none"/>
          <w:lang w:eastAsia="zh-CN"/>
        </w:rPr>
      </w:pPr>
      <w:r>
        <w:rPr>
          <w:rFonts w:hint="eastAsia" w:ascii="黑体" w:eastAsia="黑体"/>
          <w:color w:val="auto"/>
          <w:sz w:val="32"/>
          <w:szCs w:val="32"/>
          <w:highlight w:val="none"/>
        </w:rPr>
        <w:t>项目负责人（签章）：</w:t>
      </w:r>
      <w:r>
        <w:rPr>
          <w:rFonts w:hint="eastAsia" w:ascii="黑体" w:eastAsia="黑体"/>
          <w:color w:val="auto"/>
          <w:sz w:val="32"/>
          <w:szCs w:val="32"/>
          <w:highlight w:val="none"/>
          <w:lang w:eastAsia="zh-CN"/>
        </w:rPr>
        <w:t>吴东风</w:t>
      </w:r>
    </w:p>
    <w:p w14:paraId="3A132E52">
      <w:pPr>
        <w:spacing w:line="360" w:lineRule="auto"/>
        <w:ind w:firstLine="600"/>
        <w:rPr>
          <w:rFonts w:hint="default" w:ascii="黑体" w:eastAsia="黑体"/>
          <w:color w:val="auto"/>
          <w:sz w:val="30"/>
          <w:szCs w:val="30"/>
          <w:highlight w:val="none"/>
          <w:lang w:val="en-US" w:eastAsia="zh-CN"/>
        </w:rPr>
        <w:sectPr>
          <w:headerReference r:id="rId7" w:type="first"/>
          <w:footerReference r:id="rId10" w:type="first"/>
          <w:headerReference r:id="rId5" w:type="default"/>
          <w:footerReference r:id="rId8" w:type="default"/>
          <w:headerReference r:id="rId6" w:type="even"/>
          <w:footerReference r:id="rId9" w:type="even"/>
          <w:pgSz w:w="11906" w:h="16838"/>
          <w:pgMar w:top="1928" w:right="1531" w:bottom="1701" w:left="1531" w:header="737" w:footer="851" w:gutter="0"/>
          <w:cols w:space="720" w:num="1"/>
          <w:docGrid w:type="lines" w:linePitch="408" w:charSpace="0"/>
        </w:sectPr>
      </w:pPr>
      <w:r>
        <w:rPr>
          <w:rFonts w:hint="eastAsia" w:ascii="黑体" w:eastAsia="黑体"/>
          <w:color w:val="auto"/>
          <w:sz w:val="32"/>
          <w:szCs w:val="32"/>
          <w:highlight w:val="none"/>
        </w:rPr>
        <w:t>填报时间：202</w:t>
      </w:r>
      <w:r>
        <w:rPr>
          <w:rFonts w:hint="eastAsia" w:ascii="黑体" w:eastAsia="黑体"/>
          <w:color w:val="auto"/>
          <w:sz w:val="32"/>
          <w:szCs w:val="32"/>
          <w:highlight w:val="none"/>
          <w:lang w:val="en-US" w:eastAsia="zh-CN"/>
        </w:rPr>
        <w:t>4</w:t>
      </w:r>
      <w:r>
        <w:rPr>
          <w:rFonts w:hint="eastAsia" w:ascii="黑体" w:eastAsia="黑体"/>
          <w:color w:val="auto"/>
          <w:sz w:val="32"/>
          <w:szCs w:val="32"/>
          <w:highlight w:val="none"/>
        </w:rPr>
        <w:t>年</w:t>
      </w:r>
      <w:r>
        <w:rPr>
          <w:rFonts w:hint="eastAsia" w:ascii="黑体" w:eastAsia="黑体"/>
          <w:color w:val="auto"/>
          <w:sz w:val="32"/>
          <w:szCs w:val="32"/>
          <w:highlight w:val="none"/>
          <w:lang w:val="en-US" w:eastAsia="zh-CN"/>
        </w:rPr>
        <w:t>4</w:t>
      </w:r>
      <w:r>
        <w:rPr>
          <w:rFonts w:hint="eastAsia" w:ascii="黑体" w:eastAsia="黑体"/>
          <w:color w:val="auto"/>
          <w:sz w:val="32"/>
          <w:szCs w:val="32"/>
          <w:highlight w:val="none"/>
        </w:rPr>
        <w:t>月</w:t>
      </w:r>
      <w:r>
        <w:rPr>
          <w:rFonts w:hint="eastAsia" w:ascii="黑体" w:eastAsia="黑体"/>
          <w:color w:val="auto"/>
          <w:sz w:val="32"/>
          <w:szCs w:val="32"/>
          <w:highlight w:val="none"/>
          <w:lang w:val="en-US" w:eastAsia="zh-CN"/>
        </w:rPr>
        <w:t>17日</w:t>
      </w:r>
    </w:p>
    <w:p w14:paraId="0F1704BD">
      <w:pPr>
        <w:spacing w:line="240" w:lineRule="atLeast"/>
        <w:jc w:val="center"/>
        <w:rPr>
          <w:rFonts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rPr>
        <w:t>2023年学生资助补助中央直达资金-技工免学费项目支出绩效评价报告</w:t>
      </w:r>
    </w:p>
    <w:p w14:paraId="575673F0">
      <w:pPr>
        <w:pStyle w:val="3"/>
        <w:ind w:firstLine="640"/>
        <w:rPr>
          <w:color w:val="auto"/>
          <w:highlight w:val="none"/>
        </w:rPr>
      </w:pPr>
      <w:r>
        <w:rPr>
          <w:rFonts w:hint="eastAsia"/>
          <w:color w:val="auto"/>
          <w:highlight w:val="none"/>
        </w:rPr>
        <w:t>一、基本情况</w:t>
      </w:r>
    </w:p>
    <w:p w14:paraId="05073FF9">
      <w:pPr>
        <w:pStyle w:val="4"/>
        <w:ind w:firstLine="643"/>
        <w:rPr>
          <w:color w:val="auto"/>
          <w:highlight w:val="none"/>
        </w:rPr>
      </w:pPr>
      <w:r>
        <w:rPr>
          <w:rFonts w:hint="eastAsia"/>
          <w:color w:val="auto"/>
          <w:highlight w:val="none"/>
        </w:rPr>
        <w:t>（一）项目概况</w:t>
      </w:r>
    </w:p>
    <w:p w14:paraId="636771A2">
      <w:pPr>
        <w:pStyle w:val="2"/>
        <w:ind w:firstLine="562"/>
        <w:rPr>
          <w:color w:val="auto"/>
          <w:highlight w:val="none"/>
        </w:rPr>
      </w:pPr>
      <w:r>
        <w:rPr>
          <w:rFonts w:hint="eastAsia"/>
          <w:color w:val="auto"/>
          <w:highlight w:val="none"/>
        </w:rPr>
        <w:t>1.项目背景</w:t>
      </w:r>
    </w:p>
    <w:p w14:paraId="4E74E942">
      <w:pPr>
        <w:ind w:firstLine="560"/>
        <w:rPr>
          <w:color w:val="auto"/>
          <w:highlight w:val="none"/>
        </w:rPr>
      </w:pPr>
      <w:r>
        <w:rPr>
          <w:rFonts w:hint="eastAsia"/>
          <w:color w:val="auto"/>
          <w:highlight w:val="none"/>
        </w:rPr>
        <w:t xml:space="preserve">根据财政部、教育部人力资源社会保障部、退役军人部、中央军委国防动员部联合印发《学生资助资金管理办法》(财科教〔2019〕19号)，文件中指出资助中等职业学校生源地为南疆四地州全日制学历教育正式学籍一、二年级学生和生源地为其他地(州、市)全日制学历教育正式学籍一、二年级涉农专业学生和非涉农专业家庭经济困难学生。南疆四地州以外的非涉农专业家庭经济困难学生按照在校生20%确定。平均资助标准每生每年2000元，具体标准由各校结合实际在 1000-3000 元范围内自主确定，可以分为 2-3档。从2014年起对全日制中等职业学校一、二、三年级的学生试行全免费，免学费补助资金由中央和自治区本级按照8:2比例分担，免学费标准根据价格主管部门批准的中等职业学校各专业收费标准予以补助。免学费资金用于保障中等职业学校正常运转经费，减轻家庭经济困难学生经济负担。 </w:t>
      </w:r>
      <w:r>
        <w:rPr>
          <w:color w:val="auto"/>
          <w:highlight w:val="none"/>
        </w:rPr>
        <w:t xml:space="preserve">       </w:t>
      </w:r>
    </w:p>
    <w:p w14:paraId="2C3F6BEB">
      <w:pPr>
        <w:ind w:left="0" w:leftChars="0" w:firstLine="560" w:firstLineChars="200"/>
        <w:rPr>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）技校</w:t>
      </w:r>
      <w:r>
        <w:rPr>
          <w:rFonts w:hint="eastAsia"/>
          <w:color w:val="auto"/>
          <w:highlight w:val="none"/>
        </w:rPr>
        <w:t>教育各项国家资助按规定得到落实。</w:t>
      </w:r>
    </w:p>
    <w:p w14:paraId="6C84EBCD">
      <w:pPr>
        <w:pageBreakBefore w:val="0"/>
        <w:widowControl w:val="0"/>
        <w:numPr>
          <w:ilvl w:val="0"/>
          <w:numId w:val="0"/>
        </w:numPr>
        <w:kinsoku/>
        <w:wordWrap/>
        <w:overflowPunct/>
        <w:topLinePunct w:val="0"/>
        <w:autoSpaceDE/>
        <w:autoSpaceDN/>
        <w:bidi w:val="0"/>
        <w:adjustRightInd/>
        <w:snapToGrid/>
        <w:ind w:leftChars="200"/>
        <w:textAlignment w:val="auto"/>
        <w:rPr>
          <w:color w:val="auto"/>
          <w:highlight w:val="none"/>
        </w:rPr>
      </w:pP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rPr>
        <w:t>教育公平显著提升，满足家庭经济困难学生基本学生生活需要。</w:t>
      </w:r>
    </w:p>
    <w:p w14:paraId="0FF132E7">
      <w:pPr>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3</w:t>
      </w:r>
      <w:r>
        <w:rPr>
          <w:rFonts w:hint="eastAsia"/>
          <w:color w:val="auto"/>
          <w:highlight w:val="none"/>
          <w:lang w:eastAsia="zh-CN"/>
        </w:rPr>
        <w:t>）减轻贫困家庭经济压力，助力家庭脱贫，帮助学生顺利完成学业。</w:t>
      </w:r>
    </w:p>
    <w:p w14:paraId="00A8A916">
      <w:pPr>
        <w:pStyle w:val="2"/>
        <w:ind w:firstLine="562"/>
        <w:rPr>
          <w:rFonts w:hint="eastAsia" w:ascii="Times New Roman" w:hAnsi="Times New Roman"/>
          <w:b w:val="0"/>
          <w:bCs w:val="0"/>
          <w:color w:val="auto"/>
          <w:kern w:val="2"/>
          <w:szCs w:val="24"/>
          <w:highlight w:val="none"/>
        </w:rPr>
      </w:pPr>
      <w:r>
        <w:rPr>
          <w:rFonts w:hint="eastAsia" w:ascii="Times New Roman" w:hAnsi="Times New Roman"/>
          <w:b w:val="0"/>
          <w:bCs w:val="0"/>
          <w:color w:val="auto"/>
          <w:kern w:val="2"/>
          <w:szCs w:val="24"/>
          <w:highlight w:val="none"/>
        </w:rPr>
        <w:t>为了更好的提升学校教育教学工作，推进</w:t>
      </w:r>
      <w:r>
        <w:rPr>
          <w:rFonts w:hint="eastAsia" w:ascii="Times New Roman" w:hAnsi="Times New Roman"/>
          <w:b w:val="0"/>
          <w:bCs w:val="0"/>
          <w:color w:val="auto"/>
          <w:kern w:val="2"/>
          <w:szCs w:val="24"/>
          <w:highlight w:val="none"/>
          <w:lang w:eastAsia="zh-CN"/>
        </w:rPr>
        <w:t>技校</w:t>
      </w:r>
      <w:r>
        <w:rPr>
          <w:rFonts w:hint="eastAsia" w:ascii="Times New Roman" w:hAnsi="Times New Roman"/>
          <w:b w:val="0"/>
          <w:bCs w:val="0"/>
          <w:color w:val="auto"/>
          <w:kern w:val="2"/>
          <w:szCs w:val="24"/>
          <w:highlight w:val="none"/>
        </w:rPr>
        <w:t>教育的均衡发展，促进教育公平，减轻学生及家长的负担，</w:t>
      </w:r>
      <w:r>
        <w:rPr>
          <w:rFonts w:hint="eastAsia" w:ascii="Times New Roman" w:hAnsi="Times New Roman"/>
          <w:b w:val="0"/>
          <w:bCs w:val="0"/>
          <w:color w:val="auto"/>
          <w:kern w:val="2"/>
          <w:szCs w:val="24"/>
          <w:highlight w:val="none"/>
          <w:lang w:eastAsia="zh-CN"/>
        </w:rPr>
        <w:t>为托克逊</w:t>
      </w:r>
      <w:r>
        <w:rPr>
          <w:rFonts w:hint="eastAsia" w:ascii="Times New Roman" w:hAnsi="Times New Roman"/>
          <w:b w:val="0"/>
          <w:bCs w:val="0"/>
          <w:color w:val="auto"/>
          <w:kern w:val="2"/>
          <w:szCs w:val="24"/>
          <w:highlight w:val="none"/>
        </w:rPr>
        <w:t>经济发展培养技能型人才。</w:t>
      </w:r>
    </w:p>
    <w:p w14:paraId="1F30E6EC">
      <w:pPr>
        <w:pStyle w:val="2"/>
        <w:ind w:firstLine="562"/>
        <w:rPr>
          <w:color w:val="auto"/>
          <w:highlight w:val="none"/>
        </w:rPr>
      </w:pPr>
      <w:r>
        <w:rPr>
          <w:rFonts w:hint="eastAsia"/>
          <w:color w:val="auto"/>
          <w:highlight w:val="none"/>
        </w:rPr>
        <w:t>2.项目实施主体</w:t>
      </w:r>
    </w:p>
    <w:p w14:paraId="0621A68C">
      <w:pPr>
        <w:ind w:firstLine="562"/>
        <w:rPr>
          <w:rFonts w:hint="eastAsia"/>
          <w:b/>
          <w:color w:val="auto"/>
          <w:highlight w:val="none"/>
        </w:rPr>
      </w:pPr>
      <w:r>
        <w:rPr>
          <w:rFonts w:hint="eastAsia"/>
          <w:b/>
          <w:color w:val="auto"/>
          <w:highlight w:val="none"/>
        </w:rPr>
        <w:t>（1）单位职能</w:t>
      </w:r>
    </w:p>
    <w:p w14:paraId="1F20F240">
      <w:pPr>
        <w:ind w:firstLine="840" w:firstLineChars="300"/>
        <w:rPr>
          <w:rFonts w:hint="eastAsia"/>
          <w:color w:val="auto"/>
          <w:highlight w:val="none"/>
          <w:lang w:eastAsia="zh-CN"/>
        </w:rPr>
      </w:pPr>
      <w:r>
        <w:rPr>
          <w:rFonts w:hint="eastAsia"/>
          <w:color w:val="auto"/>
          <w:highlight w:val="none"/>
          <w:lang w:eastAsia="zh-CN"/>
        </w:rPr>
        <w:t>贯彻落实党和国家的教育路线、方针、政策;研究制定学校发展规划和规章制度，确定办学定位，保障依法办学;为实现新疆社会稳定和长治久安总目标以及社会经济发展需要，面向从事一产二产三产所有农村劳动力重点培训群体，实施国家通用语言文字、政策法规、职业技能和适用技术等培训课程、联合县域内各行业龙头企业，探索校企合作新模式，积极开展“以需定培”的模式，积极开展“以需定培”的职业技能培训。</w:t>
      </w:r>
    </w:p>
    <w:p w14:paraId="437DBD10">
      <w:pPr>
        <w:ind w:firstLine="560"/>
        <w:rPr>
          <w:color w:val="auto"/>
          <w:highlight w:val="none"/>
        </w:rPr>
      </w:pPr>
      <w:r>
        <w:rPr>
          <w:rFonts w:hint="eastAsia"/>
          <w:color w:val="auto"/>
          <w:highlight w:val="none"/>
          <w:lang w:eastAsia="zh-CN"/>
        </w:rPr>
        <w:t>负责组织初中毕业学生开展职业技术教育，</w:t>
      </w:r>
      <w:r>
        <w:rPr>
          <w:rFonts w:hint="eastAsia"/>
          <w:color w:val="auto"/>
          <w:highlight w:val="none"/>
        </w:rPr>
        <w:t>为</w:t>
      </w:r>
      <w:r>
        <w:rPr>
          <w:rFonts w:hint="eastAsia"/>
          <w:color w:val="auto"/>
          <w:highlight w:val="none"/>
          <w:lang w:eastAsia="zh-CN"/>
        </w:rPr>
        <w:t>托克逊</w:t>
      </w:r>
      <w:r>
        <w:rPr>
          <w:rFonts w:hint="eastAsia"/>
          <w:color w:val="auto"/>
          <w:highlight w:val="none"/>
        </w:rPr>
        <w:t>县培养高质量的、高中学历技术人才。</w:t>
      </w:r>
    </w:p>
    <w:p w14:paraId="0277815E">
      <w:pPr>
        <w:numPr>
          <w:ilvl w:val="0"/>
          <w:numId w:val="2"/>
        </w:numPr>
        <w:ind w:left="0" w:leftChars="0" w:firstLine="560" w:firstLineChars="200"/>
        <w:rPr>
          <w:color w:val="auto"/>
          <w:highlight w:val="none"/>
        </w:rPr>
      </w:pPr>
      <w:r>
        <w:rPr>
          <w:rFonts w:hint="eastAsia"/>
          <w:color w:val="auto"/>
          <w:highlight w:val="none"/>
        </w:rPr>
        <w:t>贯彻执行党的教育方针、政策。</w:t>
      </w:r>
    </w:p>
    <w:p w14:paraId="1C1BA612">
      <w:pPr>
        <w:numPr>
          <w:ilvl w:val="0"/>
          <w:numId w:val="2"/>
        </w:numPr>
        <w:ind w:left="0" w:leftChars="0" w:firstLine="560" w:firstLineChars="200"/>
        <w:rPr>
          <w:color w:val="auto"/>
          <w:highlight w:val="none"/>
        </w:rPr>
      </w:pPr>
      <w:r>
        <w:rPr>
          <w:rFonts w:hint="eastAsia"/>
          <w:color w:val="auto"/>
          <w:highlight w:val="none"/>
        </w:rPr>
        <w:t>根据教学、培训任务要求，制定教学方案和教学大纲．加强教学实训基地建设，研究和改良教学方法 提高教学水平</w:t>
      </w:r>
    </w:p>
    <w:p w14:paraId="176F89F7">
      <w:pPr>
        <w:numPr>
          <w:ilvl w:val="0"/>
          <w:numId w:val="2"/>
        </w:numPr>
        <w:ind w:left="0" w:leftChars="0" w:firstLine="560" w:firstLineChars="200"/>
        <w:rPr>
          <w:color w:val="auto"/>
          <w:highlight w:val="none"/>
        </w:rPr>
      </w:pPr>
      <w:r>
        <w:rPr>
          <w:rFonts w:hint="eastAsia"/>
          <w:color w:val="auto"/>
          <w:highlight w:val="none"/>
        </w:rPr>
        <w:t>组织编制和实施学校的长期规划、年度方案和学期方案。</w:t>
      </w:r>
    </w:p>
    <w:p w14:paraId="3B3620DE">
      <w:pPr>
        <w:numPr>
          <w:ilvl w:val="0"/>
          <w:numId w:val="2"/>
        </w:numPr>
        <w:ind w:left="0" w:leftChars="0" w:firstLine="560" w:firstLineChars="200"/>
        <w:rPr>
          <w:color w:val="auto"/>
          <w:highlight w:val="none"/>
        </w:rPr>
      </w:pPr>
      <w:r>
        <w:rPr>
          <w:rFonts w:hint="eastAsia"/>
          <w:color w:val="auto"/>
          <w:highlight w:val="none"/>
        </w:rPr>
        <w:t>负责设施幼儿教育、酒店管理等专业的教育教学及实训工作。</w:t>
      </w:r>
    </w:p>
    <w:p w14:paraId="25896372">
      <w:pPr>
        <w:numPr>
          <w:ilvl w:val="0"/>
          <w:numId w:val="2"/>
        </w:numPr>
        <w:ind w:left="0" w:leftChars="0" w:firstLine="560" w:firstLineChars="200"/>
        <w:rPr>
          <w:color w:val="auto"/>
          <w:highlight w:val="none"/>
        </w:rPr>
      </w:pPr>
      <w:r>
        <w:rPr>
          <w:rFonts w:hint="eastAsia"/>
          <w:color w:val="auto"/>
          <w:highlight w:val="none"/>
        </w:rPr>
        <w:t>负责</w:t>
      </w:r>
      <w:r>
        <w:rPr>
          <w:rFonts w:hint="eastAsia"/>
          <w:color w:val="auto"/>
          <w:highlight w:val="none"/>
          <w:lang w:eastAsia="zh-CN"/>
        </w:rPr>
        <w:t>室内设计</w:t>
      </w:r>
      <w:r>
        <w:rPr>
          <w:rFonts w:hint="eastAsia"/>
          <w:color w:val="auto"/>
          <w:highlight w:val="none"/>
        </w:rPr>
        <w:t>、</w:t>
      </w:r>
      <w:r>
        <w:rPr>
          <w:rFonts w:hint="eastAsia"/>
          <w:color w:val="auto"/>
          <w:highlight w:val="none"/>
          <w:lang w:eastAsia="zh-CN"/>
        </w:rPr>
        <w:t>家政服务</w:t>
      </w:r>
      <w:r>
        <w:rPr>
          <w:rFonts w:hint="eastAsia"/>
          <w:color w:val="auto"/>
          <w:highlight w:val="none"/>
        </w:rPr>
        <w:t>、</w:t>
      </w:r>
      <w:r>
        <w:rPr>
          <w:rFonts w:hint="eastAsia"/>
          <w:color w:val="auto"/>
          <w:highlight w:val="none"/>
          <w:lang w:eastAsia="zh-CN"/>
        </w:rPr>
        <w:t>美容美发、汽车维修、机电技术</w:t>
      </w:r>
      <w:r>
        <w:rPr>
          <w:rFonts w:hint="eastAsia"/>
          <w:color w:val="auto"/>
          <w:highlight w:val="none"/>
        </w:rPr>
        <w:t>等专业的教育教学及实习工作。</w:t>
      </w:r>
    </w:p>
    <w:p w14:paraId="417E5814">
      <w:pPr>
        <w:numPr>
          <w:ilvl w:val="0"/>
          <w:numId w:val="2"/>
        </w:numPr>
        <w:ind w:left="0" w:leftChars="0" w:firstLine="560" w:firstLineChars="200"/>
        <w:rPr>
          <w:color w:val="auto"/>
          <w:highlight w:val="none"/>
        </w:rPr>
      </w:pPr>
      <w:r>
        <w:rPr>
          <w:rFonts w:hint="eastAsia"/>
          <w:color w:val="auto"/>
          <w:highlight w:val="none"/>
        </w:rPr>
        <w:t>负责做好后勤和</w:t>
      </w:r>
      <w:r>
        <w:rPr>
          <w:rFonts w:hint="eastAsia"/>
          <w:color w:val="auto"/>
          <w:highlight w:val="none"/>
          <w:lang w:eastAsia="zh-CN"/>
        </w:rPr>
        <w:t>安全</w:t>
      </w:r>
      <w:r>
        <w:rPr>
          <w:rFonts w:hint="eastAsia"/>
          <w:color w:val="auto"/>
          <w:highlight w:val="none"/>
        </w:rPr>
        <w:t>管理工作，维护正常校园秩序，保证教学和科研工作顺利进行。</w:t>
      </w:r>
    </w:p>
    <w:p w14:paraId="6A1E4BAE">
      <w:pPr>
        <w:ind w:firstLine="560"/>
        <w:rPr>
          <w:color w:val="auto"/>
          <w:highlight w:val="none"/>
        </w:rPr>
      </w:pPr>
      <w:r>
        <w:rPr>
          <w:rFonts w:hint="eastAsia"/>
          <w:color w:val="auto"/>
          <w:highlight w:val="none"/>
        </w:rPr>
        <w:t>完成主管部门布置的其他任务。</w:t>
      </w:r>
    </w:p>
    <w:p w14:paraId="336AE977">
      <w:pPr>
        <w:ind w:firstLine="562"/>
        <w:rPr>
          <w:rFonts w:hint="eastAsia" w:eastAsia="仿宋_GB2312"/>
          <w:b/>
          <w:color w:val="auto"/>
          <w:highlight w:val="none"/>
          <w:lang w:eastAsia="zh-CN"/>
        </w:rPr>
      </w:pPr>
      <w:r>
        <w:rPr>
          <w:rFonts w:hint="eastAsia"/>
          <w:b/>
          <w:color w:val="auto"/>
          <w:highlight w:val="none"/>
        </w:rPr>
        <w:t>（2）</w:t>
      </w:r>
      <w:r>
        <w:rPr>
          <w:rFonts w:hint="eastAsia"/>
          <w:b/>
          <w:color w:val="auto"/>
          <w:highlight w:val="none"/>
          <w:lang w:val="en-US" w:eastAsia="zh-CN"/>
        </w:rPr>
        <w:t>机构设置及</w:t>
      </w:r>
      <w:r>
        <w:rPr>
          <w:rFonts w:hint="eastAsia"/>
          <w:b/>
          <w:color w:val="auto"/>
          <w:highlight w:val="none"/>
          <w:lang w:eastAsia="zh-CN"/>
        </w:rPr>
        <w:t>人员情况</w:t>
      </w:r>
    </w:p>
    <w:p w14:paraId="136280EE">
      <w:pPr>
        <w:ind w:firstLine="560"/>
        <w:rPr>
          <w:rFonts w:ascii="仿宋" w:hAnsi="仿宋" w:eastAsia="仿宋"/>
          <w:color w:val="auto"/>
          <w:highlight w:val="none"/>
        </w:rPr>
      </w:pPr>
      <w:r>
        <w:rPr>
          <w:rFonts w:hint="eastAsia" w:ascii="仿宋" w:hAnsi="仿宋" w:eastAsia="仿宋"/>
          <w:color w:val="auto"/>
          <w:szCs w:val="28"/>
          <w:highlight w:val="none"/>
          <w:lang w:eastAsia="zh-CN"/>
        </w:rPr>
        <w:t>托克逊</w:t>
      </w:r>
      <w:r>
        <w:rPr>
          <w:rFonts w:hint="eastAsia" w:ascii="仿宋" w:hAnsi="仿宋" w:eastAsia="仿宋"/>
          <w:color w:val="auto"/>
          <w:szCs w:val="28"/>
          <w:highlight w:val="none"/>
        </w:rPr>
        <w:t>县</w:t>
      </w:r>
      <w:r>
        <w:rPr>
          <w:rFonts w:hint="eastAsia" w:ascii="仿宋" w:hAnsi="仿宋" w:eastAsia="仿宋"/>
          <w:color w:val="auto"/>
          <w:szCs w:val="28"/>
          <w:highlight w:val="none"/>
          <w:lang w:eastAsia="zh-CN"/>
        </w:rPr>
        <w:t>技工学校</w:t>
      </w:r>
      <w:r>
        <w:rPr>
          <w:rFonts w:hint="eastAsia" w:ascii="仿宋" w:hAnsi="仿宋" w:eastAsia="仿宋"/>
          <w:color w:val="auto"/>
          <w:szCs w:val="28"/>
          <w:highlight w:val="none"/>
          <w:lang w:val="en-US" w:eastAsia="zh-CN"/>
        </w:rPr>
        <w:t>共设有6个科室，主要有：综合科（财务科）、教务处、学生管理科、招生就业科、安全保卫科、后勤保障科。单位</w:t>
      </w:r>
      <w:r>
        <w:rPr>
          <w:rFonts w:hint="eastAsia" w:ascii="仿宋" w:hAnsi="仿宋" w:eastAsia="仿宋"/>
          <w:color w:val="auto"/>
          <w:szCs w:val="28"/>
          <w:highlight w:val="none"/>
        </w:rPr>
        <w:t>人员编制数共</w:t>
      </w:r>
      <w:r>
        <w:rPr>
          <w:rFonts w:hint="eastAsia" w:ascii="仿宋" w:hAnsi="仿宋" w:eastAsia="仿宋"/>
          <w:color w:val="auto"/>
          <w:szCs w:val="28"/>
          <w:highlight w:val="none"/>
          <w:lang w:val="en-US" w:eastAsia="zh-CN"/>
        </w:rPr>
        <w:t>7</w:t>
      </w:r>
      <w:r>
        <w:rPr>
          <w:rFonts w:hint="eastAsia" w:ascii="仿宋" w:hAnsi="仿宋" w:eastAsia="仿宋"/>
          <w:color w:val="auto"/>
          <w:szCs w:val="28"/>
          <w:highlight w:val="none"/>
        </w:rPr>
        <w:t>人，年初实有在职人员</w:t>
      </w:r>
      <w:r>
        <w:rPr>
          <w:rFonts w:hint="eastAsia" w:ascii="仿宋" w:hAnsi="仿宋" w:eastAsia="仿宋"/>
          <w:color w:val="auto"/>
          <w:szCs w:val="28"/>
          <w:highlight w:val="none"/>
          <w:lang w:val="en-US" w:eastAsia="zh-CN"/>
        </w:rPr>
        <w:t>7</w:t>
      </w:r>
      <w:r>
        <w:rPr>
          <w:rFonts w:hint="eastAsia" w:ascii="仿宋" w:hAnsi="仿宋" w:eastAsia="仿宋"/>
          <w:color w:val="auto"/>
          <w:szCs w:val="28"/>
          <w:highlight w:val="none"/>
        </w:rPr>
        <w:t>人，退休人员</w:t>
      </w:r>
      <w:r>
        <w:rPr>
          <w:rFonts w:hint="eastAsia" w:ascii="仿宋" w:hAnsi="仿宋" w:eastAsia="仿宋"/>
          <w:color w:val="auto"/>
          <w:szCs w:val="28"/>
          <w:highlight w:val="none"/>
          <w:lang w:val="en-US" w:eastAsia="zh-CN"/>
        </w:rPr>
        <w:t>0</w:t>
      </w:r>
      <w:r>
        <w:rPr>
          <w:rFonts w:hint="eastAsia" w:ascii="仿宋" w:hAnsi="仿宋" w:eastAsia="仿宋"/>
          <w:color w:val="auto"/>
          <w:szCs w:val="28"/>
          <w:highlight w:val="none"/>
        </w:rPr>
        <w:t>人。年末实有在职人数</w:t>
      </w:r>
      <w:r>
        <w:rPr>
          <w:rFonts w:hint="eastAsia" w:ascii="仿宋" w:hAnsi="仿宋" w:eastAsia="仿宋"/>
          <w:color w:val="auto"/>
          <w:szCs w:val="28"/>
          <w:highlight w:val="none"/>
          <w:lang w:val="en-US" w:eastAsia="zh-CN"/>
        </w:rPr>
        <w:t>7</w:t>
      </w:r>
      <w:r>
        <w:rPr>
          <w:rFonts w:hint="eastAsia" w:ascii="仿宋" w:hAnsi="仿宋" w:eastAsia="仿宋"/>
          <w:color w:val="auto"/>
          <w:szCs w:val="28"/>
          <w:highlight w:val="none"/>
        </w:rPr>
        <w:t>人，退休人员</w:t>
      </w:r>
      <w:r>
        <w:rPr>
          <w:rFonts w:hint="eastAsia" w:ascii="仿宋" w:hAnsi="仿宋" w:eastAsia="仿宋"/>
          <w:color w:val="auto"/>
          <w:szCs w:val="28"/>
          <w:highlight w:val="none"/>
          <w:lang w:val="en-US" w:eastAsia="zh-CN"/>
        </w:rPr>
        <w:t>0</w:t>
      </w:r>
      <w:r>
        <w:rPr>
          <w:rFonts w:hint="eastAsia" w:ascii="仿宋" w:hAnsi="仿宋" w:eastAsia="仿宋"/>
          <w:color w:val="auto"/>
          <w:szCs w:val="28"/>
          <w:highlight w:val="none"/>
        </w:rPr>
        <w:t>人。</w:t>
      </w:r>
    </w:p>
    <w:p w14:paraId="4720701F">
      <w:pPr>
        <w:pStyle w:val="2"/>
        <w:ind w:firstLine="562"/>
        <w:rPr>
          <w:color w:val="auto"/>
          <w:highlight w:val="none"/>
        </w:rPr>
      </w:pPr>
      <w:r>
        <w:rPr>
          <w:rFonts w:hint="eastAsia"/>
          <w:color w:val="auto"/>
          <w:highlight w:val="none"/>
          <w:lang w:val="en-US" w:eastAsia="zh-CN"/>
        </w:rPr>
        <w:t>3</w:t>
      </w:r>
      <w:r>
        <w:rPr>
          <w:rFonts w:hint="eastAsia"/>
          <w:color w:val="auto"/>
          <w:highlight w:val="none"/>
        </w:rPr>
        <w:t>.主要内容及实施情况</w:t>
      </w:r>
    </w:p>
    <w:p w14:paraId="71BB8A6C">
      <w:pPr>
        <w:bidi w:val="0"/>
        <w:rPr>
          <w:rFonts w:hint="eastAsia"/>
          <w:color w:val="auto"/>
          <w:highlight w:val="none"/>
          <w:lang w:val="en-US" w:eastAsia="zh-CN"/>
        </w:rPr>
      </w:pPr>
      <w:r>
        <w:rPr>
          <w:rFonts w:hint="eastAsia"/>
          <w:color w:val="auto"/>
          <w:highlight w:val="none"/>
          <w:lang w:val="en-US" w:eastAsia="zh-CN"/>
        </w:rPr>
        <w:t>项目名称：2023年学生资助补助中央直达资金-技工免学费项目</w:t>
      </w:r>
    </w:p>
    <w:p w14:paraId="651AA2A6">
      <w:pPr>
        <w:ind w:firstLine="560"/>
        <w:rPr>
          <w:rFonts w:hint="eastAsia" w:eastAsia="仿宋_GB2312"/>
          <w:color w:val="auto"/>
          <w:highlight w:val="none"/>
          <w:lang w:val="en-US" w:eastAsia="zh-CN"/>
        </w:rPr>
      </w:pPr>
      <w:r>
        <w:rPr>
          <w:rFonts w:hint="eastAsia"/>
          <w:color w:val="auto"/>
          <w:highlight w:val="none"/>
          <w:lang w:val="en-US" w:eastAsia="zh-CN"/>
        </w:rPr>
        <w:t>项目主要内容：保障学校教学活动和其他日常工作任务正常开展，为不少782名学生提供免学费技校教育，逐步提高学校教育发展水平，使学生和家长满意度达到95%以上。</w:t>
      </w:r>
    </w:p>
    <w:p w14:paraId="485E7F49">
      <w:pPr>
        <w:pStyle w:val="2"/>
        <w:rPr>
          <w:rFonts w:hint="eastAsia"/>
          <w:b w:val="0"/>
          <w:bCs w:val="0"/>
          <w:color w:val="auto"/>
          <w:highlight w:val="none"/>
          <w:lang w:val="en-US" w:eastAsia="zh-CN"/>
        </w:rPr>
      </w:pPr>
      <w:r>
        <w:rPr>
          <w:rFonts w:hint="eastAsia"/>
          <w:b w:val="0"/>
          <w:bCs w:val="0"/>
          <w:color w:val="auto"/>
          <w:highlight w:val="none"/>
          <w:lang w:val="en-US" w:eastAsia="zh-CN"/>
        </w:rPr>
        <w:t>项目实施时间：本项目实施时间为2023年1月-2023</w:t>
      </w:r>
      <w:r>
        <w:rPr>
          <w:rFonts w:hint="eastAsia"/>
          <w:b w:val="0"/>
          <w:bCs w:val="0"/>
          <w:color w:val="auto"/>
          <w:highlight w:val="none"/>
          <w:lang w:eastAsia="zh-CN"/>
        </w:rPr>
        <w:t>年</w:t>
      </w:r>
      <w:r>
        <w:rPr>
          <w:rFonts w:hint="eastAsia"/>
          <w:b w:val="0"/>
          <w:bCs w:val="0"/>
          <w:color w:val="auto"/>
          <w:highlight w:val="none"/>
          <w:lang w:val="en-US" w:eastAsia="zh-CN"/>
        </w:rPr>
        <w:t>12月</w:t>
      </w:r>
    </w:p>
    <w:p w14:paraId="49B6D8E5">
      <w:pPr>
        <w:ind w:firstLine="560"/>
        <w:rPr>
          <w:rFonts w:hint="default"/>
          <w:color w:val="auto"/>
          <w:highlight w:val="none"/>
          <w:lang w:val="en-US"/>
        </w:rPr>
      </w:pPr>
      <w:r>
        <w:rPr>
          <w:rFonts w:hint="eastAsia"/>
          <w:color w:val="auto"/>
          <w:highlight w:val="none"/>
          <w:lang w:val="en-US" w:eastAsia="zh-CN"/>
        </w:rPr>
        <w:t>项目实施</w:t>
      </w:r>
      <w:r>
        <w:rPr>
          <w:rFonts w:hint="eastAsia" w:ascii="仿宋_GB2312" w:hAnsi="仿宋_GB2312" w:eastAsia="仿宋_GB2312" w:cs="Times New Roman"/>
          <w:b w:val="0"/>
          <w:bCs w:val="0"/>
          <w:color w:val="auto"/>
          <w:kern w:val="0"/>
          <w:sz w:val="28"/>
          <w:szCs w:val="32"/>
          <w:highlight w:val="none"/>
          <w:lang w:val="en-US" w:eastAsia="zh-CN" w:bidi="ar-SA"/>
        </w:rPr>
        <w:t>情况：（1）我校学生管理处：对基础数据的审核工作，健全学生资助机构;做好家庭经济困难学生认定工作，确保应助尽助。招生管理办：加强学生学籍、学生资助信息系统应用，规范档案管理，严格落实责任制，财务室：强化财务管理，制定学生资助资金管理使用办</w:t>
      </w:r>
      <w:r>
        <w:rPr>
          <w:rFonts w:hint="eastAsia"/>
          <w:color w:val="auto"/>
          <w:highlight w:val="none"/>
          <w:lang w:val="en-US" w:eastAsia="zh-CN"/>
        </w:rPr>
        <w:t>法。资助办：应将学生申请表、认定结果、资金发放等有关凭证和工作情况分年度建档备查。（2）已保障学校教学活动和其他日常工作任务正常开展，为862名学生提供免学费技校教育.</w:t>
      </w:r>
    </w:p>
    <w:p w14:paraId="15D8F2B1">
      <w:pPr>
        <w:rPr>
          <w:rFonts w:hint="eastAsia"/>
          <w:color w:val="auto"/>
          <w:highlight w:val="none"/>
          <w:lang w:val="en-US" w:eastAsia="zh-CN"/>
        </w:rPr>
      </w:pPr>
    </w:p>
    <w:p w14:paraId="1932EC3B">
      <w:pPr>
        <w:pStyle w:val="2"/>
        <w:ind w:firstLine="562"/>
        <w:rPr>
          <w:rFonts w:hint="eastAsia"/>
          <w:color w:val="auto"/>
          <w:highlight w:val="none"/>
        </w:rPr>
      </w:pPr>
      <w:r>
        <w:rPr>
          <w:rFonts w:hint="eastAsia"/>
          <w:color w:val="auto"/>
          <w:highlight w:val="none"/>
          <w:lang w:val="en-US" w:eastAsia="zh-CN"/>
        </w:rPr>
        <w:t>4</w:t>
      </w:r>
      <w:r>
        <w:rPr>
          <w:rFonts w:hint="eastAsia"/>
          <w:color w:val="auto"/>
          <w:highlight w:val="none"/>
        </w:rPr>
        <w:t>.资金投入和使用情况</w:t>
      </w:r>
    </w:p>
    <w:p w14:paraId="6601685C">
      <w:pPr>
        <w:ind w:firstLine="562"/>
        <w:rPr>
          <w:rFonts w:ascii="仿宋" w:hAnsi="仿宋" w:eastAsia="仿宋"/>
          <w:b/>
          <w:color w:val="auto"/>
          <w:highlight w:val="none"/>
        </w:rPr>
      </w:pPr>
      <w:r>
        <w:rPr>
          <w:rFonts w:hint="eastAsia" w:ascii="仿宋" w:hAnsi="仿宋" w:eastAsia="仿宋"/>
          <w:b/>
          <w:color w:val="auto"/>
          <w:highlight w:val="none"/>
        </w:rPr>
        <w:t>（1）项目资金安排落实、总投入等情况分析</w:t>
      </w:r>
    </w:p>
    <w:p w14:paraId="1B0736FB">
      <w:pPr>
        <w:ind w:firstLine="560"/>
        <w:rPr>
          <w:rFonts w:hint="eastAsia"/>
          <w:color w:val="auto"/>
          <w:highlight w:val="none"/>
        </w:rPr>
      </w:pPr>
      <w:r>
        <w:rPr>
          <w:rFonts w:hint="eastAsia"/>
          <w:color w:val="auto"/>
          <w:highlight w:val="none"/>
          <w:lang w:val="en-US" w:eastAsia="zh-CN"/>
        </w:rPr>
        <w:t>本</w:t>
      </w:r>
      <w:r>
        <w:rPr>
          <w:color w:val="auto"/>
          <w:highlight w:val="none"/>
        </w:rPr>
        <w:t>项目预算安排总额为</w:t>
      </w:r>
      <w:r>
        <w:rPr>
          <w:rFonts w:hint="eastAsia"/>
          <w:color w:val="auto"/>
          <w:highlight w:val="none"/>
          <w:lang w:val="en-US" w:eastAsia="zh-CN"/>
        </w:rPr>
        <w:t>101.19</w:t>
      </w:r>
      <w:r>
        <w:rPr>
          <w:color w:val="auto"/>
          <w:highlight w:val="none"/>
        </w:rPr>
        <w:t>万元，其中财政资金</w:t>
      </w:r>
      <w:r>
        <w:rPr>
          <w:rFonts w:hint="eastAsia"/>
          <w:color w:val="auto"/>
          <w:highlight w:val="none"/>
          <w:lang w:val="en-US" w:eastAsia="zh-CN"/>
        </w:rPr>
        <w:t>101.19</w:t>
      </w:r>
      <w:r>
        <w:rPr>
          <w:color w:val="auto"/>
          <w:highlight w:val="none"/>
        </w:rPr>
        <w:t>万元，其他资金</w:t>
      </w:r>
      <w:r>
        <w:rPr>
          <w:rFonts w:hint="eastAsia"/>
          <w:color w:val="auto"/>
          <w:highlight w:val="none"/>
          <w:lang w:val="en-US" w:eastAsia="zh-CN"/>
        </w:rPr>
        <w:t>0</w:t>
      </w:r>
      <w:r>
        <w:rPr>
          <w:color w:val="auto"/>
          <w:highlight w:val="none"/>
        </w:rPr>
        <w:t>万元，20</w:t>
      </w:r>
      <w:r>
        <w:rPr>
          <w:rFonts w:hint="eastAsia"/>
          <w:color w:val="auto"/>
          <w:highlight w:val="none"/>
        </w:rPr>
        <w:t>2</w:t>
      </w:r>
      <w:r>
        <w:rPr>
          <w:rFonts w:hint="eastAsia"/>
          <w:color w:val="auto"/>
          <w:highlight w:val="none"/>
          <w:lang w:val="en-US" w:eastAsia="zh-CN"/>
        </w:rPr>
        <w:t>3</w:t>
      </w:r>
      <w:r>
        <w:rPr>
          <w:color w:val="auto"/>
          <w:highlight w:val="none"/>
        </w:rPr>
        <w:t>年实际收到预算资金</w:t>
      </w:r>
      <w:r>
        <w:rPr>
          <w:rFonts w:hint="eastAsia"/>
          <w:color w:val="auto"/>
          <w:highlight w:val="none"/>
          <w:lang w:val="en-US" w:eastAsia="zh-CN"/>
        </w:rPr>
        <w:t>101.19</w:t>
      </w:r>
      <w:r>
        <w:rPr>
          <w:color w:val="auto"/>
          <w:highlight w:val="none"/>
        </w:rPr>
        <w:t>万元，预算资金到位率为</w:t>
      </w:r>
      <w:r>
        <w:rPr>
          <w:rFonts w:hint="eastAsia"/>
          <w:color w:val="auto"/>
          <w:highlight w:val="none"/>
          <w:lang w:val="en-US" w:eastAsia="zh-CN"/>
        </w:rPr>
        <w:t>100</w:t>
      </w:r>
      <w:r>
        <w:rPr>
          <w:color w:val="auto"/>
          <w:highlight w:val="none"/>
        </w:rPr>
        <w:t>%。</w:t>
      </w:r>
    </w:p>
    <w:p w14:paraId="07888B1C">
      <w:pPr>
        <w:ind w:firstLine="560"/>
        <w:rPr>
          <w:color w:val="auto"/>
          <w:highlight w:val="none"/>
        </w:rPr>
      </w:pPr>
      <w:r>
        <w:rPr>
          <w:rFonts w:hint="eastAsia"/>
          <w:color w:val="auto"/>
          <w:highlight w:val="none"/>
        </w:rPr>
        <w:t>（2）项目资金实际使用情况分析</w:t>
      </w:r>
    </w:p>
    <w:p w14:paraId="4DA48046">
      <w:pPr>
        <w:ind w:firstLine="560"/>
        <w:rPr>
          <w:rFonts w:hint="default"/>
          <w:color w:val="auto"/>
          <w:highlight w:val="none"/>
          <w:lang w:val="en-US"/>
        </w:rPr>
      </w:pPr>
      <w:r>
        <w:rPr>
          <w:rFonts w:hint="eastAsia"/>
          <w:color w:val="auto"/>
          <w:highlight w:val="none"/>
          <w:lang w:val="en-US" w:eastAsia="zh-CN"/>
        </w:rPr>
        <w:t>截止到2023年3月，</w:t>
      </w:r>
      <w:r>
        <w:rPr>
          <w:rFonts w:hint="eastAsia"/>
          <w:color w:val="auto"/>
          <w:highlight w:val="none"/>
        </w:rPr>
        <w:t>本项目实际支付资金</w:t>
      </w:r>
      <w:r>
        <w:rPr>
          <w:rFonts w:hint="eastAsia"/>
          <w:color w:val="auto"/>
          <w:highlight w:val="none"/>
          <w:lang w:val="en-US" w:eastAsia="zh-CN"/>
        </w:rPr>
        <w:t>101.19</w:t>
      </w:r>
      <w:r>
        <w:rPr>
          <w:rFonts w:hint="eastAsia"/>
          <w:color w:val="auto"/>
          <w:highlight w:val="none"/>
        </w:rPr>
        <w:t>万元，预算执行率</w:t>
      </w:r>
      <w:r>
        <w:rPr>
          <w:rFonts w:hint="eastAsia"/>
          <w:color w:val="auto"/>
          <w:highlight w:val="none"/>
          <w:lang w:val="en-US" w:eastAsia="zh-CN"/>
        </w:rPr>
        <w:t>100%</w:t>
      </w:r>
      <w:r>
        <w:rPr>
          <w:rFonts w:hint="eastAsia"/>
          <w:color w:val="auto"/>
          <w:highlight w:val="none"/>
        </w:rPr>
        <w:t>项目资金主要用于</w:t>
      </w:r>
      <w:r>
        <w:rPr>
          <w:rFonts w:hint="eastAsia"/>
          <w:color w:val="auto"/>
          <w:highlight w:val="none"/>
          <w:lang w:val="en-US" w:eastAsia="zh-CN"/>
        </w:rPr>
        <w:t>保障学校教学活动和其他日常工作任务正常开展，为846名学生提供免学费技校教育。</w:t>
      </w:r>
    </w:p>
    <w:p w14:paraId="6F87588A">
      <w:pPr>
        <w:pStyle w:val="4"/>
        <w:ind w:firstLine="643"/>
        <w:rPr>
          <w:color w:val="auto"/>
          <w:highlight w:val="none"/>
        </w:rPr>
      </w:pPr>
      <w:r>
        <w:rPr>
          <w:rFonts w:hint="eastAsia"/>
          <w:color w:val="auto"/>
          <w:highlight w:val="none"/>
        </w:rPr>
        <w:t>（</w:t>
      </w:r>
      <w:r>
        <w:rPr>
          <w:rFonts w:hint="eastAsia"/>
          <w:color w:val="auto"/>
          <w:highlight w:val="none"/>
          <w:lang w:val="en-US" w:eastAsia="zh-CN"/>
        </w:rPr>
        <w:t>二</w:t>
      </w:r>
      <w:r>
        <w:rPr>
          <w:rFonts w:hint="eastAsia"/>
          <w:color w:val="auto"/>
          <w:highlight w:val="none"/>
        </w:rPr>
        <w:t>）项目绩效目标</w:t>
      </w:r>
    </w:p>
    <w:p w14:paraId="4317513C">
      <w:pPr>
        <w:pStyle w:val="2"/>
        <w:bidi w:val="0"/>
        <w:rPr>
          <w:color w:val="auto"/>
          <w:highlight w:val="none"/>
        </w:rPr>
      </w:pPr>
      <w:r>
        <w:rPr>
          <w:rFonts w:hint="eastAsia"/>
          <w:color w:val="auto"/>
          <w:highlight w:val="none"/>
        </w:rPr>
        <w:t>1.总体目标</w:t>
      </w:r>
    </w:p>
    <w:p w14:paraId="68A87208">
      <w:pPr>
        <w:ind w:firstLine="560"/>
        <w:rPr>
          <w:rFonts w:hint="default"/>
          <w:color w:val="auto"/>
          <w:highlight w:val="none"/>
          <w:lang w:val="en-US" w:eastAsia="zh-CN"/>
        </w:rPr>
      </w:pPr>
      <w:r>
        <w:rPr>
          <w:rFonts w:hint="eastAsia"/>
          <w:color w:val="auto"/>
          <w:highlight w:val="none"/>
          <w:lang w:val="en-US" w:eastAsia="zh-CN"/>
        </w:rPr>
        <w:t>本项目绩效总体目标为：1.保障学校教学活动和其他日常工作任务正常开展，为不少782名学生提供免学费技校教育。2.逐步提高学校教育发展水平，使学生和家长满意度达到95%以上。</w:t>
      </w:r>
    </w:p>
    <w:p w14:paraId="072DCAD3">
      <w:pPr>
        <w:pStyle w:val="2"/>
        <w:ind w:firstLine="562"/>
        <w:rPr>
          <w:color w:val="auto"/>
          <w:highlight w:val="none"/>
        </w:rPr>
      </w:pPr>
      <w:r>
        <w:rPr>
          <w:rFonts w:hint="eastAsia"/>
          <w:color w:val="auto"/>
          <w:highlight w:val="none"/>
        </w:rPr>
        <w:t>2.阶段性目标</w:t>
      </w:r>
    </w:p>
    <w:p w14:paraId="4FBEF8B1">
      <w:pPr>
        <w:ind w:firstLine="560"/>
        <w:rPr>
          <w:rFonts w:hint="eastAsia" w:hAnsi="Arial" w:cs="宋体"/>
          <w:bCs/>
          <w:color w:val="auto"/>
          <w:highlight w:val="none"/>
        </w:rPr>
      </w:pPr>
      <w:r>
        <w:rPr>
          <w:rFonts w:hint="eastAsia" w:hAnsi="Arial" w:cs="宋体"/>
          <w:bCs/>
          <w:color w:val="auto"/>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（新财预〔2018〕189号）等文件要求和</w:t>
      </w:r>
      <w:r>
        <w:rPr>
          <w:rFonts w:hint="eastAsia" w:hAnsi="Arial" w:cs="宋体"/>
          <w:bCs/>
          <w:color w:val="auto"/>
          <w:highlight w:val="none"/>
        </w:rPr>
        <w:t>规定，结合项目实施单位的规章制度以及财务相关资料，评价小组对项目绩效目标进行了进一步的完善，完善后绩效目标如下：</w:t>
      </w:r>
    </w:p>
    <w:p w14:paraId="47032456">
      <w:pPr>
        <w:ind w:firstLine="562"/>
        <w:rPr>
          <w:rFonts w:hAnsi="Arial" w:cs="宋体"/>
          <w:b/>
          <w:bCs/>
          <w:color w:val="auto"/>
          <w:highlight w:val="none"/>
        </w:rPr>
      </w:pPr>
      <w:r>
        <w:rPr>
          <w:rFonts w:hint="eastAsia" w:hAnsi="Arial" w:cs="宋体"/>
          <w:b/>
          <w:bCs/>
          <w:color w:val="auto"/>
          <w:highlight w:val="none"/>
        </w:rPr>
        <w:t>（1）</w:t>
      </w:r>
      <w:r>
        <w:rPr>
          <w:rFonts w:hint="eastAsia"/>
          <w:b/>
          <w:color w:val="auto"/>
          <w:highlight w:val="none"/>
        </w:rPr>
        <w:t>项目产出目标</w:t>
      </w:r>
    </w:p>
    <w:p w14:paraId="32F6CCD3">
      <w:pPr>
        <w:ind w:firstLine="560"/>
        <w:rPr>
          <w:color w:val="auto"/>
          <w:highlight w:val="none"/>
        </w:rPr>
      </w:pPr>
      <w:r>
        <w:rPr>
          <w:rFonts w:hint="eastAsia"/>
          <w:color w:val="auto"/>
          <w:highlight w:val="none"/>
        </w:rPr>
        <w:t>①数量指标</w:t>
      </w:r>
    </w:p>
    <w:p w14:paraId="74BEC1BE">
      <w:pPr>
        <w:ind w:firstLine="560"/>
        <w:rPr>
          <w:color w:val="auto"/>
          <w:highlight w:val="none"/>
        </w:rPr>
      </w:pPr>
      <w:r>
        <w:rPr>
          <w:rFonts w:hint="eastAsia"/>
          <w:color w:val="auto"/>
          <w:highlight w:val="none"/>
        </w:rPr>
        <w:t>“中等职业学校免学费受助人数占应受助学生数的比例”指标，预期指标值</w:t>
      </w:r>
      <w:r>
        <w:rPr>
          <w:rFonts w:hint="eastAsia"/>
          <w:color w:val="auto"/>
          <w:highlight w:val="none"/>
          <w:lang w:eastAsia="zh-CN"/>
        </w:rPr>
        <w:t>为</w:t>
      </w:r>
      <w:r>
        <w:rPr>
          <w:rFonts w:hint="eastAsia"/>
          <w:color w:val="auto"/>
          <w:highlight w:val="none"/>
        </w:rPr>
        <w:t>100%；</w:t>
      </w:r>
    </w:p>
    <w:p w14:paraId="43904F90">
      <w:pPr>
        <w:ind w:firstLine="560"/>
        <w:rPr>
          <w:rFonts w:hint="eastAsia"/>
          <w:color w:val="auto"/>
          <w:highlight w:val="none"/>
        </w:rPr>
      </w:pPr>
      <w:r>
        <w:rPr>
          <w:rFonts w:hint="eastAsia"/>
          <w:color w:val="auto"/>
          <w:highlight w:val="none"/>
        </w:rPr>
        <w:t>“幼儿专业、美容美发专业、机电设备安装与维修专业享受国家免学费人数数”指标，预期指标值为</w:t>
      </w:r>
      <w:r>
        <w:rPr>
          <w:rFonts w:hint="eastAsia"/>
          <w:color w:val="auto"/>
          <w:highlight w:val="none"/>
          <w:lang w:eastAsia="zh-CN"/>
        </w:rPr>
        <w:t>大于等于</w:t>
      </w:r>
      <w:r>
        <w:rPr>
          <w:rFonts w:hint="eastAsia"/>
          <w:color w:val="auto"/>
          <w:highlight w:val="none"/>
        </w:rPr>
        <w:t>408</w:t>
      </w:r>
      <w:r>
        <w:rPr>
          <w:rFonts w:hint="eastAsia"/>
          <w:color w:val="auto"/>
          <w:highlight w:val="none"/>
          <w:lang w:val="en-US" w:eastAsia="zh-CN"/>
        </w:rPr>
        <w:t>人</w:t>
      </w:r>
      <w:r>
        <w:rPr>
          <w:rFonts w:hint="eastAsia"/>
          <w:color w:val="auto"/>
          <w:highlight w:val="none"/>
        </w:rPr>
        <w:t>。</w:t>
      </w:r>
    </w:p>
    <w:p w14:paraId="0FBDC48B">
      <w:pPr>
        <w:rPr>
          <w:rFonts w:hint="eastAsia"/>
          <w:color w:val="auto"/>
          <w:highlight w:val="none"/>
          <w:lang w:eastAsia="zh-CN"/>
        </w:rPr>
      </w:pPr>
      <w:r>
        <w:rPr>
          <w:rFonts w:hint="default"/>
          <w:color w:val="auto"/>
          <w:highlight w:val="none"/>
          <w:lang w:val="en-US" w:eastAsia="zh-CN"/>
        </w:rPr>
        <w:t>“</w:t>
      </w:r>
      <w:r>
        <w:rPr>
          <w:rFonts w:hint="eastAsia"/>
          <w:color w:val="auto"/>
          <w:highlight w:val="none"/>
        </w:rPr>
        <w:t>室内设计专业、汽车维修专业、享受国家免学费人数</w:t>
      </w:r>
      <w:r>
        <w:rPr>
          <w:rFonts w:hint="default"/>
          <w:color w:val="auto"/>
          <w:highlight w:val="none"/>
          <w:lang w:val="en-US" w:eastAsia="zh-CN"/>
        </w:rPr>
        <w:t>”</w:t>
      </w:r>
      <w:r>
        <w:rPr>
          <w:rFonts w:hint="eastAsia"/>
          <w:color w:val="auto"/>
          <w:highlight w:val="none"/>
          <w:lang w:val="en-US" w:eastAsia="zh-CN"/>
        </w:rPr>
        <w:t>指标，</w:t>
      </w:r>
      <w:r>
        <w:rPr>
          <w:rFonts w:hint="eastAsia"/>
          <w:color w:val="auto"/>
          <w:highlight w:val="none"/>
        </w:rPr>
        <w:t>预期指标值为</w:t>
      </w:r>
      <w:r>
        <w:rPr>
          <w:rFonts w:hint="eastAsia"/>
          <w:color w:val="auto"/>
          <w:highlight w:val="none"/>
          <w:lang w:eastAsia="zh-CN"/>
        </w:rPr>
        <w:t>大于等于</w:t>
      </w:r>
      <w:r>
        <w:rPr>
          <w:rFonts w:hint="eastAsia"/>
          <w:color w:val="auto"/>
          <w:highlight w:val="none"/>
        </w:rPr>
        <w:t>246人</w:t>
      </w:r>
      <w:r>
        <w:rPr>
          <w:rFonts w:hint="eastAsia"/>
          <w:color w:val="auto"/>
          <w:highlight w:val="none"/>
          <w:lang w:eastAsia="zh-CN"/>
        </w:rPr>
        <w:t>。</w:t>
      </w:r>
    </w:p>
    <w:p w14:paraId="0D3B5F08">
      <w:pPr>
        <w:ind w:firstLine="560"/>
        <w:rPr>
          <w:rFonts w:hint="eastAsia"/>
          <w:color w:val="auto"/>
          <w:highlight w:val="none"/>
          <w:lang w:eastAsia="zh-CN"/>
        </w:rPr>
      </w:pPr>
      <w:r>
        <w:rPr>
          <w:rFonts w:hint="default"/>
          <w:color w:val="auto"/>
          <w:highlight w:val="none"/>
          <w:lang w:val="en-US" w:eastAsia="zh-CN"/>
        </w:rPr>
        <w:t>“</w:t>
      </w:r>
      <w:r>
        <w:rPr>
          <w:rFonts w:hint="eastAsia"/>
          <w:color w:val="auto"/>
          <w:highlight w:val="none"/>
        </w:rPr>
        <w:t>家政服务专业、饭店服务专业、享受国家免学费人数</w:t>
      </w:r>
      <w:r>
        <w:rPr>
          <w:rFonts w:hint="default"/>
          <w:color w:val="auto"/>
          <w:highlight w:val="none"/>
          <w:lang w:val="en-US" w:eastAsia="zh-CN"/>
        </w:rPr>
        <w:t>”</w:t>
      </w:r>
      <w:r>
        <w:rPr>
          <w:rFonts w:hint="eastAsia"/>
          <w:color w:val="auto"/>
          <w:highlight w:val="none"/>
          <w:lang w:val="en-US" w:eastAsia="zh-CN"/>
        </w:rPr>
        <w:t>指标，</w:t>
      </w:r>
      <w:r>
        <w:rPr>
          <w:rFonts w:hint="eastAsia"/>
          <w:color w:val="auto"/>
          <w:highlight w:val="none"/>
        </w:rPr>
        <w:t>预期指标值为</w:t>
      </w:r>
      <w:r>
        <w:rPr>
          <w:rFonts w:hint="eastAsia"/>
          <w:color w:val="auto"/>
          <w:highlight w:val="none"/>
          <w:lang w:eastAsia="zh-CN"/>
        </w:rPr>
        <w:t>大于等于</w:t>
      </w:r>
      <w:r>
        <w:rPr>
          <w:rFonts w:hint="eastAsia"/>
          <w:color w:val="auto"/>
          <w:highlight w:val="none"/>
        </w:rPr>
        <w:t>128人</w:t>
      </w:r>
      <w:r>
        <w:rPr>
          <w:rFonts w:hint="eastAsia"/>
          <w:color w:val="auto"/>
          <w:highlight w:val="none"/>
          <w:lang w:eastAsia="zh-CN"/>
        </w:rPr>
        <w:t>。</w:t>
      </w:r>
    </w:p>
    <w:p w14:paraId="2F7D92D0">
      <w:pPr>
        <w:ind w:firstLine="560"/>
        <w:rPr>
          <w:color w:val="auto"/>
          <w:highlight w:val="none"/>
        </w:rPr>
      </w:pPr>
      <w:r>
        <w:rPr>
          <w:rFonts w:hint="eastAsia"/>
          <w:color w:val="auto"/>
          <w:highlight w:val="none"/>
        </w:rPr>
        <w:t>②质量指标</w:t>
      </w:r>
    </w:p>
    <w:p w14:paraId="5C10B4BE">
      <w:pPr>
        <w:ind w:firstLine="560"/>
        <w:rPr>
          <w:rFonts w:hint="eastAsia"/>
          <w:color w:val="auto"/>
          <w:highlight w:val="none"/>
        </w:rPr>
      </w:pPr>
      <w:r>
        <w:rPr>
          <w:rFonts w:hint="eastAsia"/>
          <w:color w:val="auto"/>
          <w:highlight w:val="none"/>
        </w:rPr>
        <w:t>“中职学生就业率”指标，预期指标值为</w:t>
      </w:r>
      <w:r>
        <w:rPr>
          <w:rFonts w:hint="eastAsia"/>
          <w:color w:val="auto"/>
          <w:highlight w:val="none"/>
          <w:lang w:eastAsia="zh-CN"/>
        </w:rPr>
        <w:t>大于等于</w:t>
      </w:r>
      <w:r>
        <w:rPr>
          <w:rFonts w:hint="eastAsia"/>
          <w:color w:val="auto"/>
          <w:highlight w:val="none"/>
        </w:rPr>
        <w:t>9</w:t>
      </w:r>
      <w:r>
        <w:rPr>
          <w:rFonts w:hint="eastAsia"/>
          <w:color w:val="auto"/>
          <w:highlight w:val="none"/>
          <w:lang w:val="en-US" w:eastAsia="zh-CN"/>
        </w:rPr>
        <w:t>5</w:t>
      </w:r>
      <w:r>
        <w:rPr>
          <w:rFonts w:hint="eastAsia"/>
          <w:color w:val="auto"/>
          <w:highlight w:val="none"/>
        </w:rPr>
        <w:t>.0%；</w:t>
      </w:r>
    </w:p>
    <w:p w14:paraId="5B73DB43">
      <w:pPr>
        <w:ind w:firstLine="560"/>
        <w:rPr>
          <w:color w:val="auto"/>
          <w:highlight w:val="none"/>
        </w:rPr>
      </w:pPr>
      <w:r>
        <w:rPr>
          <w:rFonts w:hint="eastAsia"/>
          <w:color w:val="auto"/>
          <w:highlight w:val="none"/>
        </w:rPr>
        <w:t>“公办学校免学费达标率”指标，预期指标值</w:t>
      </w:r>
      <w:r>
        <w:rPr>
          <w:rFonts w:hint="eastAsia"/>
          <w:color w:val="auto"/>
          <w:highlight w:val="none"/>
          <w:lang w:eastAsia="zh-CN"/>
        </w:rPr>
        <w:t>为</w:t>
      </w:r>
      <w:r>
        <w:rPr>
          <w:rFonts w:hint="eastAsia"/>
          <w:color w:val="auto"/>
          <w:highlight w:val="none"/>
        </w:rPr>
        <w:t>100%；</w:t>
      </w:r>
    </w:p>
    <w:p w14:paraId="7F9E66BD">
      <w:pPr>
        <w:ind w:firstLine="560"/>
        <w:rPr>
          <w:rFonts w:hint="eastAsia"/>
          <w:color w:val="auto"/>
          <w:highlight w:val="none"/>
        </w:rPr>
      </w:pPr>
      <w:r>
        <w:rPr>
          <w:rFonts w:hint="eastAsia"/>
          <w:color w:val="auto"/>
          <w:highlight w:val="none"/>
        </w:rPr>
        <w:t>“学生资助政策知晓率”指标，预期指标值为</w:t>
      </w:r>
      <w:r>
        <w:rPr>
          <w:rFonts w:hint="eastAsia"/>
          <w:color w:val="auto"/>
          <w:highlight w:val="none"/>
          <w:lang w:eastAsia="zh-CN"/>
        </w:rPr>
        <w:t>大于等于</w:t>
      </w:r>
      <w:r>
        <w:rPr>
          <w:rFonts w:hint="eastAsia"/>
          <w:color w:val="auto"/>
          <w:highlight w:val="none"/>
        </w:rPr>
        <w:t>9</w:t>
      </w:r>
      <w:r>
        <w:rPr>
          <w:rFonts w:hint="eastAsia"/>
          <w:color w:val="auto"/>
          <w:highlight w:val="none"/>
          <w:lang w:val="en-US" w:eastAsia="zh-CN"/>
        </w:rPr>
        <w:t>5</w:t>
      </w:r>
      <w:r>
        <w:rPr>
          <w:rFonts w:hint="eastAsia"/>
          <w:color w:val="auto"/>
          <w:highlight w:val="none"/>
        </w:rPr>
        <w:t>.0%。</w:t>
      </w:r>
    </w:p>
    <w:p w14:paraId="41350FF6">
      <w:pPr>
        <w:ind w:left="0" w:leftChars="0" w:firstLine="560" w:firstLineChars="200"/>
        <w:rPr>
          <w:color w:val="auto"/>
          <w:highlight w:val="none"/>
        </w:rPr>
      </w:pPr>
      <w:r>
        <w:rPr>
          <w:rFonts w:hint="eastAsia"/>
          <w:color w:val="auto"/>
          <w:highlight w:val="none"/>
        </w:rPr>
        <w:t>③</w:t>
      </w:r>
      <w:r>
        <w:rPr>
          <w:rFonts w:hint="eastAsia"/>
          <w:color w:val="auto"/>
          <w:highlight w:val="none"/>
          <w:lang w:eastAsia="zh-CN"/>
        </w:rPr>
        <w:t>时效</w:t>
      </w:r>
      <w:r>
        <w:rPr>
          <w:rFonts w:hint="eastAsia"/>
          <w:color w:val="auto"/>
          <w:highlight w:val="none"/>
        </w:rPr>
        <w:t>指标</w:t>
      </w:r>
    </w:p>
    <w:p w14:paraId="3D7A2EEE">
      <w:pPr>
        <w:ind w:firstLine="560"/>
        <w:rPr>
          <w:color w:val="auto"/>
          <w:highlight w:val="none"/>
        </w:rPr>
      </w:pPr>
      <w:r>
        <w:rPr>
          <w:rFonts w:hint="eastAsia"/>
          <w:color w:val="auto"/>
          <w:highlight w:val="none"/>
        </w:rPr>
        <w:t>“免学费按规定及时拨付率”指标，预期指标值</w:t>
      </w:r>
      <w:r>
        <w:rPr>
          <w:rFonts w:hint="eastAsia"/>
          <w:color w:val="auto"/>
          <w:highlight w:val="none"/>
          <w:lang w:eastAsia="zh-CN"/>
        </w:rPr>
        <w:t>为</w:t>
      </w:r>
      <w:r>
        <w:rPr>
          <w:rFonts w:hint="eastAsia"/>
          <w:color w:val="auto"/>
          <w:highlight w:val="none"/>
        </w:rPr>
        <w:t>100%；</w:t>
      </w:r>
    </w:p>
    <w:p w14:paraId="7E128FB1">
      <w:pPr>
        <w:ind w:firstLine="560"/>
        <w:rPr>
          <w:color w:val="auto"/>
          <w:highlight w:val="none"/>
        </w:rPr>
      </w:pPr>
      <w:r>
        <w:rPr>
          <w:rFonts w:hint="eastAsia"/>
          <w:color w:val="auto"/>
          <w:highlight w:val="none"/>
        </w:rPr>
        <w:t>④成本指标</w:t>
      </w:r>
    </w:p>
    <w:p w14:paraId="09075243">
      <w:pPr>
        <w:ind w:firstLine="560"/>
        <w:rPr>
          <w:rFonts w:hint="eastAsia"/>
          <w:color w:val="auto"/>
          <w:highlight w:val="none"/>
        </w:rPr>
      </w:pPr>
      <w:r>
        <w:rPr>
          <w:rFonts w:hint="eastAsia"/>
          <w:color w:val="auto"/>
          <w:highlight w:val="none"/>
        </w:rPr>
        <w:t>“幼儿专业、美容美发专业、机械加工技术专业享受国家免学费中央补助标准”指标，预期指标值</w:t>
      </w:r>
      <w:r>
        <w:rPr>
          <w:rFonts w:hint="eastAsia"/>
          <w:color w:val="auto"/>
          <w:highlight w:val="none"/>
          <w:lang w:eastAsia="zh-CN"/>
        </w:rPr>
        <w:t>为</w:t>
      </w:r>
      <w:r>
        <w:rPr>
          <w:rFonts w:hint="eastAsia"/>
          <w:color w:val="auto"/>
          <w:highlight w:val="none"/>
        </w:rPr>
        <w:t>1280元/人/年；</w:t>
      </w:r>
    </w:p>
    <w:p w14:paraId="7D10E6E3">
      <w:pPr>
        <w:ind w:firstLine="560"/>
        <w:rPr>
          <w:color w:val="auto"/>
          <w:highlight w:val="none"/>
        </w:rPr>
      </w:pPr>
      <w:r>
        <w:rPr>
          <w:rFonts w:hint="eastAsia"/>
          <w:color w:val="auto"/>
          <w:highlight w:val="none"/>
        </w:rPr>
        <w:t>“室内设计专业、汽车维修专业享受国家免学费中央补助标准”指标，预期指标值</w:t>
      </w:r>
      <w:r>
        <w:rPr>
          <w:rFonts w:hint="eastAsia"/>
          <w:color w:val="auto"/>
          <w:highlight w:val="none"/>
          <w:lang w:eastAsia="zh-CN"/>
        </w:rPr>
        <w:t>为</w:t>
      </w:r>
      <w:r>
        <w:rPr>
          <w:rFonts w:hint="eastAsia"/>
          <w:color w:val="auto"/>
          <w:highlight w:val="none"/>
        </w:rPr>
        <w:t>1440元/人/年；</w:t>
      </w:r>
    </w:p>
    <w:p w14:paraId="661FD28B">
      <w:pPr>
        <w:ind w:firstLine="560"/>
        <w:rPr>
          <w:rFonts w:hint="eastAsia"/>
          <w:color w:val="auto"/>
          <w:highlight w:val="none"/>
        </w:rPr>
      </w:pPr>
      <w:r>
        <w:rPr>
          <w:rFonts w:hint="eastAsia"/>
          <w:color w:val="auto"/>
          <w:highlight w:val="none"/>
        </w:rPr>
        <w:t>“家政服务专业、饭店服务专业享受国家免学费中央补助标准”指标，预期指标值</w:t>
      </w:r>
      <w:r>
        <w:rPr>
          <w:rFonts w:hint="eastAsia"/>
          <w:color w:val="auto"/>
          <w:highlight w:val="none"/>
          <w:lang w:eastAsia="zh-CN"/>
        </w:rPr>
        <w:t>为</w:t>
      </w:r>
      <w:r>
        <w:rPr>
          <w:rFonts w:hint="eastAsia"/>
          <w:color w:val="auto"/>
          <w:highlight w:val="none"/>
        </w:rPr>
        <w:t>1040元/人/年万元。</w:t>
      </w:r>
    </w:p>
    <w:p w14:paraId="56656F1F">
      <w:pPr>
        <w:pStyle w:val="2"/>
        <w:rPr>
          <w:color w:val="auto"/>
          <w:highlight w:val="none"/>
        </w:rPr>
      </w:pPr>
      <w:r>
        <w:rPr>
          <w:rFonts w:hint="eastAsia" w:ascii="Times New Roman" w:hAnsi="Times New Roman" w:eastAsia="仿宋_GB2312" w:cs="Times New Roman"/>
          <w:b w:val="0"/>
          <w:bCs w:val="0"/>
          <w:color w:val="auto"/>
          <w:kern w:val="2"/>
          <w:sz w:val="28"/>
          <w:szCs w:val="24"/>
          <w:highlight w:val="none"/>
          <w:lang w:val="en-US" w:eastAsia="zh-CN" w:bidi="ar-SA"/>
        </w:rPr>
        <w:t>“中央发放学生免学费周转资金”指标，预期指标值</w:t>
      </w:r>
      <w:r>
        <w:rPr>
          <w:rFonts w:hint="eastAsia" w:ascii="Times New Roman" w:hAnsi="Times New Roman" w:cs="Times New Roman"/>
          <w:b w:val="0"/>
          <w:bCs w:val="0"/>
          <w:color w:val="auto"/>
          <w:kern w:val="2"/>
          <w:sz w:val="28"/>
          <w:szCs w:val="24"/>
          <w:highlight w:val="none"/>
          <w:lang w:val="en-US" w:eastAsia="zh-CN" w:bidi="ar-SA"/>
        </w:rPr>
        <w:t>为</w:t>
      </w:r>
      <w:r>
        <w:rPr>
          <w:rFonts w:hint="eastAsia"/>
          <w:b w:val="0"/>
          <w:bCs w:val="0"/>
          <w:color w:val="auto"/>
          <w:highlight w:val="none"/>
        </w:rPr>
        <w:t>2.99</w:t>
      </w:r>
      <w:r>
        <w:rPr>
          <w:rFonts w:hint="eastAsia" w:ascii="Times New Roman" w:hAnsi="Times New Roman" w:eastAsia="仿宋_GB2312" w:cs="Times New Roman"/>
          <w:b w:val="0"/>
          <w:bCs w:val="0"/>
          <w:color w:val="auto"/>
          <w:kern w:val="2"/>
          <w:sz w:val="28"/>
          <w:szCs w:val="24"/>
          <w:highlight w:val="none"/>
          <w:lang w:val="en-US" w:eastAsia="zh-CN" w:bidi="ar-SA"/>
        </w:rPr>
        <w:t>万元。</w:t>
      </w:r>
    </w:p>
    <w:p w14:paraId="3A8C59FF">
      <w:pPr>
        <w:ind w:firstLine="562"/>
        <w:rPr>
          <w:rFonts w:ascii="仿宋" w:hAnsi="仿宋" w:eastAsia="仿宋"/>
          <w:b/>
          <w:color w:val="auto"/>
          <w:highlight w:val="none"/>
        </w:rPr>
      </w:pPr>
      <w:r>
        <w:rPr>
          <w:rFonts w:hint="eastAsia" w:ascii="仿宋" w:hAnsi="仿宋" w:eastAsia="仿宋"/>
          <w:b/>
          <w:color w:val="auto"/>
          <w:highlight w:val="none"/>
        </w:rPr>
        <w:t>（2）项目效益目标</w:t>
      </w:r>
    </w:p>
    <w:p w14:paraId="3415D7AA">
      <w:pPr>
        <w:ind w:firstLine="560"/>
        <w:rPr>
          <w:color w:val="auto"/>
          <w:highlight w:val="none"/>
        </w:rPr>
      </w:pPr>
      <w:r>
        <w:rPr>
          <w:rFonts w:hint="eastAsia"/>
          <w:color w:val="auto"/>
          <w:highlight w:val="none"/>
        </w:rPr>
        <w:t>①经济效益指标</w:t>
      </w:r>
    </w:p>
    <w:p w14:paraId="729A64EC">
      <w:pPr>
        <w:ind w:firstLine="560"/>
        <w:rPr>
          <w:rFonts w:hint="eastAsia" w:eastAsia="仿宋_GB2312"/>
          <w:color w:val="auto"/>
          <w:highlight w:val="none"/>
          <w:lang w:eastAsia="zh-CN"/>
        </w:rPr>
      </w:pPr>
      <w:r>
        <w:rPr>
          <w:rFonts w:hint="eastAsia"/>
          <w:color w:val="auto"/>
          <w:highlight w:val="none"/>
          <w:lang w:val="en-US" w:eastAsia="zh-CN"/>
        </w:rPr>
        <w:t>无</w:t>
      </w:r>
    </w:p>
    <w:p w14:paraId="35A589F4">
      <w:pPr>
        <w:ind w:firstLine="560"/>
        <w:rPr>
          <w:color w:val="auto"/>
          <w:highlight w:val="none"/>
        </w:rPr>
      </w:pPr>
      <w:r>
        <w:rPr>
          <w:rFonts w:hint="eastAsia"/>
          <w:color w:val="auto"/>
          <w:highlight w:val="none"/>
        </w:rPr>
        <w:t>②社会效益指标</w:t>
      </w:r>
    </w:p>
    <w:p w14:paraId="39C6BAD1">
      <w:pPr>
        <w:ind w:firstLine="560"/>
        <w:rPr>
          <w:color w:val="auto"/>
          <w:highlight w:val="none"/>
        </w:rPr>
      </w:pPr>
      <w:r>
        <w:rPr>
          <w:rFonts w:hint="eastAsia"/>
          <w:color w:val="auto"/>
          <w:highlight w:val="none"/>
        </w:rPr>
        <w:t>“减少中等职业学生因贫辍学率”指标，预期指标值为有效减</w:t>
      </w:r>
      <w:r>
        <w:rPr>
          <w:rFonts w:hint="eastAsia"/>
          <w:color w:val="auto"/>
          <w:highlight w:val="none"/>
          <w:lang w:eastAsia="zh-CN"/>
        </w:rPr>
        <w:t>少</w:t>
      </w:r>
      <w:r>
        <w:rPr>
          <w:rFonts w:hint="eastAsia"/>
          <w:color w:val="auto"/>
          <w:highlight w:val="none"/>
        </w:rPr>
        <w:t>；</w:t>
      </w:r>
    </w:p>
    <w:p w14:paraId="68F21C2E">
      <w:pPr>
        <w:ind w:firstLine="560"/>
        <w:rPr>
          <w:color w:val="auto"/>
          <w:highlight w:val="none"/>
        </w:rPr>
      </w:pPr>
      <w:r>
        <w:rPr>
          <w:rFonts w:hint="eastAsia"/>
          <w:color w:val="auto"/>
          <w:highlight w:val="none"/>
        </w:rPr>
        <w:t>“减轻家庭经济困难学生的生活负担”指标，预期指标值为有效减轻。</w:t>
      </w:r>
    </w:p>
    <w:p w14:paraId="3F644828">
      <w:pPr>
        <w:ind w:firstLine="560"/>
        <w:rPr>
          <w:color w:val="auto"/>
          <w:highlight w:val="none"/>
        </w:rPr>
      </w:pPr>
      <w:r>
        <w:rPr>
          <w:rFonts w:hint="eastAsia"/>
          <w:color w:val="auto"/>
          <w:highlight w:val="none"/>
        </w:rPr>
        <w:t>③生态效益指标</w:t>
      </w:r>
    </w:p>
    <w:p w14:paraId="3F4EDF55">
      <w:pPr>
        <w:ind w:firstLine="560"/>
        <w:rPr>
          <w:rFonts w:hint="eastAsia"/>
          <w:color w:val="auto"/>
          <w:highlight w:val="none"/>
          <w:lang w:eastAsia="zh-CN"/>
        </w:rPr>
      </w:pPr>
      <w:r>
        <w:rPr>
          <w:rFonts w:hint="eastAsia"/>
          <w:color w:val="auto"/>
          <w:highlight w:val="none"/>
          <w:lang w:eastAsia="zh-CN"/>
        </w:rPr>
        <w:t>无</w:t>
      </w:r>
    </w:p>
    <w:p w14:paraId="1EC1DC71">
      <w:pPr>
        <w:ind w:firstLine="560"/>
        <w:rPr>
          <w:rFonts w:hint="eastAsia"/>
          <w:color w:val="auto"/>
          <w:highlight w:val="none"/>
        </w:rPr>
      </w:pPr>
      <w:r>
        <w:rPr>
          <w:rFonts w:hint="eastAsia"/>
          <w:color w:val="auto"/>
          <w:highlight w:val="none"/>
        </w:rPr>
        <w:t>④可持续影响</w:t>
      </w:r>
    </w:p>
    <w:p w14:paraId="14AE7027">
      <w:pPr>
        <w:pStyle w:val="2"/>
        <w:rPr>
          <w:rFonts w:hint="eastAsia" w:eastAsia="仿宋_GB2312"/>
          <w:b w:val="0"/>
          <w:bCs w:val="0"/>
          <w:color w:val="auto"/>
          <w:highlight w:val="none"/>
          <w:lang w:eastAsia="zh-CN"/>
        </w:rPr>
      </w:pPr>
      <w:r>
        <w:rPr>
          <w:rFonts w:hint="eastAsia"/>
          <w:b w:val="0"/>
          <w:bCs w:val="0"/>
          <w:color w:val="auto"/>
          <w:highlight w:val="none"/>
          <w:lang w:eastAsia="zh-CN"/>
        </w:rPr>
        <w:t>无</w:t>
      </w:r>
    </w:p>
    <w:p w14:paraId="58C524CB">
      <w:pPr>
        <w:ind w:firstLine="562"/>
        <w:rPr>
          <w:rFonts w:ascii="仿宋" w:hAnsi="仿宋" w:eastAsia="仿宋"/>
          <w:b/>
          <w:color w:val="auto"/>
          <w:highlight w:val="none"/>
        </w:rPr>
      </w:pPr>
      <w:r>
        <w:rPr>
          <w:rFonts w:hint="eastAsia" w:ascii="仿宋" w:hAnsi="仿宋" w:eastAsia="仿宋"/>
          <w:b/>
          <w:color w:val="auto"/>
          <w:highlight w:val="none"/>
        </w:rPr>
        <w:t>（3）相关满意度目标</w:t>
      </w:r>
    </w:p>
    <w:p w14:paraId="6C692B3F">
      <w:pPr>
        <w:ind w:firstLine="560"/>
        <w:rPr>
          <w:color w:val="auto"/>
          <w:highlight w:val="none"/>
        </w:rPr>
      </w:pPr>
      <w:r>
        <w:rPr>
          <w:rFonts w:hint="eastAsia"/>
          <w:color w:val="auto"/>
          <w:highlight w:val="none"/>
        </w:rPr>
        <w:t>①满意度指标</w:t>
      </w:r>
    </w:p>
    <w:p w14:paraId="729944EE">
      <w:pPr>
        <w:ind w:firstLine="560"/>
        <w:rPr>
          <w:rFonts w:hint="eastAsia"/>
          <w:color w:val="auto"/>
          <w:highlight w:val="none"/>
        </w:rPr>
      </w:pPr>
      <w:r>
        <w:rPr>
          <w:rFonts w:hint="eastAsia"/>
          <w:color w:val="auto"/>
          <w:highlight w:val="none"/>
        </w:rPr>
        <w:t>“学生、家长对免学费补助满意度”指标，预期指标值为</w:t>
      </w:r>
      <w:r>
        <w:rPr>
          <w:rFonts w:hint="eastAsia"/>
          <w:color w:val="auto"/>
          <w:highlight w:val="none"/>
          <w:lang w:eastAsia="zh-CN"/>
        </w:rPr>
        <w:t>大于等于</w:t>
      </w:r>
      <w:r>
        <w:rPr>
          <w:rFonts w:hint="eastAsia"/>
          <w:color w:val="auto"/>
          <w:highlight w:val="none"/>
        </w:rPr>
        <w:t>95.0%；</w:t>
      </w:r>
    </w:p>
    <w:p w14:paraId="08EBF240">
      <w:pPr>
        <w:pStyle w:val="3"/>
        <w:ind w:left="0" w:leftChars="0" w:firstLine="640" w:firstLineChars="200"/>
        <w:rPr>
          <w:color w:val="auto"/>
          <w:highlight w:val="none"/>
        </w:rPr>
      </w:pPr>
      <w:r>
        <w:rPr>
          <w:rFonts w:hint="eastAsia"/>
          <w:color w:val="auto"/>
          <w:highlight w:val="none"/>
        </w:rPr>
        <w:t>二、绩效评价工作开展情况</w:t>
      </w:r>
    </w:p>
    <w:p w14:paraId="121F9017">
      <w:pPr>
        <w:pStyle w:val="4"/>
        <w:numPr>
          <w:ilvl w:val="0"/>
          <w:numId w:val="3"/>
        </w:numPr>
        <w:ind w:firstLine="643"/>
        <w:rPr>
          <w:rFonts w:ascii="楷体" w:hAnsi="楷体" w:cs="楷体"/>
          <w:color w:val="auto"/>
          <w:szCs w:val="32"/>
          <w:highlight w:val="none"/>
        </w:rPr>
      </w:pPr>
      <w:bookmarkStart w:id="0" w:name="_Toc22922"/>
      <w:bookmarkStart w:id="1" w:name="_Toc22169_WPSOffice_Level2"/>
      <w:bookmarkStart w:id="2" w:name="_Toc21664"/>
      <w:bookmarkStart w:id="3" w:name="_Toc5258"/>
      <w:bookmarkStart w:id="4" w:name="_Toc480473081"/>
      <w:bookmarkStart w:id="5" w:name="_Toc26632"/>
      <w:bookmarkStart w:id="6" w:name="_Toc5462343"/>
      <w:bookmarkStart w:id="7" w:name="_Toc12868"/>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14:paraId="38E023A4">
      <w:pPr>
        <w:pStyle w:val="2"/>
        <w:ind w:firstLine="562"/>
        <w:rPr>
          <w:color w:val="auto"/>
          <w:highlight w:val="none"/>
        </w:rPr>
      </w:pPr>
      <w:r>
        <w:rPr>
          <w:rFonts w:hint="eastAsia"/>
          <w:color w:val="auto"/>
          <w:highlight w:val="none"/>
        </w:rPr>
        <w:t>1.</w:t>
      </w:r>
      <w:r>
        <w:rPr>
          <w:rFonts w:hint="eastAsia" w:ascii="楷体" w:hAnsi="楷体" w:eastAsia="楷体" w:cs="楷体"/>
          <w:color w:val="auto"/>
          <w:sz w:val="32"/>
          <w:highlight w:val="none"/>
        </w:rPr>
        <w:t>绩效评价的目的</w:t>
      </w:r>
    </w:p>
    <w:p w14:paraId="6E028D89">
      <w:pPr>
        <w:spacing w:line="600" w:lineRule="exact"/>
        <w:ind w:firstLine="560"/>
        <w:rPr>
          <w:rFonts w:hint="eastAsia"/>
          <w:color w:val="auto"/>
          <w:highlight w:val="none"/>
          <w:lang w:val="en-US" w:eastAsia="zh-CN"/>
        </w:rPr>
      </w:pPr>
      <w:r>
        <w:rPr>
          <w:rFonts w:hint="eastAsia"/>
          <w:color w:val="auto"/>
          <w:highlight w:val="none"/>
          <w:lang w:val="en-US" w:eastAsia="zh-CN"/>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p>
    <w:p w14:paraId="367DB610">
      <w:pPr>
        <w:spacing w:line="600" w:lineRule="exact"/>
        <w:ind w:firstLine="560"/>
        <w:rPr>
          <w:color w:val="auto"/>
          <w:highlight w:val="none"/>
        </w:rPr>
      </w:pPr>
      <w:r>
        <w:rPr>
          <w:rFonts w:hint="eastAsia"/>
          <w:color w:val="auto"/>
          <w:highlight w:val="none"/>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p>
    <w:p w14:paraId="34317558">
      <w:pPr>
        <w:pStyle w:val="2"/>
        <w:ind w:firstLine="562"/>
        <w:rPr>
          <w:color w:val="auto"/>
          <w:highlight w:val="none"/>
        </w:rPr>
      </w:pPr>
      <w:r>
        <w:rPr>
          <w:rFonts w:hint="eastAsia"/>
          <w:color w:val="auto"/>
          <w:highlight w:val="none"/>
        </w:rPr>
        <w:t>2.绩效评价的对象和范围</w:t>
      </w:r>
    </w:p>
    <w:p w14:paraId="0CE05435">
      <w:pPr>
        <w:ind w:firstLine="560"/>
        <w:rPr>
          <w:rFonts w:hint="eastAsia"/>
          <w:color w:val="auto"/>
          <w:highlight w:val="none"/>
        </w:rPr>
      </w:pPr>
      <w:r>
        <w:rPr>
          <w:rFonts w:hint="eastAsia"/>
          <w:b/>
          <w:bCs/>
          <w:color w:val="auto"/>
          <w:highlight w:val="none"/>
          <w:lang w:val="en-US" w:eastAsia="zh-CN"/>
        </w:rPr>
        <w:t>评价对象：</w:t>
      </w:r>
      <w:r>
        <w:rPr>
          <w:rFonts w:hint="eastAsia"/>
          <w:color w:val="auto"/>
          <w:highlight w:val="none"/>
        </w:rPr>
        <w:t>此次我单位根据《财政支出绩效评价管理暂行办法》（财预〔2020〕10号）文件要求对2023年学生资助补助中央直达资金-技工免学费项目开展部门绩效评价，</w:t>
      </w:r>
      <w:r>
        <w:rPr>
          <w:rFonts w:hint="eastAsia"/>
          <w:color w:val="auto"/>
          <w:highlight w:val="none"/>
          <w:lang w:eastAsia="zh-CN"/>
        </w:rPr>
        <w:t>评价核心</w:t>
      </w:r>
      <w:r>
        <w:rPr>
          <w:rFonts w:hint="eastAsia"/>
          <w:color w:val="auto"/>
          <w:highlight w:val="none"/>
          <w:lang w:val="en-US" w:eastAsia="zh-CN"/>
        </w:rPr>
        <w:t>内容</w:t>
      </w:r>
      <w:r>
        <w:rPr>
          <w:rFonts w:hint="eastAsia"/>
          <w:color w:val="auto"/>
          <w:highlight w:val="none"/>
          <w:lang w:eastAsia="zh-CN"/>
        </w:rPr>
        <w:t>为项目资金</w:t>
      </w:r>
      <w:r>
        <w:rPr>
          <w:rFonts w:hint="eastAsia"/>
          <w:color w:val="auto"/>
          <w:highlight w:val="none"/>
          <w:lang w:val="en-US" w:eastAsia="zh-CN"/>
        </w:rPr>
        <w:t>执行情况</w:t>
      </w:r>
      <w:r>
        <w:rPr>
          <w:rFonts w:hint="eastAsia"/>
          <w:color w:val="auto"/>
          <w:highlight w:val="none"/>
          <w:lang w:eastAsia="zh-CN"/>
        </w:rPr>
        <w:t>、项目产出</w:t>
      </w:r>
      <w:r>
        <w:rPr>
          <w:rFonts w:hint="eastAsia"/>
          <w:color w:val="auto"/>
          <w:highlight w:val="none"/>
          <w:lang w:val="en-US" w:eastAsia="zh-CN"/>
        </w:rPr>
        <w:t>情况</w:t>
      </w:r>
      <w:r>
        <w:rPr>
          <w:rFonts w:hint="eastAsia"/>
          <w:color w:val="auto"/>
          <w:highlight w:val="none"/>
          <w:lang w:eastAsia="zh-CN"/>
        </w:rPr>
        <w:t>、项目效益</w:t>
      </w:r>
      <w:r>
        <w:rPr>
          <w:rFonts w:hint="eastAsia"/>
          <w:color w:val="auto"/>
          <w:highlight w:val="none"/>
          <w:lang w:val="en-US" w:eastAsia="zh-CN"/>
        </w:rPr>
        <w:t>情况</w:t>
      </w:r>
      <w:r>
        <w:rPr>
          <w:rFonts w:hint="default"/>
          <w:color w:val="auto"/>
          <w:highlight w:val="none"/>
          <w:lang w:val="en-US" w:eastAsia="zh-CN"/>
        </w:rPr>
        <w:t>。</w:t>
      </w:r>
    </w:p>
    <w:p w14:paraId="4DF0CC6D">
      <w:pPr>
        <w:ind w:firstLine="560"/>
        <w:rPr>
          <w:color w:val="auto"/>
          <w:highlight w:val="none"/>
        </w:rPr>
      </w:pPr>
      <w:r>
        <w:rPr>
          <w:rFonts w:hint="eastAsia"/>
          <w:b/>
          <w:bCs/>
          <w:color w:val="auto"/>
          <w:highlight w:val="none"/>
          <w:lang w:val="en-US" w:eastAsia="zh-CN"/>
        </w:rPr>
        <w:t>评价范围：</w:t>
      </w:r>
      <w:r>
        <w:rPr>
          <w:rFonts w:hint="eastAsia"/>
          <w:color w:val="auto"/>
          <w:highlight w:val="none"/>
        </w:rPr>
        <w:t>本次绩效评价主要围绕项目</w:t>
      </w:r>
      <w:r>
        <w:rPr>
          <w:color w:val="auto"/>
          <w:highlight w:val="none"/>
        </w:rPr>
        <w:t>资金使用情况、财务管理状况和资产配置、使用、处置及其收益管理情况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；绩效目标的实现程度，包括是否达到预定产出和效果等</w:t>
      </w:r>
      <w:r>
        <w:rPr>
          <w:rFonts w:hint="eastAsia"/>
          <w:color w:val="auto"/>
          <w:highlight w:val="none"/>
        </w:rPr>
        <w:t>方面进行部门绩效评价。</w:t>
      </w:r>
    </w:p>
    <w:p w14:paraId="6B9CFE7B">
      <w:pPr>
        <w:pStyle w:val="4"/>
        <w:numPr>
          <w:ilvl w:val="0"/>
          <w:numId w:val="3"/>
        </w:numPr>
        <w:ind w:firstLine="643"/>
        <w:rPr>
          <w:color w:val="auto"/>
          <w:highlight w:val="none"/>
        </w:rPr>
      </w:pPr>
      <w:r>
        <w:rPr>
          <w:rFonts w:hint="eastAsia"/>
          <w:color w:val="auto"/>
          <w:highlight w:val="none"/>
        </w:rPr>
        <w:t>绩效评价原则、评价指标体系、评价方法评价标准</w:t>
      </w:r>
    </w:p>
    <w:p w14:paraId="4C90F208">
      <w:pPr>
        <w:pStyle w:val="2"/>
        <w:ind w:firstLine="562"/>
        <w:rPr>
          <w:color w:val="auto"/>
          <w:highlight w:val="none"/>
        </w:rPr>
      </w:pPr>
      <w:r>
        <w:rPr>
          <w:rFonts w:hint="eastAsia"/>
          <w:color w:val="auto"/>
          <w:highlight w:val="none"/>
        </w:rPr>
        <w:t>1.绩效评价原则</w:t>
      </w:r>
    </w:p>
    <w:p w14:paraId="6DF743F4">
      <w:pPr>
        <w:spacing w:line="600" w:lineRule="exact"/>
        <w:ind w:firstLine="560"/>
        <w:rPr>
          <w:color w:val="auto"/>
          <w:highlight w:val="none"/>
        </w:rPr>
      </w:pPr>
      <w:r>
        <w:rPr>
          <w:rFonts w:hint="eastAsia"/>
          <w:color w:val="auto"/>
          <w:highlight w:val="none"/>
        </w:rPr>
        <w:t>依据《中华人民共和国预算法》、《中共中央国务院关于全面实施预算绩效管理的意见》（中发〔2018〕34号）、《项目支出绩效评价管理办法》（财预〔2020〕10号）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w:t>
      </w:r>
      <w:r>
        <w:rPr>
          <w:rFonts w:hint="eastAsia"/>
          <w:color w:val="auto"/>
          <w:highlight w:val="none"/>
          <w:lang w:eastAsia="zh-CN"/>
        </w:rPr>
        <w:t>）</w:t>
      </w:r>
      <w:r>
        <w:rPr>
          <w:rFonts w:hint="eastAsia"/>
          <w:color w:val="auto"/>
          <w:highlight w:val="none"/>
        </w:rPr>
        <w:t>等要求，本次绩效评价秉承科学规范、公正公开、分级分类、绩效相关等原则，按照从投入、过程到产出效果和影响的绩效逻辑路径，结合项目实际开展情况，运用定量和定性分析相结合的方法，总结经验做法，反思项目实施和管理中的问题，以切实提升财政资金管理的科学化、规范化和精细化水平。</w:t>
      </w:r>
    </w:p>
    <w:p w14:paraId="5964E956">
      <w:pPr>
        <w:spacing w:line="600" w:lineRule="exact"/>
        <w:ind w:firstLine="560"/>
        <w:rPr>
          <w:color w:val="auto"/>
          <w:highlight w:val="none"/>
        </w:rPr>
      </w:pPr>
      <w:r>
        <w:rPr>
          <w:rFonts w:hint="eastAsia"/>
          <w:color w:val="auto"/>
          <w:highlight w:val="none"/>
        </w:rPr>
        <w:t>根据以上原则，绩效评价应遵循如下要求：</w:t>
      </w:r>
    </w:p>
    <w:p w14:paraId="30D57560">
      <w:pPr>
        <w:spacing w:line="600" w:lineRule="exact"/>
        <w:ind w:firstLine="560"/>
        <w:rPr>
          <w:color w:val="auto"/>
          <w:highlight w:val="none"/>
        </w:rPr>
      </w:pPr>
      <w:r>
        <w:rPr>
          <w:rFonts w:hint="eastAsia"/>
          <w:color w:val="auto"/>
          <w:highlight w:val="none"/>
        </w:rPr>
        <w:t>（1）在数据采集时，采取客观数据，主管部门审查、社会中介组织复查，与问卷调查相结合的形式，以保证各项指标的真实性。</w:t>
      </w:r>
    </w:p>
    <w:p w14:paraId="54E76217">
      <w:pPr>
        <w:spacing w:line="600" w:lineRule="exact"/>
        <w:ind w:firstLine="560"/>
        <w:rPr>
          <w:color w:val="auto"/>
          <w:highlight w:val="none"/>
        </w:rPr>
      </w:pPr>
      <w:r>
        <w:rPr>
          <w:rFonts w:hint="eastAsia"/>
          <w:color w:val="auto"/>
          <w:highlight w:val="none"/>
        </w:rPr>
        <w:t>（2）保证评价结果的真实性、公正性，提高评价报告的公信力。</w:t>
      </w:r>
    </w:p>
    <w:p w14:paraId="0C673541">
      <w:pPr>
        <w:spacing w:line="600" w:lineRule="exact"/>
        <w:ind w:firstLine="560"/>
        <w:rPr>
          <w:color w:val="auto"/>
          <w:highlight w:val="none"/>
        </w:rPr>
      </w:pPr>
      <w:r>
        <w:rPr>
          <w:rFonts w:hint="eastAsia"/>
          <w:color w:val="auto"/>
          <w:highlight w:val="none"/>
        </w:rPr>
        <w:t>（3）绩效评价报告应当简明扼要，除了对绩效评价的过程、结果描述外，还应总结经验，指出问题，并就共性问题提出可操作性改进建议。</w:t>
      </w:r>
    </w:p>
    <w:p w14:paraId="52E69022">
      <w:pPr>
        <w:pStyle w:val="2"/>
        <w:ind w:firstLine="562"/>
        <w:rPr>
          <w:color w:val="auto"/>
          <w:highlight w:val="none"/>
        </w:rPr>
      </w:pPr>
      <w:bookmarkStart w:id="8" w:name="_Toc428278230"/>
      <w:bookmarkStart w:id="9" w:name="_Toc1913"/>
      <w:bookmarkStart w:id="10" w:name="_Toc419984722"/>
      <w:bookmarkStart w:id="11" w:name="_Toc26131"/>
      <w:r>
        <w:rPr>
          <w:rFonts w:hint="eastAsia"/>
          <w:color w:val="auto"/>
          <w:highlight w:val="none"/>
        </w:rPr>
        <w:t>2.绩效评价指标体系</w:t>
      </w:r>
      <w:bookmarkEnd w:id="8"/>
      <w:bookmarkEnd w:id="9"/>
      <w:bookmarkEnd w:id="10"/>
      <w:bookmarkEnd w:id="11"/>
    </w:p>
    <w:p w14:paraId="7542B071">
      <w:pPr>
        <w:ind w:firstLine="560"/>
        <w:rPr>
          <w:rFonts w:hint="eastAsia"/>
          <w:color w:val="auto"/>
          <w:highlight w:val="none"/>
          <w:lang w:val="en-US" w:eastAsia="zh-CN"/>
        </w:rPr>
      </w:pPr>
      <w:r>
        <w:rPr>
          <w:rFonts w:hint="eastAsia"/>
          <w:color w:val="auto"/>
          <w:highlight w:val="none"/>
        </w:rPr>
        <w:t>我单位</w:t>
      </w:r>
      <w:r>
        <w:rPr>
          <w:rFonts w:hint="eastAsia"/>
          <w:color w:val="auto"/>
          <w:highlight w:val="none"/>
          <w:lang w:val="zh-TW" w:eastAsia="zh-TW"/>
        </w:rPr>
        <w:t>根据项目的</w:t>
      </w:r>
      <w:r>
        <w:rPr>
          <w:rFonts w:hint="eastAsia"/>
          <w:color w:val="auto"/>
          <w:highlight w:val="none"/>
        </w:rPr>
        <w:t>实施</w:t>
      </w:r>
      <w:r>
        <w:rPr>
          <w:rFonts w:hint="eastAsia"/>
          <w:color w:val="auto"/>
          <w:highlight w:val="none"/>
          <w:lang w:val="zh-TW" w:eastAsia="zh-TW"/>
        </w:rPr>
        <w:t>资料研读及前期调研，结合项目的实际开展情况，按照《项目支出绩效评价管理办法》（财预〔2020〕10号）文件要求设置指标体系结构如下：设置一级指标共4个，包括：决策指标（2</w:t>
      </w:r>
      <w:r>
        <w:rPr>
          <w:rFonts w:hint="eastAsia"/>
          <w:color w:val="auto"/>
          <w:highlight w:val="none"/>
          <w:lang w:val="en-US" w:eastAsia="zh-CN"/>
        </w:rPr>
        <w:t>0分</w:t>
      </w:r>
      <w:r>
        <w:rPr>
          <w:rFonts w:hint="eastAsia"/>
          <w:color w:val="auto"/>
          <w:highlight w:val="none"/>
          <w:lang w:val="zh-TW" w:eastAsia="zh-TW"/>
        </w:rPr>
        <w:t>）、过程指标（</w:t>
      </w:r>
      <w:r>
        <w:rPr>
          <w:rFonts w:hint="eastAsia"/>
          <w:color w:val="auto"/>
          <w:highlight w:val="none"/>
          <w:lang w:val="en-US" w:eastAsia="zh-CN"/>
        </w:rPr>
        <w:t>20分</w:t>
      </w:r>
      <w:r>
        <w:rPr>
          <w:rFonts w:hint="eastAsia"/>
          <w:color w:val="auto"/>
          <w:highlight w:val="none"/>
          <w:lang w:val="zh-TW" w:eastAsia="zh-TW"/>
        </w:rPr>
        <w:t>）、产出指标（</w:t>
      </w:r>
      <w:r>
        <w:rPr>
          <w:rFonts w:hint="eastAsia"/>
          <w:color w:val="auto"/>
          <w:highlight w:val="none"/>
          <w:lang w:val="en-US" w:eastAsia="zh-CN"/>
        </w:rPr>
        <w:t>3</w:t>
      </w:r>
      <w:r>
        <w:rPr>
          <w:rFonts w:hint="eastAsia"/>
          <w:color w:val="auto"/>
          <w:highlight w:val="none"/>
          <w:lang w:val="zh-TW" w:eastAsia="zh-TW"/>
        </w:rPr>
        <w:t>0</w:t>
      </w:r>
      <w:r>
        <w:rPr>
          <w:rFonts w:hint="eastAsia"/>
          <w:color w:val="auto"/>
          <w:highlight w:val="none"/>
          <w:lang w:val="en-US" w:eastAsia="zh-CN"/>
        </w:rPr>
        <w:t>分</w:t>
      </w:r>
      <w:r>
        <w:rPr>
          <w:rFonts w:hint="eastAsia"/>
          <w:color w:val="auto"/>
          <w:highlight w:val="none"/>
          <w:lang w:val="zh-TW" w:eastAsia="zh-TW"/>
        </w:rPr>
        <w:t>）、效益指标（</w:t>
      </w:r>
      <w:r>
        <w:rPr>
          <w:rFonts w:hint="eastAsia"/>
          <w:color w:val="auto"/>
          <w:highlight w:val="none"/>
          <w:lang w:val="en-US" w:eastAsia="zh-CN"/>
        </w:rPr>
        <w:t>3</w:t>
      </w:r>
      <w:r>
        <w:rPr>
          <w:rFonts w:hint="eastAsia"/>
          <w:color w:val="auto"/>
          <w:highlight w:val="none"/>
          <w:lang w:val="zh-TW" w:eastAsia="zh-TW"/>
        </w:rPr>
        <w:t>0</w:t>
      </w:r>
      <w:r>
        <w:rPr>
          <w:rFonts w:hint="eastAsia"/>
          <w:color w:val="auto"/>
          <w:highlight w:val="none"/>
          <w:lang w:val="en-US" w:eastAsia="zh-CN"/>
        </w:rPr>
        <w:t>分</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lang w:val="en-US" w:eastAsia="zh-CN"/>
        </w:rPr>
        <w:t>具体指标分类如下：</w:t>
      </w:r>
    </w:p>
    <w:p w14:paraId="56725FE2">
      <w:pPr>
        <w:bidi w:val="0"/>
        <w:rPr>
          <w:rFonts w:hint="eastAsia"/>
          <w:color w:val="auto"/>
          <w:highlight w:val="none"/>
          <w:lang w:eastAsia="zh-CN"/>
        </w:rPr>
      </w:pPr>
      <w:r>
        <w:rPr>
          <w:rFonts w:hint="eastAsia"/>
          <w:color w:val="auto"/>
          <w:highlight w:val="none"/>
        </w:rPr>
        <w:t>一级指标为：决策、过程、产出、效益</w:t>
      </w:r>
      <w:r>
        <w:rPr>
          <w:rFonts w:hint="eastAsia"/>
          <w:color w:val="auto"/>
          <w:highlight w:val="none"/>
          <w:lang w:eastAsia="zh-CN"/>
        </w:rPr>
        <w:t>。</w:t>
      </w:r>
    </w:p>
    <w:p w14:paraId="44130EA5">
      <w:pPr>
        <w:bidi w:val="0"/>
        <w:rPr>
          <w:rFonts w:hint="eastAsia"/>
          <w:color w:val="auto"/>
          <w:highlight w:val="none"/>
          <w:lang w:eastAsia="zh-CN"/>
        </w:rPr>
      </w:pPr>
      <w:r>
        <w:rPr>
          <w:rFonts w:hint="eastAsia"/>
          <w:color w:val="auto"/>
          <w:highlight w:val="none"/>
        </w:rPr>
        <w:t>二级指标为：项目立项、绩效目标、资金投入、资金管理、组织实施、产出数量、产出质量、产出时效、产出成本、项目效益</w:t>
      </w:r>
      <w:r>
        <w:rPr>
          <w:rFonts w:hint="eastAsia"/>
          <w:color w:val="auto"/>
          <w:highlight w:val="none"/>
          <w:lang w:eastAsia="zh-CN"/>
        </w:rPr>
        <w:t>。</w:t>
      </w:r>
    </w:p>
    <w:p w14:paraId="1D431C84">
      <w:pPr>
        <w:ind w:firstLine="560"/>
        <w:rPr>
          <w:rFonts w:hint="eastAsia"/>
          <w:color w:val="auto"/>
          <w:highlight w:val="none"/>
          <w:lang w:eastAsia="zh-CN"/>
        </w:rPr>
      </w:pPr>
      <w:r>
        <w:rPr>
          <w:rFonts w:hint="eastAsia"/>
          <w:color w:val="auto"/>
          <w:highlight w:val="none"/>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Fonts w:hint="eastAsia"/>
          <w:color w:val="auto"/>
          <w:highlight w:val="none"/>
          <w:lang w:eastAsia="zh-CN"/>
        </w:rPr>
        <w:t>。</w:t>
      </w:r>
    </w:p>
    <w:p w14:paraId="28ADAB87">
      <w:pPr>
        <w:ind w:firstLine="560"/>
        <w:rPr>
          <w:color w:val="auto"/>
          <w:highlight w:val="none"/>
        </w:rPr>
      </w:pPr>
      <w:r>
        <w:rPr>
          <w:rFonts w:hint="eastAsia"/>
          <w:color w:val="auto"/>
          <w:highlight w:val="none"/>
          <w:lang w:val="en-US" w:eastAsia="zh-CN"/>
        </w:rP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w:t>
      </w:r>
    </w:p>
    <w:p w14:paraId="72EC2586">
      <w:pPr>
        <w:pStyle w:val="2"/>
        <w:ind w:firstLine="562"/>
        <w:rPr>
          <w:color w:val="auto"/>
          <w:highlight w:val="none"/>
        </w:rPr>
      </w:pPr>
      <w:r>
        <w:rPr>
          <w:rFonts w:hint="eastAsia"/>
          <w:color w:val="auto"/>
          <w:highlight w:val="none"/>
        </w:rPr>
        <w:t>3.评价方法</w:t>
      </w:r>
    </w:p>
    <w:p w14:paraId="446F7DCC">
      <w:pPr>
        <w:bidi w:val="0"/>
        <w:rPr>
          <w:rFonts w:hint="eastAsia"/>
          <w:color w:val="auto"/>
          <w:highlight w:val="none"/>
        </w:rPr>
      </w:pPr>
      <w:r>
        <w:rPr>
          <w:rFonts w:hint="eastAsia"/>
          <w:color w:val="auto"/>
          <w:highlight w:val="none"/>
          <w:lang w:val="en-US" w:eastAsia="zh-CN"/>
        </w:rPr>
        <w:t>本项目</w:t>
      </w:r>
      <w:r>
        <w:rPr>
          <w:rFonts w:hint="eastAsia"/>
          <w:color w:val="auto"/>
          <w:highlight w:val="none"/>
        </w:rPr>
        <w:t>绩效评价小组根据项目资金的性质和特点，选用比较法、因素分析法、公众评判法以及文献法对项目进行评价，旨在通过综合分析影响绩效目标实现、实施效果的内外部因素，从而评价本项目绩效。</w:t>
      </w:r>
    </w:p>
    <w:p w14:paraId="28B950B7">
      <w:pPr>
        <w:bidi w:val="0"/>
        <w:rPr>
          <w:rFonts w:hint="eastAsia"/>
          <w:color w:val="auto"/>
          <w:highlight w:val="none"/>
        </w:rPr>
      </w:pPr>
      <w:r>
        <w:rPr>
          <w:rFonts w:hint="eastAsia"/>
          <w:color w:val="auto"/>
          <w:highlight w:val="none"/>
        </w:rPr>
        <w:t>三级指标分析环节：总体采用比较法，同时辅以文献法、成本效益法、因素分析法以及公众评判法，根据不同三级指标类型进行逐项分析。</w:t>
      </w:r>
    </w:p>
    <w:p w14:paraId="2E94FC88">
      <w:pPr>
        <w:bidi w:val="0"/>
        <w:rPr>
          <w:rFonts w:hint="eastAsia"/>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定量指标分析环节：主要采用比较法，对比三级指标预期指标值和三级指标截止评价日的完成情况，综合分析绩效目标实现程度。详细评价方法的应用如下：</w:t>
      </w:r>
    </w:p>
    <w:p w14:paraId="034F1AE0">
      <w:pPr>
        <w:bidi w:val="0"/>
        <w:rPr>
          <w:rFonts w:hint="eastAsia"/>
          <w:color w:val="auto"/>
          <w:highlight w:val="none"/>
        </w:rPr>
      </w:pPr>
      <w:r>
        <w:rPr>
          <w:rFonts w:hint="eastAsia"/>
          <w:color w:val="auto"/>
          <w:highlight w:val="none"/>
        </w:rPr>
        <w:t>一般量化统计类等定量指标：通过对比实际完成值和预期指标值，达成预期指标值的，记该指标所赋全部分值；对完成值高于指标值较多的，</w:t>
      </w:r>
      <w:r>
        <w:rPr>
          <w:rFonts w:hint="eastAsia"/>
          <w:color w:val="auto"/>
          <w:highlight w:val="none"/>
          <w:lang w:val="en-US" w:eastAsia="zh-CN"/>
        </w:rPr>
        <w:t>需要</w:t>
      </w:r>
      <w:r>
        <w:rPr>
          <w:rFonts w:hint="eastAsia"/>
          <w:color w:val="auto"/>
          <w:highlight w:val="none"/>
        </w:rPr>
        <w:t>分析原因，如果是由于年初指标值设定明显偏低造成的，要按照偏离度适度调减分值；未完成指标值的，按照完成值与指标值的比值计算分值。</w:t>
      </w:r>
    </w:p>
    <w:p w14:paraId="2C497FE6">
      <w:pPr>
        <w:bidi w:val="0"/>
        <w:rPr>
          <w:rFonts w:hint="eastAsia"/>
          <w:color w:val="auto"/>
          <w:highlight w:val="none"/>
        </w:rPr>
      </w:pPr>
      <w:r>
        <w:rPr>
          <w:rFonts w:hint="eastAsia"/>
          <w:color w:val="auto"/>
          <w:highlight w:val="none"/>
        </w:rPr>
        <w:t>属于“是”或“否”判断的单一评判定量指标：比较法，符合要求的得满分，不符合要求的不得分或者扣相应的分数。</w:t>
      </w:r>
    </w:p>
    <w:p w14:paraId="037FE9E3">
      <w:pPr>
        <w:bidi w:val="0"/>
        <w:rPr>
          <w:rFonts w:hint="eastAsia"/>
          <w:color w:val="auto"/>
          <w:highlight w:val="none"/>
        </w:rPr>
      </w:pPr>
      <w:r>
        <w:rPr>
          <w:rFonts w:hint="eastAsia"/>
          <w:color w:val="auto"/>
          <w:highlight w:val="none"/>
        </w:rPr>
        <w:t>满意度指标：主要采用比较法，据满意度问卷统计情况计算完成比率与预期指标值对比，达成满意度预期目标的，得满分；未完成指标值的，按照完成值与预期指标值的比值计算得分；满意度小于60%不得分。</w:t>
      </w:r>
    </w:p>
    <w:p w14:paraId="77C89437">
      <w:pPr>
        <w:bidi w:val="0"/>
        <w:rPr>
          <w:rFonts w:hint="eastAsia"/>
          <w:color w:val="auto"/>
          <w:highlight w:val="none"/>
        </w:rPr>
      </w:pPr>
      <w:r>
        <w:rPr>
          <w:rFonts w:hint="eastAsia"/>
          <w:color w:val="auto"/>
          <w:highlight w:val="none"/>
        </w:rPr>
        <w:t>定性指标分析环节：主要采用公众评判法，通过问卷及抽样调查等方式评价本项目实施后社会公众对于其实施效果的满意程度，将调研结果按照《中央部门项目支出核心绩效目标和指标设置及取值指引（试行）》（财预〔2021〕101号）文件要求分为基本达成目标、部分实现目标、实现目标程度较低三个档次，并分别按照该指标对应分值区间100%-80%（含）、80%-60%（含）、60%-0%合理确定分值</w:t>
      </w:r>
      <w:r>
        <w:rPr>
          <w:rFonts w:hint="eastAsia"/>
          <w:color w:val="auto"/>
          <w:highlight w:val="none"/>
          <w:lang w:eastAsia="zh-CN"/>
        </w:rPr>
        <w:t>。</w:t>
      </w:r>
    </w:p>
    <w:p w14:paraId="18B7F112">
      <w:pPr>
        <w:pStyle w:val="2"/>
        <w:ind w:firstLine="562"/>
        <w:rPr>
          <w:color w:val="auto"/>
          <w:highlight w:val="none"/>
        </w:rPr>
      </w:pPr>
      <w:r>
        <w:rPr>
          <w:rFonts w:hint="eastAsia"/>
          <w:color w:val="auto"/>
          <w:highlight w:val="none"/>
        </w:rPr>
        <w:t>4.评价标准</w:t>
      </w:r>
    </w:p>
    <w:p w14:paraId="6E9E5D0B">
      <w:pPr>
        <w:ind w:firstLine="560"/>
        <w:rPr>
          <w:rFonts w:hint="eastAsia"/>
          <w:color w:val="auto"/>
          <w:highlight w:val="none"/>
        </w:rPr>
      </w:pPr>
      <w:r>
        <w:rPr>
          <w:rFonts w:hint="eastAsia" w:ascii="仿宋_GB2312" w:hAnsi="仿宋_GB2312" w:cs="仿宋_GB2312"/>
          <w:bCs/>
          <w:color w:val="auto"/>
          <w:sz w:val="28"/>
          <w:szCs w:val="28"/>
          <w:highlight w:val="none"/>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7EC55718">
      <w:pP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（1）计划标准</w:t>
      </w:r>
      <w:r>
        <w:rPr>
          <w:rFonts w:hint="eastAsia" w:cs="Times New Roman"/>
          <w:color w:val="auto"/>
          <w:highlight w:val="none"/>
          <w:lang w:val="en-US" w:eastAsia="zh-CN"/>
        </w:rPr>
        <w:t>：将</w:t>
      </w:r>
      <w:r>
        <w:rPr>
          <w:rFonts w:hint="eastAsia" w:ascii="Times New Roman" w:hAnsi="Times New Roman" w:cs="Times New Roman"/>
          <w:color w:val="auto"/>
          <w:highlight w:val="none"/>
          <w:lang w:val="en-US" w:eastAsia="zh-CN"/>
        </w:rPr>
        <w:t>预先制定的目标、计划、预算、定额等作为评价标准。</w:t>
      </w:r>
    </w:p>
    <w:p w14:paraId="11A9E611">
      <w:pP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2</w:t>
      </w:r>
      <w:r>
        <w:rPr>
          <w:rFonts w:hint="eastAsia" w:ascii="Times New Roman" w:hAnsi="Times New Roman" w:cs="Times New Roman"/>
          <w:color w:val="auto"/>
          <w:highlight w:val="none"/>
          <w:lang w:val="en-US" w:eastAsia="zh-CN"/>
        </w:rPr>
        <w:t>）历史标准</w:t>
      </w:r>
      <w:r>
        <w:rPr>
          <w:rFonts w:hint="eastAsia" w:cs="Times New Roman"/>
          <w:color w:val="auto"/>
          <w:highlight w:val="none"/>
          <w:lang w:val="en-US" w:eastAsia="zh-CN"/>
        </w:rPr>
        <w:t>：</w:t>
      </w:r>
      <w:r>
        <w:rPr>
          <w:rFonts w:hint="eastAsia" w:ascii="Times New Roman" w:hAnsi="Times New Roman" w:cs="Times New Roman"/>
          <w:color w:val="auto"/>
          <w:highlight w:val="none"/>
          <w:lang w:val="en-US" w:eastAsia="zh-CN"/>
        </w:rPr>
        <w:t>参照历史数据制定的评价标准，为体现绩效改进的原则，在可实现的条件下应当确定相对较高的评价标准。</w:t>
      </w:r>
    </w:p>
    <w:p w14:paraId="5D8942F6">
      <w:pPr>
        <w:ind w:firstLine="560"/>
        <w:rPr>
          <w:color w:val="auto"/>
          <w:highlight w:val="none"/>
        </w:rPr>
      </w:pPr>
      <w:r>
        <w:rPr>
          <w:rFonts w:hint="eastAsia" w:ascii="Times New Roman" w:hAnsi="Times New Roman" w:cs="Times New Roman"/>
          <w:color w:val="auto"/>
          <w:highlight w:val="none"/>
          <w:lang w:val="en-US" w:eastAsia="zh-CN"/>
        </w:rPr>
        <w:t>（4）财政部门和预算部门确认或认可的其他标准。</w:t>
      </w:r>
    </w:p>
    <w:p w14:paraId="7CEE8DEC">
      <w:pPr>
        <w:pStyle w:val="4"/>
        <w:numPr>
          <w:ilvl w:val="0"/>
          <w:numId w:val="3"/>
        </w:numPr>
        <w:ind w:firstLine="643"/>
        <w:rPr>
          <w:color w:val="auto"/>
          <w:highlight w:val="none"/>
        </w:rPr>
      </w:pPr>
      <w:r>
        <w:rPr>
          <w:rFonts w:hint="eastAsia"/>
          <w:color w:val="auto"/>
          <w:highlight w:val="none"/>
        </w:rPr>
        <w:t>绩效评价工作过程</w:t>
      </w:r>
    </w:p>
    <w:p w14:paraId="1F68F20E">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1.前期准备</w:t>
      </w:r>
    </w:p>
    <w:p w14:paraId="3275B328">
      <w:pPr>
        <w:rPr>
          <w:rFonts w:hint="eastAsia" w:ascii="Times New Roman" w:hAnsi="Times New Roman" w:cs="Times New Roman"/>
          <w:color w:val="auto"/>
          <w:highlight w:val="none"/>
          <w:lang w:val="zh-TW" w:eastAsia="zh-TW"/>
        </w:rPr>
      </w:pPr>
      <w:r>
        <w:rPr>
          <w:rFonts w:hint="eastAsia" w:ascii="Times New Roman" w:hAnsi="Times New Roman" w:cs="Times New Roman"/>
          <w:color w:val="auto"/>
          <w:highlight w:val="none"/>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highlight w:val="none"/>
          <w:lang w:val="en-US" w:eastAsia="zh-CN"/>
        </w:rPr>
        <w:t>。</w:t>
      </w:r>
      <w:r>
        <w:rPr>
          <w:rFonts w:hint="eastAsia"/>
          <w:color w:val="auto"/>
          <w:highlight w:val="none"/>
          <w:lang w:val="en-US" w:eastAsia="zh-CN"/>
        </w:rPr>
        <w:t>2023年2月26日，</w:t>
      </w:r>
      <w:r>
        <w:rPr>
          <w:rFonts w:hint="eastAsia" w:ascii="Times New Roman" w:hAnsi="Times New Roman" w:cs="Times New Roman"/>
          <w:color w:val="auto"/>
          <w:highlight w:val="none"/>
          <w:lang w:val="en-US" w:eastAsia="zh-CN"/>
        </w:rPr>
        <w:t>绩效评价项目小组</w:t>
      </w:r>
      <w:r>
        <w:rPr>
          <w:rFonts w:hint="eastAsia" w:cs="Times New Roman"/>
          <w:color w:val="auto"/>
          <w:highlight w:val="none"/>
          <w:lang w:val="en-US" w:eastAsia="zh-CN"/>
        </w:rPr>
        <w:t>成员</w:t>
      </w:r>
      <w:r>
        <w:rPr>
          <w:rFonts w:hint="eastAsia" w:ascii="Times New Roman" w:hAnsi="Times New Roman" w:cs="Times New Roman"/>
          <w:color w:val="auto"/>
          <w:highlight w:val="none"/>
          <w:lang w:val="en-US" w:eastAsia="zh-CN"/>
        </w:rPr>
        <w:t>对</w:t>
      </w:r>
      <w:r>
        <w:rPr>
          <w:rFonts w:hint="eastAsia" w:cs="Times New Roman"/>
          <w:color w:val="auto"/>
          <w:highlight w:val="none"/>
          <w:lang w:val="en-US" w:eastAsia="zh-CN"/>
        </w:rPr>
        <w:t>本</w:t>
      </w:r>
      <w:r>
        <w:rPr>
          <w:rFonts w:hint="eastAsia" w:ascii="Times New Roman" w:hAnsi="Times New Roman" w:cs="Times New Roman"/>
          <w:color w:val="auto"/>
          <w:highlight w:val="none"/>
          <w:lang w:val="en-US" w:eastAsia="zh-CN"/>
        </w:rPr>
        <w:t>项目</w:t>
      </w:r>
      <w:r>
        <w:rPr>
          <w:rFonts w:hint="eastAsia" w:cs="Times New Roman"/>
          <w:color w:val="auto"/>
          <w:highlight w:val="none"/>
          <w:lang w:val="en-US" w:eastAsia="zh-CN"/>
        </w:rPr>
        <w:t>开展</w:t>
      </w:r>
      <w:r>
        <w:rPr>
          <w:rFonts w:hint="eastAsia" w:ascii="Times New Roman" w:hAnsi="Times New Roman" w:cs="Times New Roman"/>
          <w:color w:val="auto"/>
          <w:highlight w:val="none"/>
          <w:lang w:val="en-US" w:eastAsia="zh-CN"/>
        </w:rPr>
        <w:t>前期调研。</w:t>
      </w:r>
      <w:r>
        <w:rPr>
          <w:rFonts w:hint="eastAsia"/>
          <w:color w:val="auto"/>
          <w:highlight w:val="none"/>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绩效评价小组</w:t>
      </w:r>
      <w:r>
        <w:rPr>
          <w:rFonts w:hint="eastAsia" w:ascii="Times New Roman" w:hAnsi="Times New Roman" w:cs="Times New Roman"/>
          <w:color w:val="auto"/>
          <w:highlight w:val="none"/>
          <w:lang w:val="en-US" w:eastAsia="zh-CN"/>
        </w:rPr>
        <w:t>成员和职责如下：</w:t>
      </w:r>
    </w:p>
    <w:p w14:paraId="5DEF46C8">
      <w:pPr>
        <w:ind w:firstLine="560"/>
        <w:rPr>
          <w:rFonts w:hint="default"/>
          <w:color w:val="auto"/>
          <w:highlight w:val="none"/>
          <w:lang w:val="en-US" w:eastAsia="zh-CN"/>
        </w:rPr>
      </w:pPr>
      <w:r>
        <w:rPr>
          <w:rFonts w:hint="eastAsia"/>
          <w:color w:val="auto"/>
          <w:highlight w:val="none"/>
          <w:lang w:val="en-US" w:eastAsia="zh-CN"/>
        </w:rPr>
        <w:t>（1）评价组组长：吴东风，</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lang w:val="en-US" w:eastAsia="zh-CN"/>
        </w:rPr>
        <w:t>。</w:t>
      </w:r>
    </w:p>
    <w:p w14:paraId="1A7261E9">
      <w:pPr>
        <w:ind w:firstLine="560"/>
        <w:rPr>
          <w:rFonts w:hint="eastAsia"/>
          <w:color w:val="auto"/>
          <w:highlight w:val="none"/>
          <w:lang w:val="en-US" w:eastAsia="zh-CN"/>
        </w:rPr>
      </w:pPr>
      <w:r>
        <w:rPr>
          <w:rFonts w:hint="eastAsia"/>
          <w:color w:val="auto"/>
          <w:highlight w:val="none"/>
          <w:lang w:val="en-US" w:eastAsia="zh-CN"/>
        </w:rPr>
        <w:t>（2）评价组成员：阿依木古丽·买买提、杨勇、刘明，</w:t>
      </w:r>
      <w:r>
        <w:rPr>
          <w:rFonts w:hint="eastAsia"/>
          <w:color w:val="auto"/>
          <w:highlight w:val="none"/>
        </w:rPr>
        <w:t>主要负责绩效评价现场督导，对评价组成员的评价检查工作提供技术指导与支持，对实效评价工作质量把关</w:t>
      </w:r>
      <w:r>
        <w:rPr>
          <w:rFonts w:hint="eastAsia"/>
          <w:color w:val="auto"/>
          <w:highlight w:val="none"/>
          <w:lang w:val="en-US" w:eastAsia="zh-CN"/>
        </w:rPr>
        <w:t>。</w:t>
      </w:r>
    </w:p>
    <w:p w14:paraId="393ECD64">
      <w:pPr>
        <w:ind w:firstLine="560"/>
        <w:rPr>
          <w:rFonts w:hint="eastAsia" w:ascii="Times New Roman" w:hAnsi="Times New Roman" w:cs="Times New Roman"/>
          <w:color w:val="auto"/>
          <w:highlight w:val="none"/>
          <w:lang w:val="en-US" w:eastAsia="zh-CN"/>
        </w:rPr>
      </w:pPr>
      <w:r>
        <w:rPr>
          <w:rFonts w:hint="eastAsia"/>
          <w:color w:val="auto"/>
          <w:highlight w:val="none"/>
          <w:lang w:val="en-US" w:eastAsia="zh-CN"/>
        </w:rPr>
        <w:t>（3）评价组成员：夏灵、陈鹏超</w:t>
      </w:r>
      <w:r>
        <w:rPr>
          <w:rFonts w:hint="eastAsia"/>
          <w:color w:val="auto"/>
          <w:highlight w:val="none"/>
        </w:rPr>
        <w:t>主要负责现场调研工作，完成收集整理资料、审核数据、填报绩效评价内容等工作</w:t>
      </w:r>
      <w:r>
        <w:rPr>
          <w:rFonts w:hint="eastAsia"/>
          <w:color w:val="auto"/>
          <w:highlight w:val="none"/>
          <w:lang w:val="en-US" w:eastAsia="zh-CN"/>
        </w:rPr>
        <w:t>。</w:t>
      </w:r>
    </w:p>
    <w:p w14:paraId="78F56E33">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2.</w:t>
      </w:r>
      <w:r>
        <w:rPr>
          <w:rFonts w:hint="eastAsia" w:cs="Times New Roman"/>
          <w:b/>
          <w:bCs/>
          <w:color w:val="auto"/>
          <w:highlight w:val="none"/>
          <w:lang w:val="en-US" w:eastAsia="zh-CN"/>
        </w:rPr>
        <w:t>组织</w:t>
      </w:r>
      <w:r>
        <w:rPr>
          <w:rFonts w:hint="eastAsia" w:ascii="Times New Roman" w:hAnsi="Times New Roman" w:cs="Times New Roman"/>
          <w:b/>
          <w:bCs/>
          <w:color w:val="auto"/>
          <w:highlight w:val="none"/>
          <w:lang w:val="en-US" w:eastAsia="zh-CN"/>
        </w:rPr>
        <w:t>实施</w:t>
      </w:r>
    </w:p>
    <w:p w14:paraId="749576B7">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3</w:t>
      </w:r>
      <w:r>
        <w:rPr>
          <w:rFonts w:hint="eastAsia"/>
          <w:color w:val="auto"/>
          <w:highlight w:val="none"/>
          <w:lang w:eastAsia="zh-CN"/>
        </w:rPr>
        <w:t>年</w:t>
      </w:r>
      <w:r>
        <w:rPr>
          <w:rFonts w:hint="eastAsia"/>
          <w:color w:val="auto"/>
          <w:highlight w:val="none"/>
          <w:lang w:val="en-US" w:eastAsia="zh-CN"/>
        </w:rPr>
        <w:t>2</w:t>
      </w:r>
      <w:r>
        <w:rPr>
          <w:rFonts w:hint="eastAsia"/>
          <w:color w:val="auto"/>
          <w:highlight w:val="none"/>
          <w:lang w:eastAsia="zh-CN"/>
        </w:rPr>
        <w:t>月</w:t>
      </w:r>
      <w:r>
        <w:rPr>
          <w:rFonts w:hint="eastAsia"/>
          <w:color w:val="auto"/>
          <w:highlight w:val="none"/>
          <w:lang w:val="en-US" w:eastAsia="zh-CN"/>
        </w:rPr>
        <w:t>27</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5</w:t>
      </w:r>
      <w:r>
        <w:rPr>
          <w:rFonts w:hint="eastAsia"/>
          <w:color w:val="auto"/>
          <w:highlight w:val="none"/>
          <w:lang w:eastAsia="zh-CN"/>
        </w:rPr>
        <w:t>日，评价工作进入实施阶段。</w:t>
      </w:r>
      <w:r>
        <w:rPr>
          <w:rFonts w:hint="eastAsia"/>
          <w:color w:val="auto"/>
          <w:highlight w:val="none"/>
        </w:rPr>
        <w:t>经评价组通过</w:t>
      </w:r>
      <w:r>
        <w:rPr>
          <w:rFonts w:hint="eastAsia"/>
          <w:color w:val="auto"/>
          <w:highlight w:val="none"/>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highlight w:val="none"/>
        </w:rPr>
        <w:t>采用综合分析法对项目的决策、管理、绩效进行的综合评价分析。</w:t>
      </w:r>
    </w:p>
    <w:p w14:paraId="60EC5F75">
      <w:pPr>
        <w:rPr>
          <w:rFonts w:hint="default"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3.分析评价和撰写报告</w:t>
      </w:r>
    </w:p>
    <w:p w14:paraId="6BFA08AF">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（1）综合分析评价</w:t>
      </w:r>
    </w:p>
    <w:p w14:paraId="1E50DF94">
      <w:pPr>
        <w:bidi w:val="0"/>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3</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6</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15</w:t>
      </w:r>
      <w:r>
        <w:rPr>
          <w:rFonts w:hint="eastAsia"/>
          <w:color w:val="auto"/>
          <w:highlight w:val="none"/>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highlight w:val="none"/>
        </w:rPr>
        <w:t>首先按照指标体系进行定量、定性分析。</w:t>
      </w:r>
    </w:p>
    <w:p w14:paraId="77ED1640">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（2）撰写报告</w:t>
      </w:r>
    </w:p>
    <w:p w14:paraId="277B7E61">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绩效评价项目小组依照整理、分析后的项目材料、数据资料，依据评价形成的初步结论，按照</w:t>
      </w:r>
      <w:r>
        <w:rPr>
          <w:rFonts w:hint="eastAsia" w:cs="Times New Roman"/>
          <w:color w:val="auto"/>
          <w:highlight w:val="none"/>
          <w:lang w:val="en-US" w:eastAsia="zh-CN"/>
        </w:rPr>
        <w:t>绩效系统中统一</w:t>
      </w:r>
      <w:r>
        <w:rPr>
          <w:rFonts w:hint="eastAsia" w:ascii="Times New Roman" w:hAnsi="Times New Roman" w:cs="Times New Roman"/>
          <w:color w:val="auto"/>
          <w:highlight w:val="none"/>
          <w:lang w:val="en-US" w:eastAsia="zh-CN"/>
        </w:rPr>
        <w:t>的格式和内容要求撰写绩效评价初步报告，最终形成评价结果。</w:t>
      </w:r>
    </w:p>
    <w:p w14:paraId="1BAC8C7C">
      <w:pPr>
        <w:pStyle w:val="2"/>
        <w:bidi w:val="0"/>
        <w:rPr>
          <w:rFonts w:hint="eastAsia"/>
          <w:color w:val="auto"/>
          <w:highlight w:val="none"/>
          <w:lang w:val="en-US" w:eastAsia="zh-CN"/>
        </w:rPr>
      </w:pPr>
      <w:bookmarkStart w:id="12" w:name="_Toc5055"/>
      <w:r>
        <w:rPr>
          <w:rFonts w:hint="eastAsia"/>
          <w:color w:val="auto"/>
          <w:highlight w:val="none"/>
          <w:lang w:val="en-US" w:eastAsia="zh-CN"/>
        </w:rPr>
        <w:t>4.归集档案</w:t>
      </w:r>
      <w:bookmarkEnd w:id="12"/>
    </w:p>
    <w:p w14:paraId="4F6DF4C6">
      <w:pPr>
        <w:bidi w:val="0"/>
        <w:rPr>
          <w:rFonts w:hint="eastAsia"/>
          <w:color w:val="auto"/>
          <w:highlight w:val="none"/>
          <w:lang w:val="en-US" w:eastAsia="zh-CN"/>
        </w:rPr>
      </w:pPr>
      <w:r>
        <w:rPr>
          <w:rFonts w:hint="eastAsia"/>
          <w:color w:val="auto"/>
          <w:highlight w:val="none"/>
          <w:lang w:val="en-US" w:eastAsia="zh-CN"/>
        </w:rPr>
        <w:t>我单位项目负责人</w:t>
      </w:r>
      <w:r>
        <w:rPr>
          <w:rFonts w:hint="eastAsia"/>
          <w:color w:val="auto"/>
          <w:highlight w:val="none"/>
        </w:rPr>
        <w:t>落实档案管理制度，将项目相关资料存档，包括但不限于：评价项目基本情况和相关文件、评价实施方案、项目支付资料等相关档案。</w:t>
      </w:r>
    </w:p>
    <w:p w14:paraId="4EA5B61B">
      <w:pPr>
        <w:rPr>
          <w:color w:val="auto"/>
          <w:highlight w:val="none"/>
        </w:rPr>
      </w:pPr>
      <w:r>
        <w:rPr>
          <w:rFonts w:hint="eastAsia"/>
          <w:color w:val="auto"/>
          <w:highlight w:val="none"/>
        </w:rPr>
        <w:t>　</w:t>
      </w:r>
    </w:p>
    <w:p w14:paraId="69BB8032">
      <w:pPr>
        <w:pStyle w:val="3"/>
        <w:numPr>
          <w:ilvl w:val="0"/>
          <w:numId w:val="4"/>
        </w:numPr>
        <w:ind w:firstLine="640"/>
        <w:rPr>
          <w:color w:val="auto"/>
          <w:highlight w:val="none"/>
        </w:rPr>
      </w:pPr>
      <w:r>
        <w:rPr>
          <w:rFonts w:hint="eastAsia"/>
          <w:color w:val="auto"/>
          <w:highlight w:val="none"/>
        </w:rPr>
        <w:t>综合评价情况及评价结论</w:t>
      </w:r>
    </w:p>
    <w:p w14:paraId="7DC904B5">
      <w:pPr>
        <w:pStyle w:val="4"/>
        <w:bidi w:val="0"/>
        <w:rPr>
          <w:rFonts w:hint="eastAsia" w:ascii="仿宋_GB2312" w:hAnsi="仿宋_GB2312" w:cs="仿宋_GB2312"/>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14:paraId="2D5B3329">
      <w:pPr>
        <w:bidi w:val="0"/>
        <w:rPr>
          <w:rFonts w:hint="eastAsia"/>
          <w:color w:val="auto"/>
          <w:highlight w:val="none"/>
          <w:lang w:eastAsia="zh-CN"/>
        </w:rPr>
      </w:pPr>
      <w:bookmarkStart w:id="14" w:name="_Toc68364666"/>
      <w:r>
        <w:rPr>
          <w:rFonts w:hint="eastAsia"/>
          <w:color w:val="auto"/>
          <w:highlight w:val="none"/>
          <w:lang w:eastAsia="zh-CN"/>
        </w:rPr>
        <w:tab/>
      </w:r>
      <w:r>
        <w:rPr>
          <w:rFonts w:hint="eastAsia"/>
          <w:color w:val="auto"/>
          <w:highlight w:val="none"/>
          <w:lang w:eastAsia="zh-CN"/>
        </w:rPr>
        <w:t>经评价，本项目达到了年初设立的绩效目标，</w:t>
      </w:r>
      <w:r>
        <w:rPr>
          <w:rFonts w:hint="eastAsia"/>
          <w:color w:val="auto"/>
          <w:highlight w:val="none"/>
        </w:rPr>
        <w:t>项目总体组织规范，完成了工作目标，</w:t>
      </w:r>
      <w:r>
        <w:rPr>
          <w:rFonts w:hint="eastAsia"/>
          <w:color w:val="auto"/>
          <w:highlight w:val="none"/>
          <w:lang w:eastAsia="zh-CN"/>
        </w:rPr>
        <w:t>在实施过程中取得了良好的成效，具体表现在以下</w:t>
      </w:r>
      <w:r>
        <w:rPr>
          <w:rFonts w:hint="eastAsia"/>
          <w:color w:val="auto"/>
          <w:highlight w:val="none"/>
          <w:lang w:val="en-US" w:eastAsia="zh-Hans"/>
        </w:rPr>
        <w:t>四</w:t>
      </w:r>
      <w:r>
        <w:rPr>
          <w:rFonts w:hint="eastAsia"/>
          <w:color w:val="auto"/>
          <w:highlight w:val="none"/>
          <w:lang w:eastAsia="zh-CN"/>
        </w:rPr>
        <w:t>方面：</w:t>
      </w:r>
    </w:p>
    <w:p w14:paraId="7457C82C">
      <w:pPr>
        <w:bidi w:val="0"/>
        <w:rPr>
          <w:rFonts w:hint="eastAsia"/>
          <w:color w:val="auto"/>
          <w:highlight w:val="none"/>
        </w:rPr>
      </w:pPr>
      <w:r>
        <w:rPr>
          <w:rFonts w:hint="eastAsia"/>
          <w:color w:val="auto"/>
          <w:highlight w:val="none"/>
        </w:rPr>
        <w:t>项目决策方面</w:t>
      </w:r>
      <w:r>
        <w:rPr>
          <w:rFonts w:hint="eastAsia"/>
          <w:color w:val="auto"/>
          <w:highlight w:val="none"/>
          <w:lang w:eastAsia="zh-CN"/>
        </w:rPr>
        <w:t>：</w:t>
      </w:r>
      <w:r>
        <w:rPr>
          <w:rFonts w:hint="eastAsia"/>
          <w:color w:val="auto"/>
          <w:highlight w:val="none"/>
          <w:lang w:val="en-US" w:eastAsia="zh-CN"/>
        </w:rPr>
        <w:t>项目立项符合法律法规、相关政策、发展规划以及部门职责，项目申请、设立过程符合相关要求，项目所设定的绩效目标依据充分，符合客观实际，依据绩效目标设定的绩效指标清晰、细化、可衡量等，项目预算编制经过科学论证、有明确标准，资金额度与年度目标基本适应，项目预算资金分配有测算依据，随着学校的宣传和日常教育，使学生都有感恩之心</w:t>
      </w:r>
      <w:r>
        <w:rPr>
          <w:rFonts w:hint="eastAsia"/>
          <w:color w:val="auto"/>
          <w:highlight w:val="none"/>
        </w:rPr>
        <w:t xml:space="preserve">。 </w:t>
      </w:r>
    </w:p>
    <w:p w14:paraId="040B5739">
      <w:pPr>
        <w:bidi w:val="0"/>
        <w:rPr>
          <w:rFonts w:hint="eastAsia"/>
          <w:color w:val="auto"/>
          <w:highlight w:val="none"/>
        </w:rPr>
      </w:pPr>
      <w:r>
        <w:rPr>
          <w:rFonts w:hint="eastAsia"/>
          <w:color w:val="auto"/>
          <w:highlight w:val="none"/>
        </w:rPr>
        <w:t>项目管理方面</w:t>
      </w:r>
      <w:r>
        <w:rPr>
          <w:rFonts w:hint="eastAsia"/>
          <w:color w:val="auto"/>
          <w:highlight w:val="none"/>
          <w:lang w:eastAsia="zh-CN"/>
        </w:rPr>
        <w:t>：</w:t>
      </w:r>
      <w:r>
        <w:rPr>
          <w:rFonts w:hint="eastAsia"/>
          <w:color w:val="auto"/>
          <w:highlight w:val="none"/>
          <w:lang w:val="en-US" w:eastAsia="zh-CN"/>
        </w:rPr>
        <w:t>项目预算资金基本按照计划执行，不存在截留、挤占、挪用、虚列支出等情况</w:t>
      </w:r>
      <w:r>
        <w:rPr>
          <w:rFonts w:hint="eastAsia"/>
          <w:color w:val="auto"/>
          <w:highlight w:val="none"/>
        </w:rPr>
        <w:t>。</w:t>
      </w:r>
      <w:r>
        <w:rPr>
          <w:rFonts w:hint="eastAsia"/>
          <w:color w:val="auto"/>
          <w:highlight w:val="none"/>
          <w:lang w:eastAsia="zh-CN"/>
        </w:rPr>
        <w:t>我</w:t>
      </w:r>
      <w:r>
        <w:rPr>
          <w:rFonts w:hint="eastAsia"/>
          <w:color w:val="auto"/>
          <w:highlight w:val="none"/>
        </w:rPr>
        <w:t>单位的财务和业务管理制度健全，项目合同书、验收报告资料齐全并及时归档</w:t>
      </w:r>
      <w:r>
        <w:rPr>
          <w:rFonts w:hint="eastAsia"/>
          <w:color w:val="auto"/>
          <w:highlight w:val="none"/>
          <w:lang w:eastAsia="zh-CN"/>
        </w:rPr>
        <w:t>，项目管理工作总体正常开展</w:t>
      </w:r>
      <w:r>
        <w:rPr>
          <w:rFonts w:hint="eastAsia"/>
          <w:color w:val="auto"/>
          <w:highlight w:val="none"/>
        </w:rPr>
        <w:t>。</w:t>
      </w:r>
    </w:p>
    <w:p w14:paraId="0B9A8968">
      <w:pPr>
        <w:bidi w:val="0"/>
        <w:rPr>
          <w:rFonts w:hint="default"/>
          <w:color w:val="auto"/>
          <w:highlight w:val="none"/>
          <w:lang w:val="en-US" w:eastAsia="zh-CN"/>
        </w:rPr>
      </w:pPr>
      <w:r>
        <w:rPr>
          <w:rFonts w:hint="eastAsia"/>
          <w:color w:val="auto"/>
          <w:highlight w:val="none"/>
          <w:lang w:eastAsia="zh-CN"/>
        </w:rPr>
        <w:t>项目产出方面：完成</w:t>
      </w:r>
      <w:r>
        <w:rPr>
          <w:rFonts w:hint="eastAsia"/>
          <w:color w:val="auto"/>
          <w:highlight w:val="none"/>
          <w:lang w:val="en-US" w:eastAsia="zh-CN"/>
        </w:rPr>
        <w:t>中等职业学校免学费受助人数占应受助学生数的比例100%，完成幼儿专业、美容美发专业、机电设备安装与维修专业享受国家免学费445人，室内设计专业、汽车维修专业、享受国家免学费268人，家政服务专业、饭店服务专业、享受国家免学费人数133人。</w:t>
      </w:r>
    </w:p>
    <w:p w14:paraId="52F57B0C">
      <w:pPr>
        <w:bidi w:val="0"/>
        <w:jc w:val="left"/>
        <w:rPr>
          <w:rFonts w:hint="eastAsia"/>
          <w:color w:val="auto"/>
          <w:highlight w:val="none"/>
          <w:lang w:val="en-US" w:eastAsia="zh-CN"/>
        </w:rPr>
      </w:pPr>
      <w:r>
        <w:rPr>
          <w:rFonts w:hint="eastAsia"/>
          <w:color w:val="auto"/>
          <w:highlight w:val="none"/>
          <w:lang w:eastAsia="zh-CN"/>
        </w:rPr>
        <w:t>项目效益方面：减少中等职业学生因贫辍学率</w:t>
      </w:r>
      <w:r>
        <w:rPr>
          <w:rFonts w:hint="eastAsia"/>
          <w:color w:val="auto"/>
          <w:highlight w:val="none"/>
          <w:lang w:val="en-US" w:eastAsia="zh-CN"/>
        </w:rPr>
        <w:t>，同时减轻家庭经济困难学生的生活负担。</w:t>
      </w:r>
    </w:p>
    <w:p w14:paraId="7D98D0AF">
      <w:pPr>
        <w:pStyle w:val="4"/>
        <w:bidi w:val="0"/>
        <w:rPr>
          <w:rFonts w:hint="eastAsia"/>
          <w:color w:val="auto"/>
          <w:highlight w:val="none"/>
        </w:rPr>
      </w:pPr>
      <w:r>
        <w:rPr>
          <w:rFonts w:hint="eastAsia"/>
          <w:color w:val="auto"/>
          <w:highlight w:val="none"/>
        </w:rPr>
        <w:t>（二）综合评价结论</w:t>
      </w:r>
    </w:p>
    <w:bookmarkEnd w:id="14"/>
    <w:p w14:paraId="484A8788">
      <w:pPr>
        <w:bidi w:val="0"/>
        <w:rPr>
          <w:rFonts w:hint="eastAsia" w:eastAsia="仿宋_GB2312"/>
          <w:color w:val="auto"/>
          <w:highlight w:val="none"/>
          <w:lang w:val="en-US" w:eastAsia="zh-CN"/>
        </w:rPr>
      </w:pPr>
      <w:r>
        <w:rPr>
          <w:rFonts w:hint="eastAsia"/>
          <w:color w:val="auto"/>
          <w:highlight w:val="none"/>
          <w:lang w:val="en-US" w:eastAsia="zh-CN"/>
        </w:rPr>
        <w:t>此次绩效评价通过绩效评价小组论证的评价指标体系及评分标准，采用比较法、公众评判法、因素分析法等对本项目绩效进行客观评价，最终评分结果：总分为97.99分，绩效评级为“优秀”。综合评价结论如下：本项目决策指标共设置6个，满分20分，得分率93%；项目过程指标共设置5个，满分20分，得分率100%；项目产出指标共设置8个，满分24分，得分率100%；项目成本指标共设置4个，满分12分，得分率94.92%；项目效益指标共设置3个，满分24分，得分率100%。</w:t>
      </w:r>
      <w:r>
        <w:rPr>
          <w:rFonts w:hint="eastAsia"/>
          <w:color w:val="auto"/>
          <w:highlight w:val="none"/>
          <w:lang w:val="zh-TW" w:eastAsia="zh-CN"/>
        </w:rPr>
        <w:t>详细情况见</w:t>
      </w:r>
      <w:r>
        <w:rPr>
          <w:rFonts w:hint="eastAsia"/>
          <w:color w:val="auto"/>
          <w:highlight w:val="none"/>
        </w:rPr>
        <w:t>“附件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r>
        <w:rPr>
          <w:rFonts w:hint="eastAsia"/>
          <w:color w:val="auto"/>
          <w:highlight w:val="none"/>
          <w:lang w:eastAsia="zh-CN"/>
        </w:rPr>
        <w:t>。</w:t>
      </w:r>
    </w:p>
    <w:p w14:paraId="623DE1CA">
      <w:pPr>
        <w:pStyle w:val="3"/>
        <w:numPr>
          <w:ilvl w:val="0"/>
          <w:numId w:val="4"/>
        </w:numPr>
        <w:ind w:firstLine="640"/>
        <w:rPr>
          <w:rFonts w:hint="eastAsia"/>
          <w:color w:val="auto"/>
          <w:highlight w:val="none"/>
        </w:rPr>
      </w:pPr>
      <w:r>
        <w:rPr>
          <w:rFonts w:hint="eastAsia"/>
          <w:color w:val="auto"/>
          <w:highlight w:val="none"/>
        </w:rPr>
        <w:t>绩效评价指标分析</w:t>
      </w:r>
    </w:p>
    <w:p w14:paraId="0417BED6">
      <w:pPr>
        <w:pStyle w:val="4"/>
        <w:bidi w:val="0"/>
        <w:rPr>
          <w:rFonts w:hint="eastAsia" w:ascii="仿宋_GB2312" w:hAnsi="仿宋_GB2312" w:cs="仿宋_GB2312"/>
          <w:color w:val="auto"/>
          <w:sz w:val="32"/>
          <w:highlight w:val="none"/>
        </w:rPr>
      </w:pPr>
      <w:bookmarkStart w:id="15" w:name="_Toc68364668"/>
      <w:r>
        <w:rPr>
          <w:rFonts w:hint="eastAsia" w:ascii="仿宋_GB2312" w:hAnsi="仿宋_GB2312" w:cs="仿宋_GB2312"/>
          <w:color w:val="auto"/>
          <w:sz w:val="32"/>
          <w:highlight w:val="none"/>
        </w:rPr>
        <w:t>（一）项目决策情况</w:t>
      </w:r>
    </w:p>
    <w:p w14:paraId="6D601300">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eastAsia="zh-CN"/>
        </w:rPr>
        <w:t>3个二级指标和6个三级指标构成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18.6</w:t>
      </w:r>
      <w:r>
        <w:rPr>
          <w:rFonts w:hint="eastAsia" w:ascii="仿宋_GB2312" w:hAnsi="仿宋_GB2312" w:cs="仿宋_GB2312"/>
          <w:color w:val="auto"/>
          <w:sz w:val="28"/>
          <w:szCs w:val="28"/>
          <w:highlight w:val="none"/>
        </w:rPr>
        <w:t>分，得分率为</w:t>
      </w:r>
      <w:r>
        <w:rPr>
          <w:rFonts w:hint="eastAsia" w:ascii="仿宋_GB2312" w:hAnsi="仿宋_GB2312" w:cs="仿宋_GB2312"/>
          <w:color w:val="auto"/>
          <w:sz w:val="28"/>
          <w:szCs w:val="28"/>
          <w:highlight w:val="none"/>
          <w:lang w:val="en-US" w:eastAsia="zh-CN"/>
        </w:rPr>
        <w:t>93</w:t>
      </w:r>
      <w:r>
        <w:rPr>
          <w:rFonts w:hint="eastAsia" w:ascii="仿宋_GB2312" w:hAnsi="仿宋_GB2312" w:cs="仿宋_GB2312"/>
          <w:color w:val="auto"/>
          <w:sz w:val="28"/>
          <w:szCs w:val="28"/>
          <w:highlight w:val="none"/>
        </w:rPr>
        <w:t>%。</w:t>
      </w:r>
    </w:p>
    <w:p w14:paraId="1A916981">
      <w:pPr>
        <w:pStyle w:val="2"/>
        <w:bidi w:val="0"/>
        <w:rPr>
          <w:rFonts w:hint="eastAsia"/>
          <w:color w:val="auto"/>
          <w:highlight w:val="none"/>
          <w:lang w:val="en-US" w:eastAsia="zh-CN"/>
        </w:rPr>
      </w:pPr>
      <w:r>
        <w:rPr>
          <w:rFonts w:hint="eastAsia"/>
          <w:color w:val="auto"/>
          <w:highlight w:val="none"/>
          <w:lang w:val="en-US" w:eastAsia="zh-CN"/>
        </w:rPr>
        <w:t>1.项目立项情况分析</w:t>
      </w:r>
    </w:p>
    <w:p w14:paraId="623CD62B">
      <w:pPr>
        <w:bidi w:val="0"/>
        <w:rPr>
          <w:rFonts w:hint="eastAsia"/>
          <w:b/>
          <w:bCs/>
          <w:color w:val="auto"/>
          <w:highlight w:val="none"/>
        </w:rPr>
      </w:pPr>
      <w:r>
        <w:rPr>
          <w:rFonts w:hint="eastAsia"/>
          <w:b/>
          <w:bCs/>
          <w:color w:val="auto"/>
          <w:highlight w:val="none"/>
        </w:rPr>
        <w:t>（1）立项依据充分性：</w:t>
      </w:r>
    </w:p>
    <w:p w14:paraId="0D7446C4">
      <w:pPr>
        <w:bidi w:val="0"/>
        <w:rPr>
          <w:rFonts w:hint="eastAsia"/>
          <w:color w:val="auto"/>
          <w:highlight w:val="none"/>
        </w:rPr>
      </w:pPr>
      <w:r>
        <w:rPr>
          <w:rFonts w:hint="eastAsia"/>
          <w:color w:val="auto"/>
          <w:highlight w:val="none"/>
        </w:rPr>
        <w:t>项目立项符合《</w:t>
      </w:r>
      <w:r>
        <w:rPr>
          <w:rFonts w:hint="eastAsia" w:hAnsi="Arial" w:cs="宋体"/>
          <w:bCs/>
          <w:color w:val="auto"/>
          <w:highlight w:val="none"/>
        </w:rPr>
        <w:t>预算法</w:t>
      </w:r>
      <w:r>
        <w:rPr>
          <w:rFonts w:hint="eastAsia"/>
          <w:color w:val="auto"/>
          <w:highlight w:val="none"/>
        </w:rPr>
        <w:t>》</w:t>
      </w:r>
      <w:r>
        <w:rPr>
          <w:rFonts w:hint="eastAsia"/>
          <w:color w:val="auto"/>
          <w:highlight w:val="none"/>
          <w:lang w:eastAsia="zh-CN"/>
        </w:rPr>
        <w:t>、</w:t>
      </w:r>
      <w:r>
        <w:rPr>
          <w:rFonts w:hint="eastAsia"/>
          <w:color w:val="auto"/>
          <w:highlight w:val="none"/>
        </w:rPr>
        <w:t>《</w:t>
      </w:r>
      <w:r>
        <w:rPr>
          <w:rFonts w:hint="eastAsia" w:hAnsi="Arial" w:cs="宋体"/>
          <w:bCs/>
          <w:color w:val="auto"/>
          <w:highlight w:val="none"/>
        </w:rPr>
        <w:t>财政支出绩效评价管理暂行办法</w:t>
      </w:r>
      <w:r>
        <w:rPr>
          <w:rFonts w:hint="eastAsia"/>
          <w:color w:val="auto"/>
          <w:highlight w:val="none"/>
        </w:rPr>
        <w:t>》</w:t>
      </w:r>
      <w:r>
        <w:rPr>
          <w:rFonts w:hint="eastAsia" w:hAnsi="Arial" w:cs="宋体"/>
          <w:bCs/>
          <w:color w:val="auto"/>
          <w:highlight w:val="none"/>
        </w:rPr>
        <w:t>（财预〔2020〕10号）</w:t>
      </w:r>
      <w:r>
        <w:rPr>
          <w:rFonts w:hint="eastAsia"/>
          <w:color w:val="auto"/>
          <w:highlight w:val="none"/>
        </w:rPr>
        <w:t>等国家法律法规关于对202</w:t>
      </w:r>
      <w:r>
        <w:rPr>
          <w:rFonts w:hint="eastAsia"/>
          <w:color w:val="auto"/>
          <w:highlight w:val="none"/>
          <w:lang w:val="en-US" w:eastAsia="zh-CN"/>
        </w:rPr>
        <w:t>2</w:t>
      </w:r>
      <w:r>
        <w:rPr>
          <w:rFonts w:hint="eastAsia"/>
          <w:color w:val="auto"/>
          <w:highlight w:val="none"/>
        </w:rPr>
        <w:t>年度我单位实施的2022年技工学校学生助学金和免学费项目开展部门绩效评价的国民经济发展规划和相关政策</w:t>
      </w:r>
      <w:r>
        <w:rPr>
          <w:rFonts w:hint="eastAsia"/>
          <w:color w:val="auto"/>
          <w:highlight w:val="none"/>
          <w:lang w:eastAsia="zh-CN"/>
        </w:rPr>
        <w:t>；</w:t>
      </w:r>
      <w:r>
        <w:rPr>
          <w:rFonts w:hint="eastAsia"/>
          <w:color w:val="auto"/>
          <w:highlight w:val="none"/>
        </w:rPr>
        <w:t>项目立项与</w:t>
      </w:r>
      <w:r>
        <w:rPr>
          <w:rFonts w:hint="eastAsia"/>
          <w:color w:val="auto"/>
          <w:highlight w:val="none"/>
          <w:lang w:val="en-US" w:eastAsia="zh-CN"/>
        </w:rPr>
        <w:t>我单位</w:t>
      </w:r>
      <w:r>
        <w:rPr>
          <w:rFonts w:hint="eastAsia"/>
          <w:color w:val="auto"/>
          <w:highlight w:val="none"/>
        </w:rPr>
        <w:t>开展技工院校免学费项目开展部门绩效评价工作这一部门职责范围相符，属于部门履职所需；根据《财政资金直接支付申请书》，本项目资金性质为</w:t>
      </w:r>
      <w:r>
        <w:rPr>
          <w:rFonts w:hint="eastAsia"/>
          <w:color w:val="auto"/>
          <w:highlight w:val="none"/>
          <w:lang w:val="en-US" w:eastAsia="zh-CN"/>
        </w:rPr>
        <w:t>自治区</w:t>
      </w:r>
      <w:r>
        <w:rPr>
          <w:rFonts w:hint="eastAsia"/>
          <w:color w:val="auto"/>
          <w:highlight w:val="none"/>
        </w:rPr>
        <w:t>资金</w:t>
      </w:r>
      <w:r>
        <w:rPr>
          <w:rFonts w:hint="eastAsia"/>
          <w:color w:val="auto"/>
          <w:highlight w:val="none"/>
          <w:lang w:eastAsia="zh-CN"/>
        </w:rPr>
        <w:t>，</w:t>
      </w:r>
      <w:r>
        <w:rPr>
          <w:rFonts w:hint="eastAsia"/>
          <w:color w:val="auto"/>
          <w:highlight w:val="none"/>
        </w:rPr>
        <w:t>功能分类为</w:t>
      </w:r>
      <w:r>
        <w:rPr>
          <w:rFonts w:hint="eastAsia"/>
          <w:color w:val="auto"/>
          <w:highlight w:val="none"/>
          <w:lang w:val="en-US" w:eastAsia="zh-CN"/>
        </w:rPr>
        <w:t>中等职业教育</w:t>
      </w:r>
      <w:r>
        <w:rPr>
          <w:rFonts w:hint="eastAsia"/>
          <w:color w:val="auto"/>
          <w:highlight w:val="none"/>
          <w:lang w:eastAsia="zh-CN"/>
        </w:rPr>
        <w:t>，</w:t>
      </w:r>
      <w:r>
        <w:rPr>
          <w:rFonts w:hint="eastAsia"/>
          <w:color w:val="auto"/>
          <w:highlight w:val="none"/>
        </w:rPr>
        <w:t>经济分类为</w:t>
      </w:r>
      <w:r>
        <w:rPr>
          <w:rFonts w:hint="eastAsia"/>
          <w:color w:val="auto"/>
          <w:highlight w:val="none"/>
          <w:lang w:val="en-US" w:eastAsia="zh-CN"/>
        </w:rPr>
        <w:t>商品和服务</w:t>
      </w:r>
      <w:r>
        <w:rPr>
          <w:rFonts w:hint="eastAsia"/>
          <w:color w:val="auto"/>
          <w:highlight w:val="none"/>
        </w:rPr>
        <w:t>支出</w:t>
      </w:r>
      <w:r>
        <w:rPr>
          <w:rFonts w:hint="eastAsia"/>
          <w:color w:val="auto"/>
          <w:highlight w:val="none"/>
          <w:lang w:eastAsia="zh-CN"/>
        </w:rPr>
        <w:t>，</w:t>
      </w:r>
      <w:r>
        <w:rPr>
          <w:rFonts w:hint="eastAsia"/>
          <w:color w:val="auto"/>
          <w:highlight w:val="none"/>
        </w:rPr>
        <w:t>根据《</w:t>
      </w:r>
      <w:r>
        <w:rPr>
          <w:rFonts w:hint="eastAsia"/>
          <w:color w:val="auto"/>
          <w:highlight w:val="none"/>
          <w:lang w:val="en-US" w:eastAsia="zh-CN"/>
        </w:rPr>
        <w:t>中华人民共和国</w:t>
      </w:r>
      <w:r>
        <w:rPr>
          <w:rFonts w:hint="eastAsia"/>
          <w:color w:val="auto"/>
          <w:highlight w:val="none"/>
        </w:rPr>
        <w:t>预算法》属于公共财政支持范围，符合中央、地方事权支出责任划分原则；经检查财政项目指标大平台，本项目不存在重复。综上，该指标满分</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14:paraId="374A841A">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（2）立项程序规范性：</w:t>
      </w:r>
    </w:p>
    <w:p w14:paraId="5B3BEAC4">
      <w:pPr>
        <w:bidi w:val="0"/>
        <w:rPr>
          <w:color w:val="auto"/>
          <w:highlight w:val="none"/>
        </w:rPr>
      </w:pPr>
      <w:r>
        <w:rPr>
          <w:rFonts w:hint="eastAsia"/>
          <w:color w:val="auto"/>
          <w:highlight w:val="none"/>
          <w:lang w:val="en-US" w:eastAsia="zh-CN"/>
        </w:rPr>
        <w:t>该</w:t>
      </w:r>
      <w:r>
        <w:rPr>
          <w:rFonts w:hint="eastAsia"/>
          <w:color w:val="auto"/>
          <w:highlight w:val="none"/>
        </w:rPr>
        <w:t>项目按照规定的</w:t>
      </w:r>
      <w:r>
        <w:rPr>
          <w:rFonts w:hint="eastAsia"/>
          <w:color w:val="auto"/>
          <w:highlight w:val="none"/>
          <w:lang w:val="en-US" w:eastAsia="zh-CN"/>
        </w:rPr>
        <w:t>2023年学生资助补助中央直达资金-技工免学费项目</w:t>
      </w:r>
      <w:r>
        <w:rPr>
          <w:rFonts w:hint="eastAsia"/>
          <w:color w:val="auto"/>
          <w:highlight w:val="none"/>
        </w:rPr>
        <w:t>管理</w:t>
      </w:r>
      <w:r>
        <w:rPr>
          <w:color w:val="auto"/>
          <w:highlight w:val="none"/>
        </w:rPr>
        <w:t>相关制度</w:t>
      </w:r>
      <w:r>
        <w:rPr>
          <w:rFonts w:hint="eastAsia"/>
          <w:color w:val="auto"/>
          <w:highlight w:val="none"/>
        </w:rPr>
        <w:t>程序申请设立；事前已经过必要的绩效评估</w:t>
      </w:r>
      <w:r>
        <w:rPr>
          <w:rFonts w:hint="eastAsia"/>
          <w:color w:val="auto"/>
          <w:highlight w:val="none"/>
          <w:lang w:eastAsia="zh-CN"/>
        </w:rPr>
        <w:t>和</w:t>
      </w:r>
      <w:r>
        <w:rPr>
          <w:rFonts w:hint="eastAsia"/>
          <w:color w:val="auto"/>
          <w:highlight w:val="none"/>
        </w:rPr>
        <w:t>集体决策</w:t>
      </w:r>
      <w:r>
        <w:rPr>
          <w:rFonts w:hint="eastAsia"/>
          <w:color w:val="auto"/>
          <w:highlight w:val="none"/>
          <w:lang w:eastAsia="zh-CN"/>
        </w:rPr>
        <w:t>，已按规定恒旭向财政局提交资金申请报告，立项程序规范</w:t>
      </w:r>
      <w:r>
        <w:rPr>
          <w:rFonts w:hint="eastAsia"/>
          <w:color w:val="auto"/>
          <w:highlight w:val="none"/>
        </w:rPr>
        <w:t>。综上，该指标满分</w:t>
      </w:r>
      <w:r>
        <w:rPr>
          <w:rFonts w:hint="eastAsia"/>
          <w:color w:val="auto"/>
          <w:highlight w:val="none"/>
          <w:lang w:val="en-US" w:eastAsia="zh-CN"/>
        </w:rPr>
        <w:t>3</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，本项目立项程序合规</w:t>
      </w:r>
      <w:r>
        <w:rPr>
          <w:rFonts w:hint="eastAsia"/>
          <w:color w:val="auto"/>
          <w:highlight w:val="none"/>
        </w:rPr>
        <w:t>。</w:t>
      </w:r>
    </w:p>
    <w:p w14:paraId="34843AEE">
      <w:pPr>
        <w:pStyle w:val="2"/>
        <w:bidi w:val="0"/>
        <w:rPr>
          <w:rFonts w:hint="eastAsia"/>
          <w:color w:val="auto"/>
          <w:highlight w:val="none"/>
          <w:lang w:val="en-US" w:eastAsia="zh-CN"/>
        </w:rPr>
      </w:pPr>
      <w:r>
        <w:rPr>
          <w:rFonts w:hint="eastAsia"/>
          <w:color w:val="auto"/>
          <w:highlight w:val="none"/>
          <w:lang w:val="en-US" w:eastAsia="zh-CN"/>
        </w:rPr>
        <w:t>2.绩效目标情况分析</w:t>
      </w:r>
    </w:p>
    <w:p w14:paraId="513A96FD">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14:paraId="62470666">
      <w:pPr>
        <w:bidi w:val="0"/>
        <w:rPr>
          <w:rFonts w:hint="eastAsia"/>
          <w:color w:val="auto"/>
          <w:highlight w:val="none"/>
          <w:lang w:val="en-US" w:eastAsia="zh-CN"/>
        </w:rPr>
      </w:pPr>
      <w:r>
        <w:rPr>
          <w:rFonts w:hint="eastAsia"/>
          <w:color w:val="auto"/>
          <w:highlight w:val="none"/>
        </w:rPr>
        <w:t>①本项目已设置年度绩效目标，具体内容为</w:t>
      </w:r>
      <w:r>
        <w:rPr>
          <w:rFonts w:hint="eastAsia"/>
          <w:color w:val="auto"/>
          <w:highlight w:val="none"/>
          <w:lang w:eastAsia="zh-CN"/>
        </w:rPr>
        <w:t>：</w:t>
      </w:r>
      <w:r>
        <w:rPr>
          <w:rFonts w:hint="eastAsia"/>
          <w:color w:val="auto"/>
          <w:highlight w:val="none"/>
          <w:lang w:val="en-US" w:eastAsia="zh-CN"/>
        </w:rPr>
        <w:t>保障学校教学活动和其他日常工作任务正常开展，为不少782名学生提供免学费技校教育；逐步提高学校教育发展水平，使学生和家长满意度达到95%以上。按照预期已完成学校教学活动和其他日常工作任务正常开展。</w:t>
      </w:r>
    </w:p>
    <w:p w14:paraId="2D666906">
      <w:pPr>
        <w:bidi w:val="0"/>
        <w:rPr>
          <w:rFonts w:hint="eastAsia"/>
          <w:color w:val="auto"/>
          <w:highlight w:val="none"/>
        </w:rPr>
      </w:pPr>
      <w:r>
        <w:rPr>
          <w:rFonts w:hint="eastAsia"/>
          <w:color w:val="auto"/>
          <w:highlight w:val="none"/>
        </w:rPr>
        <w:t>②本</w:t>
      </w:r>
      <w:r>
        <w:rPr>
          <w:rFonts w:hint="eastAsia"/>
          <w:color w:val="auto"/>
          <w:highlight w:val="none"/>
          <w:lang w:eastAsia="zh-CN"/>
        </w:rPr>
        <w:t>项目绩效目标与实际工作内容具有相关性；</w:t>
      </w:r>
    </w:p>
    <w:p w14:paraId="716BEC9D">
      <w:pP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各项产出指标和效益指标</w:t>
      </w:r>
      <w:r>
        <w:rPr>
          <w:rFonts w:hint="eastAsia"/>
          <w:color w:val="auto"/>
          <w:highlight w:val="none"/>
        </w:rPr>
        <w:t>，预期产出效益和效果符合正常的业绩水平。</w:t>
      </w:r>
    </w:p>
    <w:p w14:paraId="00F1BBAE">
      <w:pPr>
        <w:bidi w:val="0"/>
        <w:rPr>
          <w:rFonts w:hint="eastAsia"/>
          <w:color w:val="auto"/>
          <w:highlight w:val="none"/>
          <w:lang w:val="en-US" w:eastAsia="zh-CN"/>
        </w:rPr>
      </w:pPr>
      <w:r>
        <w:rPr>
          <w:rFonts w:hint="eastAsia"/>
          <w:color w:val="auto"/>
          <w:highlight w:val="none"/>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101.19</w:t>
      </w:r>
      <w:r>
        <w:rPr>
          <w:color w:val="auto"/>
          <w:highlight w:val="none"/>
        </w:rPr>
        <w:t>万元，《财政项目支出绩效目标表</w:t>
      </w:r>
      <w:r>
        <w:rPr>
          <w:rFonts w:hint="eastAsia"/>
          <w:color w:val="auto"/>
          <w:highlight w:val="none"/>
        </w:rPr>
        <w:t>》</w:t>
      </w:r>
      <w:r>
        <w:rPr>
          <w:color w:val="auto"/>
          <w:highlight w:val="none"/>
        </w:rPr>
        <w:t>中预算金额为</w:t>
      </w:r>
      <w:r>
        <w:rPr>
          <w:rFonts w:hint="eastAsia"/>
          <w:color w:val="auto"/>
          <w:highlight w:val="none"/>
          <w:lang w:val="en-US" w:eastAsia="zh-CN"/>
        </w:rPr>
        <w:t>101.19</w:t>
      </w:r>
      <w:r>
        <w:rPr>
          <w:color w:val="auto"/>
          <w:highlight w:val="none"/>
        </w:rPr>
        <w:t>万元，</w:t>
      </w:r>
      <w:r>
        <w:rPr>
          <w:rFonts w:hint="eastAsia"/>
          <w:color w:val="auto"/>
          <w:highlight w:val="none"/>
        </w:rPr>
        <w:t>预算确定的项目资金与预算确定的</w:t>
      </w:r>
      <w:r>
        <w:rPr>
          <w:rFonts w:hint="eastAsia"/>
          <w:color w:val="auto"/>
          <w:highlight w:val="none"/>
          <w:lang w:val="en-US" w:eastAsia="zh-CN"/>
        </w:rPr>
        <w:t>项目投资额相匹配。</w:t>
      </w:r>
    </w:p>
    <w:p w14:paraId="4B96D600">
      <w:pPr>
        <w:bidi w:val="0"/>
        <w:rPr>
          <w:rFonts w:hint="eastAsia"/>
          <w:color w:val="auto"/>
          <w:highlight w:val="none"/>
          <w:lang w:val="en-US" w:eastAsia="zh-CN"/>
        </w:rPr>
      </w:pPr>
      <w:r>
        <w:rPr>
          <w:rFonts w:hint="eastAsia"/>
          <w:color w:val="auto"/>
          <w:highlight w:val="none"/>
          <w:lang w:val="en-US" w:eastAsia="zh-CN"/>
        </w:rPr>
        <w:t>综上所述，该指标满分4分，根据评分标准得4分，绩效目标设置合理。</w:t>
      </w:r>
    </w:p>
    <w:p w14:paraId="41873A09">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）绩效指标明确性：</w:t>
      </w:r>
    </w:p>
    <w:p w14:paraId="11F75FC1">
      <w:pPr>
        <w:bidi w:val="0"/>
        <w:rPr>
          <w:rFonts w:hint="eastAsia"/>
          <w:color w:val="auto"/>
          <w:highlight w:val="none"/>
          <w:lang w:eastAsia="zh-CN"/>
        </w:rPr>
      </w:pPr>
      <w:r>
        <w:rPr>
          <w:rFonts w:hint="eastAsia"/>
          <w:color w:val="auto"/>
          <w:highlight w:val="none"/>
          <w:lang w:eastAsia="zh-CN"/>
        </w:rPr>
        <w:t>经检查，我单位年初设置的《项目支出绩效目标表》：</w:t>
      </w:r>
    </w:p>
    <w:p w14:paraId="02AD1A37">
      <w:pP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color w:val="auto"/>
          <w:highlight w:val="none"/>
          <w:lang w:eastAsia="zh-CN"/>
        </w:rPr>
        <w:t>将项目绩效目标细化分解为具体的绩效指标，共设置一级指标3个，二级指标</w:t>
      </w:r>
      <w:r>
        <w:rPr>
          <w:rFonts w:hint="eastAsia"/>
          <w:color w:val="auto"/>
          <w:highlight w:val="none"/>
          <w:lang w:val="en-US" w:eastAsia="zh-CN"/>
        </w:rPr>
        <w:t>7</w:t>
      </w:r>
      <w:r>
        <w:rPr>
          <w:rFonts w:hint="eastAsia"/>
          <w:color w:val="auto"/>
          <w:highlight w:val="none"/>
          <w:lang w:eastAsia="zh-CN"/>
        </w:rPr>
        <w:t>个，三级指标</w:t>
      </w:r>
      <w:r>
        <w:rPr>
          <w:rFonts w:hint="eastAsia"/>
          <w:color w:val="auto"/>
          <w:highlight w:val="none"/>
          <w:lang w:val="en-US" w:eastAsia="zh-CN"/>
        </w:rPr>
        <w:t>26</w:t>
      </w:r>
      <w:r>
        <w:rPr>
          <w:rFonts w:hint="eastAsia"/>
          <w:color w:val="auto"/>
          <w:highlight w:val="none"/>
          <w:lang w:eastAsia="zh-CN"/>
        </w:rPr>
        <w:t>个，量化率达70%以上；</w:t>
      </w:r>
    </w:p>
    <w:p w14:paraId="0C781110">
      <w:pPr>
        <w:bidi w:val="0"/>
        <w:rPr>
          <w:rFonts w:hint="eastAsia"/>
          <w:color w:val="auto"/>
          <w:highlight w:val="none"/>
          <w:lang w:eastAsia="zh-CN"/>
        </w:rPr>
      </w:pPr>
      <w:r>
        <w:rPr>
          <w:rFonts w:hint="eastAsia"/>
          <w:color w:val="auto"/>
          <w:highlight w:val="none"/>
        </w:rPr>
        <w:t>②</w:t>
      </w:r>
      <w:r>
        <w:rPr>
          <w:rFonts w:hint="eastAsia"/>
          <w:color w:val="auto"/>
          <w:highlight w:val="none"/>
          <w:lang w:val="en-US" w:eastAsia="zh-CN"/>
        </w:rPr>
        <w:t>根据</w:t>
      </w:r>
      <w:r>
        <w:rPr>
          <w:rFonts w:hint="eastAsia"/>
          <w:color w:val="auto"/>
          <w:highlight w:val="none"/>
          <w:lang w:eastAsia="zh-CN"/>
        </w:rPr>
        <w:t>《项目支出绩效目标表》，</w:t>
      </w:r>
      <w:r>
        <w:rPr>
          <w:rFonts w:hint="eastAsia"/>
          <w:color w:val="auto"/>
          <w:highlight w:val="none"/>
          <w:lang w:val="en-US" w:eastAsia="zh-CN"/>
        </w:rPr>
        <w:t>我单位各项三级指标</w:t>
      </w:r>
      <w:r>
        <w:rPr>
          <w:rFonts w:hint="eastAsia"/>
          <w:color w:val="auto"/>
          <w:highlight w:val="none"/>
          <w:lang w:eastAsia="zh-CN"/>
        </w:rPr>
        <w:t>通过清晰、可实现、相关的指标值予以体现，但效益指标还不能全部实现定量化表述，不便于衡量，根据评分标准，扣</w:t>
      </w:r>
      <w:r>
        <w:rPr>
          <w:rFonts w:hint="eastAsia"/>
          <w:color w:val="auto"/>
          <w:highlight w:val="none"/>
          <w:lang w:val="en-US" w:eastAsia="zh-CN"/>
        </w:rPr>
        <w:t>0.6分</w:t>
      </w:r>
      <w:r>
        <w:rPr>
          <w:rFonts w:hint="eastAsia"/>
          <w:color w:val="auto"/>
          <w:highlight w:val="none"/>
          <w:lang w:eastAsia="zh-CN"/>
        </w:rPr>
        <w:t>；</w:t>
      </w:r>
    </w:p>
    <w:p w14:paraId="5AC366B5">
      <w:pPr>
        <w:bidi w:val="0"/>
        <w:rPr>
          <w:rFonts w:hint="eastAsia"/>
          <w:color w:val="auto"/>
          <w:highlight w:val="none"/>
          <w:lang w:eastAsia="zh-CN"/>
        </w:rPr>
      </w:pPr>
      <w:r>
        <w:rPr>
          <w:rFonts w:hint="eastAsia"/>
          <w:color w:val="auto"/>
          <w:highlight w:val="none"/>
          <w:lang w:eastAsia="zh-CN"/>
        </w:rPr>
        <w:t>③三级指标的年度指标值与年度绩效目标中任务数一致。</w:t>
      </w:r>
    </w:p>
    <w:p w14:paraId="1580C29F">
      <w:pPr>
        <w:bidi w:val="0"/>
        <w:rPr>
          <w:rFonts w:hint="eastAsia" w:ascii="仿宋_GB2312" w:cs="仿宋_GB2312"/>
          <w:color w:val="auto"/>
          <w:szCs w:val="28"/>
          <w:highlight w:val="none"/>
          <w:lang w:eastAsia="zh-CN"/>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cs="仿宋_GB2312"/>
          <w:color w:val="auto"/>
          <w:szCs w:val="28"/>
          <w:highlight w:val="none"/>
          <w:lang w:val="en-US" w:eastAsia="zh-CN"/>
        </w:rPr>
        <w:t>2.4</w:t>
      </w:r>
      <w:r>
        <w:rPr>
          <w:rFonts w:hint="eastAsia" w:ascii="仿宋_GB2312" w:cs="仿宋_GB2312"/>
          <w:color w:val="auto"/>
          <w:szCs w:val="28"/>
          <w:highlight w:val="none"/>
          <w:lang w:eastAsia="zh-CN"/>
        </w:rPr>
        <w:t>分，本项目所设置绩效目标和指标不具备明确性，扣0.6分。</w:t>
      </w:r>
    </w:p>
    <w:p w14:paraId="005F205C">
      <w:pPr>
        <w:pStyle w:val="2"/>
        <w:bidi w:val="0"/>
        <w:ind w:left="0" w:leftChars="0" w:firstLine="562" w:firstLineChars="200"/>
        <w:rPr>
          <w:color w:val="auto"/>
          <w:highlight w:val="none"/>
        </w:rPr>
      </w:pPr>
      <w:r>
        <w:rPr>
          <w:rFonts w:hint="eastAsia"/>
          <w:color w:val="auto"/>
          <w:highlight w:val="none"/>
          <w:lang w:val="en-US" w:eastAsia="zh-CN"/>
        </w:rPr>
        <w:t>3.资金投入情况分析</w:t>
      </w:r>
    </w:p>
    <w:p w14:paraId="7E2A5C6E">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14:paraId="3B33F35A">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①本项目预算编制通过前期调研</w:t>
      </w:r>
      <w:r>
        <w:rPr>
          <w:rFonts w:hint="eastAsia" w:ascii="仿宋_GB2312" w:cs="仿宋_GB2312"/>
          <w:color w:val="auto"/>
          <w:sz w:val="28"/>
          <w:szCs w:val="28"/>
          <w:highlight w:val="none"/>
          <w:lang w:val="en-US" w:eastAsia="zh-CN"/>
        </w:rPr>
        <w:t>和类似项目对比分析</w:t>
      </w:r>
      <w:r>
        <w:rPr>
          <w:rFonts w:hint="eastAsia" w:ascii="仿宋_GB2312" w:cs="仿宋_GB2312"/>
          <w:color w:val="auto"/>
          <w:sz w:val="28"/>
          <w:szCs w:val="28"/>
          <w:highlight w:val="none"/>
        </w:rPr>
        <w:t>，预算编制较科学且经过论证</w:t>
      </w:r>
      <w:r>
        <w:rPr>
          <w:rFonts w:hint="eastAsia" w:ascii="仿宋_GB2312" w:cs="仿宋_GB2312"/>
          <w:color w:val="auto"/>
          <w:sz w:val="28"/>
          <w:szCs w:val="28"/>
          <w:highlight w:val="none"/>
          <w:lang w:eastAsia="zh-CN"/>
        </w:rPr>
        <w:t>；</w:t>
      </w:r>
    </w:p>
    <w:p w14:paraId="767791A9">
      <w:pPr>
        <w:ind w:firstLine="560"/>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②预算申请</w:t>
      </w:r>
      <w:r>
        <w:rPr>
          <w:rFonts w:hint="eastAsia" w:ascii="仿宋_GB2312" w:cs="仿宋_GB2312"/>
          <w:color w:val="auto"/>
          <w:sz w:val="28"/>
          <w:szCs w:val="28"/>
          <w:highlight w:val="none"/>
          <w:lang w:val="en-US" w:eastAsia="zh-CN"/>
        </w:rPr>
        <w:t>资金</w:t>
      </w:r>
      <w:r>
        <w:rPr>
          <w:rFonts w:hint="eastAsia" w:ascii="仿宋_GB2312" w:cs="仿宋_GB2312"/>
          <w:color w:val="auto"/>
          <w:sz w:val="28"/>
          <w:szCs w:val="28"/>
          <w:highlight w:val="none"/>
        </w:rPr>
        <w:t>为</w:t>
      </w:r>
      <w:r>
        <w:rPr>
          <w:rFonts w:hint="eastAsia" w:ascii="仿宋_GB2312" w:cs="仿宋_GB2312"/>
          <w:color w:val="auto"/>
          <w:sz w:val="28"/>
          <w:szCs w:val="28"/>
          <w:highlight w:val="none"/>
          <w:lang w:val="en-US" w:eastAsia="zh-CN"/>
        </w:rPr>
        <w:t>101.19</w:t>
      </w:r>
      <w:r>
        <w:rPr>
          <w:rFonts w:hint="eastAsia" w:ascii="仿宋_GB2312" w:cs="仿宋_GB2312"/>
          <w:color w:val="auto"/>
          <w:sz w:val="28"/>
          <w:szCs w:val="28"/>
          <w:highlight w:val="none"/>
        </w:rPr>
        <w:t>万元，本项目资金主要用于保障学校教学活动和其他日常工作任务正常开展，为782名学生提供免学费技校教育</w:t>
      </w:r>
      <w:r>
        <w:rPr>
          <w:rFonts w:hint="eastAsia" w:ascii="仿宋_GB2312" w:cs="仿宋_GB2312"/>
          <w:color w:val="auto"/>
          <w:sz w:val="28"/>
          <w:szCs w:val="28"/>
          <w:highlight w:val="none"/>
          <w:lang w:eastAsia="zh-CN"/>
        </w:rPr>
        <w:t>，</w:t>
      </w:r>
      <w:r>
        <w:rPr>
          <w:rFonts w:hint="eastAsia" w:ascii="仿宋_GB2312" w:cs="仿宋_GB2312"/>
          <w:color w:val="auto"/>
          <w:sz w:val="28"/>
          <w:szCs w:val="28"/>
          <w:highlight w:val="none"/>
        </w:rPr>
        <w:t>逐步提高学校教育发展水平，使学生和家长满意度达到95%以上。</w:t>
      </w:r>
      <w:r>
        <w:rPr>
          <w:rFonts w:hint="eastAsia"/>
          <w:color w:val="auto"/>
          <w:highlight w:val="none"/>
          <w:lang w:eastAsia="zh-CN"/>
        </w:rPr>
        <w:t>预算内容与项目内容匹配；</w:t>
      </w:r>
    </w:p>
    <w:p w14:paraId="0345BFFF">
      <w:pPr>
        <w:pageBreakBefore w:val="0"/>
        <w:kinsoku/>
        <w:wordWrap/>
        <w:topLinePunct w:val="0"/>
        <w:autoSpaceDE/>
        <w:autoSpaceDN/>
        <w:bidi w:val="0"/>
        <w:spacing w:line="560" w:lineRule="exact"/>
        <w:ind w:right="0" w:rightChars="0" w:firstLine="643"/>
        <w:rPr>
          <w:rFonts w:hint="eastAsia"/>
          <w:color w:val="auto"/>
          <w:highlight w:val="none"/>
          <w:lang w:eastAsia="zh-CN"/>
        </w:rPr>
      </w:pPr>
      <w:r>
        <w:rPr>
          <w:rFonts w:hint="eastAsia" w:ascii="仿宋_GB2312" w:cs="仿宋_GB2312"/>
          <w:color w:val="auto"/>
          <w:sz w:val="28"/>
          <w:szCs w:val="28"/>
          <w:highlight w:val="none"/>
        </w:rPr>
        <w:t>③本项目预算申请资金</w:t>
      </w:r>
      <w:r>
        <w:rPr>
          <w:rFonts w:hint="eastAsia" w:ascii="仿宋_GB2312" w:cs="仿宋_GB2312"/>
          <w:color w:val="auto"/>
          <w:sz w:val="28"/>
          <w:szCs w:val="28"/>
          <w:highlight w:val="none"/>
          <w:lang w:val="en-US" w:eastAsia="zh-CN"/>
        </w:rPr>
        <w:t>101.19</w:t>
      </w:r>
      <w:r>
        <w:rPr>
          <w:rFonts w:hint="eastAsia" w:ascii="仿宋_GB2312" w:cs="仿宋_GB2312"/>
          <w:color w:val="auto"/>
          <w:sz w:val="28"/>
          <w:szCs w:val="28"/>
          <w:highlight w:val="none"/>
        </w:rPr>
        <w:t>万元，我单位在预算申请中严格按照单位标准和数量进行核算，</w:t>
      </w:r>
      <w:r>
        <w:rPr>
          <w:rFonts w:hint="eastAsia"/>
          <w:color w:val="auto"/>
          <w:highlight w:val="none"/>
          <w:lang w:eastAsia="zh-CN"/>
        </w:rPr>
        <w:t>预算额度测算依据充分，按照标准编制；</w:t>
      </w:r>
    </w:p>
    <w:p w14:paraId="746BB723">
      <w:pPr>
        <w:pageBreakBefore w:val="0"/>
        <w:kinsoku/>
        <w:wordWrap/>
        <w:topLinePunct w:val="0"/>
        <w:autoSpaceDE/>
        <w:autoSpaceDN/>
        <w:bidi w:val="0"/>
        <w:spacing w:line="560" w:lineRule="exact"/>
        <w:ind w:right="0" w:rightChars="0" w:firstLine="643"/>
        <w:rPr>
          <w:rFonts w:hint="default" w:ascii="仿宋_GB2312" w:cs="仿宋_GB2312"/>
          <w:color w:val="auto"/>
          <w:sz w:val="28"/>
          <w:szCs w:val="28"/>
          <w:highlight w:val="none"/>
          <w:lang w:val="en-US" w:eastAsia="zh-CN"/>
        </w:rPr>
      </w:pPr>
      <w:r>
        <w:rPr>
          <w:rFonts w:hint="eastAsia" w:ascii="仿宋_GB2312" w:cs="仿宋_GB2312"/>
          <w:color w:val="auto"/>
          <w:sz w:val="28"/>
          <w:szCs w:val="28"/>
          <w:highlight w:val="none"/>
          <w:lang w:eastAsia="zh-CN"/>
        </w:rPr>
        <w:t>④本项目成本指标确定的预期指标值与工作任务相匹配，校内建筑物维修维护费因学校校园内建筑设施年久，导致学校内部经常需要维修，实际支出数超过预算数，其他日常办公费用因学生人数增加，从别的学校借调到我校教师增加，导致办公费用增加，超出预算数。根据评分标准，本项扣</w:t>
      </w:r>
      <w:r>
        <w:rPr>
          <w:rFonts w:hint="eastAsia" w:ascii="仿宋_GB2312" w:cs="仿宋_GB2312"/>
          <w:color w:val="auto"/>
          <w:sz w:val="28"/>
          <w:szCs w:val="28"/>
          <w:highlight w:val="none"/>
          <w:lang w:val="en-US" w:eastAsia="zh-CN"/>
        </w:rPr>
        <w:t>0.8分。</w:t>
      </w:r>
    </w:p>
    <w:p w14:paraId="07F3A3F3">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lang w:eastAsia="zh-CN"/>
        </w:rPr>
      </w:pP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3.2</w:t>
      </w:r>
      <w:r>
        <w:rPr>
          <w:rFonts w:hint="eastAsia" w:ascii="仿宋_GB2312" w:cs="仿宋_GB2312"/>
          <w:color w:val="auto"/>
          <w:sz w:val="28"/>
          <w:szCs w:val="28"/>
          <w:highlight w:val="none"/>
          <w:lang w:eastAsia="zh-CN"/>
        </w:rPr>
        <w:t>分，本项目预算编制预算确定的项目投资额或资金量与工作任务不相匹配，扣0.8分。</w:t>
      </w:r>
    </w:p>
    <w:p w14:paraId="602CDC8A">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）资金分配合理性：</w:t>
      </w:r>
    </w:p>
    <w:p w14:paraId="3E9810AE">
      <w:pPr>
        <w:pageBreakBefore w:val="0"/>
        <w:kinsoku/>
        <w:wordWrap/>
        <w:topLinePunct w:val="0"/>
        <w:autoSpaceDE/>
        <w:autoSpaceDN/>
        <w:bidi w:val="0"/>
        <w:spacing w:line="560" w:lineRule="exact"/>
        <w:ind w:right="0" w:rightChars="0" w:firstLine="643"/>
        <w:rPr>
          <w:rFonts w:hint="eastAsia" w:cs="仿宋_GB2312"/>
          <w:color w:val="auto"/>
          <w:sz w:val="28"/>
          <w:szCs w:val="28"/>
          <w:highlight w:val="none"/>
          <w:lang w:eastAsia="zh-CN"/>
        </w:rPr>
      </w:pPr>
      <w:r>
        <w:rPr>
          <w:rFonts w:hint="eastAsia" w:ascii="仿宋_GB2312" w:cs="仿宋_GB2312"/>
          <w:color w:val="auto"/>
          <w:sz w:val="28"/>
          <w:szCs w:val="28"/>
          <w:highlight w:val="none"/>
        </w:rPr>
        <w:t>①本项目实际分配资金以</w:t>
      </w:r>
      <w:r>
        <w:rPr>
          <w:rFonts w:hint="eastAsia"/>
          <w:color w:val="auto"/>
          <w:highlight w:val="none"/>
        </w:rPr>
        <w:t>《财政支出绩效评价管理暂行办法》（财预〔2020〕10号）</w:t>
      </w:r>
      <w:r>
        <w:rPr>
          <w:rFonts w:hint="eastAsia" w:ascii="仿宋_GB2312" w:cs="仿宋_GB2312"/>
          <w:color w:val="auto"/>
          <w:sz w:val="28"/>
          <w:szCs w:val="28"/>
          <w:highlight w:val="none"/>
        </w:rPr>
        <w:t>文件为依据进行资金分配，预算资金分配依据充分</w:t>
      </w:r>
      <w:r>
        <w:rPr>
          <w:rFonts w:hint="eastAsia" w:cs="仿宋_GB2312"/>
          <w:color w:val="auto"/>
          <w:sz w:val="28"/>
          <w:szCs w:val="28"/>
          <w:highlight w:val="none"/>
          <w:lang w:eastAsia="zh-CN"/>
        </w:rPr>
        <w:t>。</w:t>
      </w:r>
    </w:p>
    <w:p w14:paraId="5B38A2DA">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color w:val="auto"/>
          <w:sz w:val="28"/>
          <w:szCs w:val="28"/>
          <w:highlight w:val="none"/>
        </w:rPr>
        <w:t>②本项目实际到位资金</w:t>
      </w:r>
      <w:r>
        <w:rPr>
          <w:rFonts w:hint="eastAsia" w:ascii="仿宋_GB2312" w:cs="仿宋_GB2312"/>
          <w:color w:val="auto"/>
          <w:sz w:val="28"/>
          <w:szCs w:val="28"/>
          <w:highlight w:val="none"/>
          <w:lang w:val="en-US" w:eastAsia="zh-CN"/>
        </w:rPr>
        <w:t>101.19</w:t>
      </w:r>
      <w:r>
        <w:rPr>
          <w:rFonts w:hint="eastAsia" w:ascii="仿宋_GB2312" w:cs="仿宋_GB2312"/>
          <w:color w:val="auto"/>
          <w:sz w:val="28"/>
          <w:szCs w:val="28"/>
          <w:highlight w:val="none"/>
        </w:rPr>
        <w:t>万元，实际分配资金与我单位提交申请的资金额度一致，资金分配额度合理，与我单位实际需求相适应</w:t>
      </w:r>
      <w:r>
        <w:rPr>
          <w:rFonts w:hint="eastAsia" w:cs="仿宋_GB2312"/>
          <w:color w:val="auto"/>
          <w:sz w:val="28"/>
          <w:szCs w:val="28"/>
          <w:highlight w:val="none"/>
          <w:lang w:eastAsia="zh-CN"/>
        </w:rPr>
        <w:t>。</w:t>
      </w:r>
    </w:p>
    <w:p w14:paraId="4B247ED5">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分，本项</w:t>
      </w:r>
      <w:r>
        <w:rPr>
          <w:rFonts w:hint="eastAsia" w:ascii="仿宋_GB2312" w:hAnsi="Times New Roman" w:cs="仿宋_GB2312"/>
          <w:color w:val="auto"/>
          <w:sz w:val="28"/>
          <w:szCs w:val="28"/>
          <w:highlight w:val="none"/>
        </w:rPr>
        <w:t>目资金分配合理。</w:t>
      </w:r>
    </w:p>
    <w:p w14:paraId="6422ABC6">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（二）项目过程情况</w:t>
      </w:r>
    </w:p>
    <w:p w14:paraId="4823C2C6">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项目过程类指标包括资金管理和组织实施两方面的内容，由</w:t>
      </w:r>
      <w:r>
        <w:rPr>
          <w:rFonts w:hint="eastAsia"/>
          <w:color w:val="auto"/>
          <w:highlight w:val="none"/>
          <w:lang w:eastAsia="zh-CN"/>
        </w:rPr>
        <w:t>2个二级指标和5个三级指标构成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6016D876">
      <w:pPr>
        <w:pStyle w:val="2"/>
        <w:bidi w:val="0"/>
        <w:rPr>
          <w:rFonts w:hint="eastAsia"/>
          <w:color w:val="auto"/>
          <w:highlight w:val="none"/>
          <w:lang w:val="en-US" w:eastAsia="zh-CN"/>
        </w:rPr>
      </w:pPr>
      <w:r>
        <w:rPr>
          <w:rFonts w:hint="eastAsia"/>
          <w:color w:val="auto"/>
          <w:highlight w:val="none"/>
          <w:lang w:val="en-US" w:eastAsia="zh-CN"/>
        </w:rPr>
        <w:t>1.资金管理情况分析</w:t>
      </w:r>
    </w:p>
    <w:p w14:paraId="3B20D3D0">
      <w:pPr>
        <w:bidi w:val="0"/>
        <w:rPr>
          <w:rFonts w:hint="eastAsia"/>
          <w:b/>
          <w:bCs/>
          <w:color w:val="auto"/>
          <w:highlight w:val="none"/>
        </w:rPr>
      </w:pPr>
      <w:r>
        <w:rPr>
          <w:rFonts w:hint="eastAsia"/>
          <w:b/>
          <w:bCs/>
          <w:color w:val="auto"/>
          <w:highlight w:val="none"/>
        </w:rPr>
        <w:t>（1）资金到位率：</w:t>
      </w:r>
    </w:p>
    <w:p w14:paraId="46CC5171">
      <w:pPr>
        <w:bidi w:val="0"/>
        <w:rPr>
          <w:rFonts w:hint="eastAsia"/>
          <w:color w:val="auto"/>
          <w:highlight w:val="none"/>
        </w:rPr>
      </w:pPr>
      <w:r>
        <w:rPr>
          <w:rFonts w:hint="eastAsia"/>
          <w:color w:val="auto"/>
          <w:highlight w:val="none"/>
        </w:rPr>
        <w:t>本项目预算资金为</w:t>
      </w:r>
      <w:r>
        <w:rPr>
          <w:rFonts w:hint="eastAsia"/>
          <w:color w:val="auto"/>
          <w:highlight w:val="none"/>
          <w:lang w:val="en-US" w:eastAsia="zh-CN"/>
        </w:rPr>
        <w:t>101.19</w:t>
      </w:r>
      <w:r>
        <w:rPr>
          <w:rFonts w:hint="eastAsia"/>
          <w:color w:val="auto"/>
          <w:highlight w:val="none"/>
        </w:rPr>
        <w:t>万元，实际到位资金</w:t>
      </w:r>
      <w:r>
        <w:rPr>
          <w:rFonts w:hint="eastAsia"/>
          <w:color w:val="auto"/>
          <w:highlight w:val="none"/>
          <w:lang w:val="en-US" w:eastAsia="zh-CN"/>
        </w:rPr>
        <w:t>101.19</w:t>
      </w:r>
      <w:r>
        <w:rPr>
          <w:rFonts w:hint="eastAsia"/>
          <w:color w:val="auto"/>
          <w:highlight w:val="none"/>
        </w:rPr>
        <w:t>万元，资金到位率=（实际到位资金/预算资金）×100%=</w:t>
      </w:r>
      <w:r>
        <w:rPr>
          <w:rFonts w:hint="eastAsia"/>
          <w:color w:val="auto"/>
          <w:highlight w:val="none"/>
          <w:lang w:val="en-US" w:eastAsia="zh-CN"/>
        </w:rPr>
        <w:t>100</w:t>
      </w:r>
      <w:r>
        <w:rPr>
          <w:rFonts w:hint="eastAsia"/>
          <w:color w:val="auto"/>
          <w:highlight w:val="none"/>
        </w:rPr>
        <w:t>%。</w:t>
      </w:r>
    </w:p>
    <w:p w14:paraId="6977E98E">
      <w:pPr>
        <w:bidi w:val="0"/>
        <w:rPr>
          <w:rFonts w:hint="eastAsia"/>
          <w:color w:val="auto"/>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分,本项目资金到位率为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14:paraId="30B8B74B">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（2）预算执行率：</w:t>
      </w:r>
    </w:p>
    <w:p w14:paraId="3A33CB75">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到位</w:t>
      </w:r>
      <w:r>
        <w:rPr>
          <w:rFonts w:hint="eastAsia" w:ascii="仿宋_GB2312" w:cs="仿宋_GB2312"/>
          <w:color w:val="auto"/>
          <w:sz w:val="28"/>
          <w:szCs w:val="28"/>
          <w:highlight w:val="none"/>
        </w:rPr>
        <w:t>资金为</w:t>
      </w:r>
      <w:r>
        <w:rPr>
          <w:rFonts w:hint="eastAsia" w:ascii="仿宋_GB2312" w:cs="仿宋_GB2312"/>
          <w:color w:val="auto"/>
          <w:sz w:val="28"/>
          <w:szCs w:val="28"/>
          <w:highlight w:val="none"/>
          <w:lang w:val="en-US" w:eastAsia="zh-CN"/>
        </w:rPr>
        <w:t>101.19</w:t>
      </w:r>
      <w:r>
        <w:rPr>
          <w:rFonts w:hint="eastAsia" w:ascii="仿宋_GB2312" w:cs="仿宋_GB2312"/>
          <w:color w:val="auto"/>
          <w:sz w:val="28"/>
          <w:szCs w:val="28"/>
          <w:highlight w:val="none"/>
        </w:rPr>
        <w:t>万元，实际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val="en-US" w:eastAsia="zh-CN"/>
        </w:rPr>
        <w:t>101.19</w:t>
      </w:r>
      <w:r>
        <w:rPr>
          <w:rFonts w:hint="eastAsia" w:ascii="仿宋_GB2312" w:cs="仿宋_GB2312"/>
          <w:color w:val="auto"/>
          <w:sz w:val="28"/>
          <w:szCs w:val="28"/>
          <w:highlight w:val="none"/>
        </w:rPr>
        <w:t>万元，预算执行率=（实际支出资金/实际到位资金）×100%=（</w:t>
      </w:r>
      <w:r>
        <w:rPr>
          <w:rFonts w:hint="eastAsia" w:ascii="仿宋_GB2312" w:cs="仿宋_GB2312"/>
          <w:color w:val="auto"/>
          <w:sz w:val="28"/>
          <w:szCs w:val="28"/>
          <w:highlight w:val="none"/>
          <w:lang w:val="en-US" w:eastAsia="zh-CN"/>
        </w:rPr>
        <w:t>101.19</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val="en-US" w:eastAsia="zh-CN"/>
        </w:rPr>
        <w:t>101.19</w:t>
      </w:r>
      <w:r>
        <w:rPr>
          <w:rFonts w:hint="eastAsia" w:ascii="仿宋_GB2312" w:cs="仿宋_GB2312"/>
          <w:color w:val="auto"/>
          <w:sz w:val="28"/>
          <w:szCs w:val="28"/>
          <w:highlight w:val="none"/>
        </w:rPr>
        <w:t>）×100%=</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54DD8FDF">
      <w:pPr>
        <w:pageBreakBefore w:val="0"/>
        <w:kinsoku/>
        <w:wordWrap/>
        <w:topLinePunct w:val="0"/>
        <w:autoSpaceDE/>
        <w:autoSpaceDN/>
        <w:bidi w:val="0"/>
        <w:spacing w:line="560" w:lineRule="exact"/>
        <w:ind w:right="0" w:rightChars="0" w:firstLine="643"/>
        <w:rPr>
          <w:rFonts w:hint="eastAsia" w:ascii="Times New Roman" w:hAnsi="Times New Roman"/>
          <w:color w:val="auto"/>
          <w:sz w:val="28"/>
          <w:szCs w:val="28"/>
          <w:highlight w:val="none"/>
          <w:lang w:val="en-US"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分,本项目</w:t>
      </w:r>
      <w:r>
        <w:rPr>
          <w:rFonts w:hint="eastAsia" w:ascii="仿宋_GB2312" w:cs="仿宋_GB2312"/>
          <w:color w:val="auto"/>
          <w:sz w:val="28"/>
          <w:szCs w:val="28"/>
          <w:highlight w:val="none"/>
          <w:lang w:val="en-US" w:eastAsia="zh-CN"/>
        </w:rPr>
        <w:t>预算执行</w:t>
      </w:r>
      <w:r>
        <w:rPr>
          <w:rFonts w:hint="eastAsia" w:ascii="仿宋_GB2312" w:cs="仿宋_GB2312"/>
          <w:color w:val="auto"/>
          <w:sz w:val="28"/>
          <w:szCs w:val="28"/>
          <w:highlight w:val="none"/>
        </w:rPr>
        <w:t>率为</w:t>
      </w:r>
      <w:r>
        <w:rPr>
          <w:rFonts w:hint="eastAsia" w:ascii="仿宋_GB2312" w:cs="仿宋_GB2312"/>
          <w:color w:val="auto"/>
          <w:sz w:val="28"/>
          <w:szCs w:val="28"/>
          <w:highlight w:val="none"/>
          <w:lang w:val="en-US" w:eastAsia="zh-CN"/>
        </w:rPr>
        <w:t>85.7</w:t>
      </w:r>
      <w:r>
        <w:rPr>
          <w:rFonts w:hint="eastAsia" w:ascii="仿宋_GB2312" w:cs="仿宋_GB2312"/>
          <w:color w:val="auto"/>
          <w:sz w:val="28"/>
          <w:szCs w:val="28"/>
          <w:highlight w:val="none"/>
        </w:rPr>
        <w:t>%</w:t>
      </w:r>
    </w:p>
    <w:p w14:paraId="369007D9">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14:paraId="08CE9E0E">
      <w:pPr>
        <w:bidi w:val="0"/>
        <w:rPr>
          <w:rFonts w:hint="eastAsia"/>
          <w:color w:val="auto"/>
          <w:highlight w:val="none"/>
          <w:lang w:val="en-US" w:eastAsia="zh-CN"/>
        </w:rPr>
      </w:pPr>
      <w:r>
        <w:rPr>
          <w:rFonts w:hint="eastAsia"/>
          <w:color w:val="auto"/>
          <w:highlight w:val="none"/>
        </w:rPr>
        <w:t>经检查，本项目合同、财务支出凭证等资料，本项目资金使用符合国家财经法规、《政府会计制度》以及《</w:t>
      </w:r>
      <w:r>
        <w:rPr>
          <w:rFonts w:hint="eastAsia"/>
          <w:color w:val="auto"/>
          <w:highlight w:val="none"/>
          <w:lang w:val="en-US" w:eastAsia="zh-CN"/>
        </w:rPr>
        <w:t>托克逊县技工学校</w:t>
      </w:r>
      <w:r>
        <w:rPr>
          <w:rFonts w:hint="eastAsia"/>
          <w:color w:val="auto"/>
          <w:highlight w:val="none"/>
        </w:rPr>
        <w:t>单位资金管理办法》，资金的拨付有完整的审批程序和手续，资金实际使用方向与预算批复用途一致，不存在截留、挤占、挪用、虚列支出的情况。</w:t>
      </w:r>
    </w:p>
    <w:p w14:paraId="18ACB9D7">
      <w:pPr>
        <w:bidi w:val="0"/>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w:t>
      </w:r>
      <w:r>
        <w:rPr>
          <w:rFonts w:hint="eastAsia"/>
          <w:color w:val="auto"/>
          <w:highlight w:val="none"/>
          <w:lang w:val="en-US" w:eastAsia="zh-CN"/>
        </w:rPr>
        <w:t>资金使用合规。</w:t>
      </w:r>
    </w:p>
    <w:p w14:paraId="7BD2B977">
      <w:pPr>
        <w:pStyle w:val="2"/>
        <w:bidi w:val="0"/>
        <w:rPr>
          <w:rFonts w:hint="eastAsia"/>
          <w:color w:val="auto"/>
          <w:highlight w:val="none"/>
          <w:lang w:val="en-US" w:eastAsia="zh-CN"/>
        </w:rPr>
      </w:pPr>
      <w:r>
        <w:rPr>
          <w:rFonts w:hint="eastAsia"/>
          <w:color w:val="auto"/>
          <w:highlight w:val="none"/>
          <w:lang w:val="en-US" w:eastAsia="zh-CN"/>
        </w:rPr>
        <w:t>2.组织实施情况分析</w:t>
      </w:r>
    </w:p>
    <w:p w14:paraId="737B7387">
      <w:pPr>
        <w:bidi w:val="0"/>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14:paraId="39DD22F5">
      <w:pPr>
        <w:bidi w:val="0"/>
        <w:rPr>
          <w:rFonts w:hint="eastAsia"/>
          <w:color w:val="auto"/>
          <w:highlight w:val="none"/>
          <w:lang w:val="en-US" w:eastAsia="zh-CN"/>
        </w:rPr>
      </w:pPr>
      <w:r>
        <w:rPr>
          <w:rFonts w:hint="eastAsia"/>
          <w:color w:val="auto"/>
          <w:highlight w:val="none"/>
        </w:rPr>
        <w:t>我单位已制定《</w:t>
      </w:r>
      <w:r>
        <w:rPr>
          <w:rFonts w:hint="eastAsia"/>
          <w:color w:val="auto"/>
          <w:highlight w:val="none"/>
          <w:lang w:val="en-US" w:eastAsia="zh-CN"/>
        </w:rPr>
        <w:t>托克逊县技工学校管理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托克逊县技工学校</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托克逊县技工学校</w:t>
      </w:r>
      <w:r>
        <w:rPr>
          <w:rFonts w:hint="eastAsia"/>
          <w:color w:val="auto"/>
          <w:highlight w:val="none"/>
        </w:rPr>
        <w:t>采购业务管理制度》《</w:t>
      </w:r>
      <w:r>
        <w:rPr>
          <w:rFonts w:hint="eastAsia"/>
          <w:color w:val="auto"/>
          <w:highlight w:val="none"/>
          <w:lang w:val="en-US" w:eastAsia="zh-CN"/>
        </w:rPr>
        <w:t>托克逊县技工学校</w:t>
      </w:r>
      <w:r>
        <w:rPr>
          <w:rFonts w:hint="eastAsia"/>
          <w:color w:val="auto"/>
          <w:highlight w:val="none"/>
        </w:rPr>
        <w:t>合同管理制度》等，上述已建立的制度均符合行政事业单位内控管理要求，财务和业务管理制度合法、合规、完整，本项目执行符合上述制度规定。</w:t>
      </w:r>
    </w:p>
    <w:p w14:paraId="7D3BA1E2">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14:paraId="6D98FEDD">
      <w:pPr>
        <w:bidi w:val="0"/>
        <w:rPr>
          <w:rFonts w:hint="eastAsia" w:ascii="仿宋_GB2312" w:cs="仿宋_GB2312"/>
          <w:color w:val="auto"/>
          <w:sz w:val="28"/>
          <w:szCs w:val="28"/>
          <w:highlight w:val="none"/>
        </w:rPr>
      </w:pPr>
      <w:r>
        <w:rPr>
          <w:rFonts w:hint="eastAsia" w:ascii="仿宋_GB2312" w:cs="仿宋_GB2312"/>
          <w:b/>
          <w:bCs/>
          <w:color w:val="auto"/>
          <w:sz w:val="28"/>
          <w:szCs w:val="28"/>
          <w:highlight w:val="none"/>
        </w:rPr>
        <w:t>（5）制度执行有效性</w:t>
      </w:r>
      <w:r>
        <w:rPr>
          <w:rFonts w:hint="eastAsia" w:ascii="仿宋_GB2312" w:cs="仿宋_GB2312"/>
          <w:color w:val="auto"/>
          <w:sz w:val="28"/>
          <w:szCs w:val="28"/>
          <w:highlight w:val="none"/>
        </w:rPr>
        <w:t>：</w:t>
      </w:r>
    </w:p>
    <w:p w14:paraId="32104E80">
      <w:pPr>
        <w:bidi w:val="0"/>
        <w:rPr>
          <w:rFonts w:hint="eastAsia"/>
          <w:color w:val="auto"/>
          <w:highlight w:val="none"/>
        </w:rPr>
      </w:pPr>
      <w:r>
        <w:rPr>
          <w:rFonts w:hint="eastAsia"/>
          <w:color w:val="auto"/>
          <w:highlight w:val="none"/>
          <w:lang w:eastAsia="zh-CN"/>
        </w:rPr>
        <w:t>①</w:t>
      </w:r>
      <w:r>
        <w:rPr>
          <w:rFonts w:hint="eastAsia"/>
          <w:color w:val="auto"/>
          <w:highlight w:val="none"/>
        </w:rPr>
        <w:t>该项目的</w:t>
      </w:r>
      <w:r>
        <w:rPr>
          <w:rFonts w:hint="eastAsia"/>
          <w:color w:val="auto"/>
          <w:highlight w:val="none"/>
          <w:lang w:val="en-US" w:eastAsia="zh-CN"/>
        </w:rPr>
        <w:t>实施</w:t>
      </w:r>
      <w:r>
        <w:rPr>
          <w:rFonts w:hint="eastAsia"/>
          <w:color w:val="auto"/>
          <w:highlight w:val="none"/>
        </w:rPr>
        <w:t>符合《</w:t>
      </w:r>
      <w:r>
        <w:rPr>
          <w:rFonts w:hint="eastAsia"/>
          <w:color w:val="auto"/>
          <w:highlight w:val="none"/>
          <w:lang w:val="en-US" w:eastAsia="zh-CN"/>
        </w:rPr>
        <w:t>托克逊县技工学校</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托克逊县技工学校</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托克逊县技工学校</w:t>
      </w:r>
      <w:r>
        <w:rPr>
          <w:rFonts w:hint="eastAsia"/>
          <w:color w:val="auto"/>
          <w:highlight w:val="none"/>
        </w:rPr>
        <w:t>采购业务管理制度》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托克逊县技工学校</w:t>
      </w:r>
      <w:r>
        <w:rPr>
          <w:rFonts w:hint="eastAsia"/>
          <w:color w:val="auto"/>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0AF9ED0C">
      <w:pPr>
        <w:bidi w:val="0"/>
        <w:rPr>
          <w:rFonts w:hint="eastAsia"/>
          <w:color w:val="auto"/>
          <w:highlight w:val="none"/>
        </w:rPr>
      </w:pPr>
      <w:r>
        <w:rPr>
          <w:rFonts w:hint="eastAsia"/>
          <w:color w:val="auto"/>
          <w:highlight w:val="none"/>
          <w:lang w:eastAsia="zh-CN"/>
        </w:rPr>
        <w:t>②</w:t>
      </w:r>
      <w:r>
        <w:rPr>
          <w:rFonts w:hint="eastAsia"/>
          <w:color w:val="auto"/>
          <w:highlight w:val="none"/>
        </w:rPr>
        <w:t>经现场</w:t>
      </w:r>
      <w:r>
        <w:rPr>
          <w:rFonts w:hint="eastAsia"/>
          <w:color w:val="auto"/>
          <w:highlight w:val="none"/>
          <w:lang w:eastAsia="zh-CN"/>
        </w:rPr>
        <w:t>申请维修单</w:t>
      </w:r>
      <w:r>
        <w:rPr>
          <w:rFonts w:hint="eastAsia"/>
          <w:color w:val="auto"/>
          <w:highlight w:val="none"/>
        </w:rPr>
        <w:t>书、验收</w:t>
      </w:r>
      <w:r>
        <w:rPr>
          <w:rFonts w:hint="eastAsia"/>
          <w:color w:val="auto"/>
          <w:highlight w:val="none"/>
          <w:lang w:eastAsia="zh-CN"/>
        </w:rPr>
        <w:t>单</w:t>
      </w:r>
      <w:r>
        <w:rPr>
          <w:rFonts w:hint="eastAsia"/>
          <w:color w:val="auto"/>
          <w:highlight w:val="none"/>
        </w:rPr>
        <w:t>、财务支付凭证等资料齐全并及时归档。</w:t>
      </w:r>
    </w:p>
    <w:p w14:paraId="7B50C7FA">
      <w:pPr>
        <w:bidi w:val="0"/>
        <w:rPr>
          <w:rFonts w:hint="eastAsia"/>
          <w:color w:val="auto"/>
          <w:highlight w:val="none"/>
          <w:lang w:eastAsia="zh-CN"/>
        </w:rPr>
      </w:pPr>
      <w:r>
        <w:rPr>
          <w:rFonts w:hint="eastAsia"/>
          <w:color w:val="auto"/>
          <w:highlight w:val="none"/>
          <w:lang w:eastAsia="zh-CN"/>
        </w:rPr>
        <w:t>③本项目不存在调整。</w:t>
      </w:r>
    </w:p>
    <w:p w14:paraId="15FAF965">
      <w:pPr>
        <w:bidi w:val="0"/>
        <w:rPr>
          <w:rFonts w:hint="eastAsia"/>
          <w:color w:val="auto"/>
          <w:highlight w:val="none"/>
          <w:lang w:val="en-US" w:eastAsia="zh-CN"/>
        </w:rPr>
      </w:pPr>
      <w:r>
        <w:rPr>
          <w:rFonts w:hint="eastAsia"/>
          <w:color w:val="auto"/>
          <w:highlight w:val="none"/>
          <w:lang w:eastAsia="zh-CN"/>
        </w:rPr>
        <w:t>④本项目实施所需要的项目人员和场地设备均已落实到位，具体涉及内容包括：为确保项目的顺利实施我单位成立了项目管理小组，人员均已配备到位，项目实施过程中所需的场地、</w:t>
      </w:r>
      <w:r>
        <w:rPr>
          <w:rFonts w:hint="eastAsia"/>
          <w:color w:val="auto"/>
          <w:highlight w:val="none"/>
          <w:lang w:val="en-US" w:eastAsia="zh-CN"/>
        </w:rPr>
        <w:t>设备</w:t>
      </w:r>
      <w:r>
        <w:rPr>
          <w:rFonts w:hint="eastAsia"/>
          <w:color w:val="auto"/>
          <w:highlight w:val="none"/>
          <w:lang w:eastAsia="zh-CN"/>
        </w:rPr>
        <w:t>等配套也已到位。</w:t>
      </w:r>
    </w:p>
    <w:p w14:paraId="62128FE1">
      <w:pPr>
        <w:bidi w:val="0"/>
        <w:rPr>
          <w:color w:val="auto"/>
          <w:highlight w:val="none"/>
        </w:rPr>
      </w:pPr>
      <w:r>
        <w:rPr>
          <w:rFonts w:hint="eastAsia"/>
          <w:color w:val="auto"/>
          <w:highlight w:val="none"/>
        </w:rPr>
        <w:t>综上所述，</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分,本项目制度执行有效</w:t>
      </w:r>
      <w:r>
        <w:rPr>
          <w:rFonts w:hint="eastAsia" w:ascii="仿宋_GB2312" w:hAnsi="Times New Roman" w:cs="仿宋_GB2312"/>
          <w:color w:val="auto"/>
          <w:szCs w:val="28"/>
          <w:highlight w:val="none"/>
          <w:lang w:val="en-US" w:eastAsia="zh-CN"/>
        </w:rPr>
        <w:t>。</w:t>
      </w:r>
    </w:p>
    <w:p w14:paraId="71B79C5A">
      <w:pPr>
        <w:pStyle w:val="2"/>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14:paraId="4F5E867D">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项目产出类指标包括产出数量、产出质量、产出时效、产出成本四方面的内容，由</w:t>
      </w:r>
      <w:r>
        <w:rPr>
          <w:rFonts w:hint="eastAsia"/>
          <w:color w:val="auto"/>
          <w:highlight w:val="none"/>
          <w:lang w:eastAsia="zh-CN"/>
        </w:rPr>
        <w:t>项目产出类指标由4个二级指标和</w:t>
      </w:r>
      <w:r>
        <w:rPr>
          <w:rFonts w:hint="eastAsia" w:ascii="仿宋_GB2312" w:cs="仿宋_GB2312"/>
          <w:color w:val="auto"/>
          <w:sz w:val="28"/>
          <w:szCs w:val="28"/>
          <w:highlight w:val="none"/>
          <w:lang w:val="en-US" w:eastAsia="zh-CN"/>
        </w:rPr>
        <w:t>12</w:t>
      </w:r>
      <w:r>
        <w:rPr>
          <w:rFonts w:hint="eastAsia"/>
          <w:color w:val="auto"/>
          <w:highlight w:val="none"/>
          <w:lang w:eastAsia="zh-CN"/>
        </w:rPr>
        <w:t>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36</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36</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2B16B1FC">
      <w:pPr>
        <w:pStyle w:val="2"/>
        <w:bidi w:val="0"/>
        <w:rPr>
          <w:rFonts w:hint="eastAsia"/>
          <w:color w:val="auto"/>
          <w:highlight w:val="none"/>
          <w:lang w:val="en-US" w:eastAsia="zh-CN"/>
        </w:rPr>
      </w:pPr>
      <w:r>
        <w:rPr>
          <w:rFonts w:hint="eastAsia"/>
          <w:color w:val="auto"/>
          <w:highlight w:val="none"/>
          <w:lang w:val="en-US" w:eastAsia="zh-CN"/>
        </w:rPr>
        <w:t>1.数量指标完成情况分析</w:t>
      </w:r>
    </w:p>
    <w:p w14:paraId="00EAE7AD">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中等职业学校免学费受助人数占应受助学生数的比例</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100%人</w:t>
      </w:r>
      <w:r>
        <w:rPr>
          <w:rFonts w:hint="eastAsia" w:ascii="仿宋_GB2312" w:hAnsi="仿宋_GB2312" w:cs="仿宋_GB2312"/>
          <w:color w:val="auto"/>
          <w:sz w:val="28"/>
          <w:szCs w:val="28"/>
          <w:highlight w:val="none"/>
        </w:rPr>
        <w:t>，实际完成指标值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hAns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14:paraId="3C25494D">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幼儿专业、美容美发专业、机电设备安装与维修专业享受国家免学费人数数</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大于等于408人</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445人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hAns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14:paraId="2787F907">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室内设计专业、汽车维修专业、享受国家免学费人数</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大于等于246人</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268人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hAns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14:paraId="06CBB179">
      <w:pPr>
        <w:bidi w:val="0"/>
        <w:rPr>
          <w:rFonts w:hint="eastAsia" w:ascii="仿宋_GB2312" w:cs="仿宋_GB2312"/>
          <w:color w:val="auto"/>
          <w:sz w:val="28"/>
          <w:szCs w:val="28"/>
          <w:highlight w:val="none"/>
          <w:lang w:val="en-US" w:eastAsia="zh-CN"/>
        </w:rPr>
      </w:pPr>
      <w:r>
        <w:rPr>
          <w:rFonts w:hint="eastAsia" w:ascii="仿宋_GB2312" w:cs="仿宋_GB2312"/>
          <w:color w:val="auto"/>
          <w:sz w:val="28"/>
          <w:szCs w:val="28"/>
          <w:highlight w:val="none"/>
          <w:lang w:val="en-US" w:eastAsia="zh-CN"/>
        </w:rPr>
        <w:t>“家政服务专业、饭店服务专业、享受国家免学费人数”指标：预期指标值为大于等于128人，实际完成指标值为133人，指标完成率为100%。本指标满分为3分，根据评分标准，该指标得3分。</w:t>
      </w:r>
    </w:p>
    <w:p w14:paraId="507E7D0F">
      <w:pPr>
        <w:pStyle w:val="2"/>
        <w:bidi w:val="0"/>
        <w:rPr>
          <w:rFonts w:hint="eastAsia"/>
          <w:color w:val="auto"/>
          <w:highlight w:val="none"/>
          <w:lang w:val="en-US" w:eastAsia="zh-CN"/>
        </w:rPr>
      </w:pPr>
      <w:r>
        <w:rPr>
          <w:rFonts w:hint="eastAsia"/>
          <w:color w:val="auto"/>
          <w:highlight w:val="none"/>
          <w:lang w:val="en-US" w:eastAsia="zh-CN"/>
        </w:rPr>
        <w:t>2.质量指标完成情况分析</w:t>
      </w:r>
    </w:p>
    <w:p w14:paraId="37DD5E8D">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中职学生就业率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大于等于95.0%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96%</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hAns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14:paraId="184CB958">
      <w:pPr>
        <w:pStyle w:val="2"/>
        <w:rPr>
          <w:rFonts w:hint="eastAsia" w:ascii="仿宋_GB2312" w:hAnsi="仿宋_GB2312" w:cs="仿宋_GB2312"/>
          <w:b w:val="0"/>
          <w:bCs w:val="0"/>
          <w:color w:val="auto"/>
          <w:sz w:val="28"/>
          <w:szCs w:val="28"/>
          <w:highlight w:val="none"/>
        </w:rPr>
      </w:pPr>
      <w:r>
        <w:rPr>
          <w:rFonts w:hint="eastAsia" w:ascii="仿宋_GB2312" w:hAnsi="仿宋_GB2312" w:cs="仿宋_GB2312"/>
          <w:b w:val="0"/>
          <w:bCs w:val="0"/>
          <w:color w:val="auto"/>
          <w:sz w:val="28"/>
          <w:szCs w:val="28"/>
          <w:highlight w:val="none"/>
        </w:rPr>
        <w:t>“</w:t>
      </w:r>
      <w:r>
        <w:rPr>
          <w:rFonts w:hint="eastAsia" w:ascii="仿宋_GB2312" w:hAnsi="仿宋_GB2312" w:cs="仿宋_GB2312"/>
          <w:b w:val="0"/>
          <w:bCs w:val="0"/>
          <w:color w:val="auto"/>
          <w:sz w:val="28"/>
          <w:szCs w:val="28"/>
          <w:highlight w:val="none"/>
          <w:lang w:val="en-US" w:eastAsia="zh-CN"/>
        </w:rPr>
        <w:t>公办学校免学费达标率</w:t>
      </w:r>
      <w:r>
        <w:rPr>
          <w:rFonts w:hint="eastAsia" w:ascii="仿宋_GB2312" w:hAnsi="仿宋_GB2312" w:cs="仿宋_GB2312"/>
          <w:b w:val="0"/>
          <w:bCs w:val="0"/>
          <w:color w:val="auto"/>
          <w:sz w:val="28"/>
          <w:szCs w:val="28"/>
          <w:highlight w:val="none"/>
        </w:rPr>
        <w:t>”指标：预期指标值为</w:t>
      </w:r>
      <w:r>
        <w:rPr>
          <w:rFonts w:hint="eastAsia" w:cs="仿宋_GB2312"/>
          <w:b w:val="0"/>
          <w:bCs w:val="0"/>
          <w:color w:val="auto"/>
          <w:sz w:val="28"/>
          <w:szCs w:val="28"/>
          <w:highlight w:val="none"/>
          <w:lang w:val="en-US" w:eastAsia="zh-CN"/>
        </w:rPr>
        <w:t>100%</w:t>
      </w:r>
      <w:r>
        <w:rPr>
          <w:rFonts w:hint="eastAsia" w:ascii="仿宋_GB2312" w:hAnsi="仿宋_GB2312" w:cs="仿宋_GB2312"/>
          <w:b w:val="0"/>
          <w:bCs w:val="0"/>
          <w:color w:val="auto"/>
          <w:sz w:val="28"/>
          <w:szCs w:val="28"/>
          <w:highlight w:val="none"/>
        </w:rPr>
        <w:t>，实际完成指标值为</w:t>
      </w:r>
      <w:r>
        <w:rPr>
          <w:rFonts w:hint="eastAsia" w:ascii="仿宋_GB2312" w:hAnsi="仿宋_GB2312" w:cs="仿宋_GB2312"/>
          <w:b w:val="0"/>
          <w:bCs w:val="0"/>
          <w:color w:val="auto"/>
          <w:sz w:val="28"/>
          <w:szCs w:val="28"/>
          <w:highlight w:val="none"/>
          <w:lang w:val="en-US" w:eastAsia="zh-CN"/>
        </w:rPr>
        <w:t>100%</w:t>
      </w:r>
      <w:r>
        <w:rPr>
          <w:rFonts w:hint="eastAsia" w:ascii="仿宋_GB2312" w:hAnsi="仿宋_GB2312" w:cs="仿宋_GB2312"/>
          <w:b w:val="0"/>
          <w:bCs w:val="0"/>
          <w:color w:val="auto"/>
          <w:sz w:val="28"/>
          <w:szCs w:val="28"/>
          <w:highlight w:val="none"/>
        </w:rPr>
        <w:t>，指标完成率为</w:t>
      </w:r>
      <w:r>
        <w:rPr>
          <w:rFonts w:hint="eastAsia" w:cs="仿宋_GB2312"/>
          <w:b w:val="0"/>
          <w:bCs w:val="0"/>
          <w:color w:val="auto"/>
          <w:sz w:val="28"/>
          <w:szCs w:val="28"/>
          <w:highlight w:val="none"/>
          <w:lang w:val="en-US" w:eastAsia="zh-CN"/>
        </w:rPr>
        <w:t>100</w:t>
      </w:r>
      <w:r>
        <w:rPr>
          <w:rFonts w:hint="eastAsia" w:ascii="仿宋_GB2312" w:hAnsi="仿宋_GB2312" w:cs="仿宋_GB2312"/>
          <w:b w:val="0"/>
          <w:bCs w:val="0"/>
          <w:color w:val="auto"/>
          <w:sz w:val="28"/>
          <w:szCs w:val="28"/>
          <w:highlight w:val="none"/>
        </w:rPr>
        <w:t>%</w:t>
      </w:r>
      <w:r>
        <w:rPr>
          <w:rFonts w:hint="eastAsia" w:ascii="仿宋_GB2312" w:hAnsi="仿宋_GB2312" w:cs="仿宋_GB2312"/>
          <w:b w:val="0"/>
          <w:bCs w:val="0"/>
          <w:color w:val="auto"/>
          <w:sz w:val="28"/>
          <w:szCs w:val="28"/>
          <w:highlight w:val="none"/>
          <w:lang w:val="en-US" w:eastAsia="zh-CN"/>
        </w:rPr>
        <w:t>。</w:t>
      </w:r>
      <w:r>
        <w:rPr>
          <w:rFonts w:hint="eastAsia" w:ascii="仿宋_GB2312" w:cs="仿宋_GB2312"/>
          <w:b w:val="0"/>
          <w:bCs w:val="0"/>
          <w:color w:val="auto"/>
          <w:sz w:val="28"/>
          <w:szCs w:val="28"/>
          <w:highlight w:val="none"/>
        </w:rPr>
        <w:t>本指标满分为</w:t>
      </w:r>
      <w:r>
        <w:rPr>
          <w:rFonts w:hint="eastAsia" w:cs="仿宋_GB2312"/>
          <w:b w:val="0"/>
          <w:bCs w:val="0"/>
          <w:color w:val="auto"/>
          <w:sz w:val="28"/>
          <w:szCs w:val="28"/>
          <w:highlight w:val="none"/>
          <w:lang w:val="en-US" w:eastAsia="zh-CN"/>
        </w:rPr>
        <w:t>3</w:t>
      </w:r>
      <w:r>
        <w:rPr>
          <w:rFonts w:hint="eastAsia" w:ascii="仿宋_GB2312" w:cs="仿宋_GB2312"/>
          <w:b w:val="0"/>
          <w:bCs w:val="0"/>
          <w:color w:val="auto"/>
          <w:sz w:val="28"/>
          <w:szCs w:val="28"/>
          <w:highlight w:val="none"/>
        </w:rPr>
        <w:t>分，</w:t>
      </w:r>
      <w:r>
        <w:rPr>
          <w:rFonts w:hint="eastAsia" w:ascii="仿宋_GB2312" w:hAnsi="仿宋_GB2312" w:cs="仿宋_GB2312"/>
          <w:b w:val="0"/>
          <w:bCs w:val="0"/>
          <w:color w:val="auto"/>
          <w:sz w:val="28"/>
          <w:szCs w:val="28"/>
          <w:highlight w:val="none"/>
        </w:rPr>
        <w:t>根据评分标准，该指标得</w:t>
      </w:r>
      <w:r>
        <w:rPr>
          <w:rFonts w:hint="eastAsia" w:hAnsi="Times New Roman" w:cs="仿宋_GB2312"/>
          <w:b w:val="0"/>
          <w:bCs w:val="0"/>
          <w:color w:val="auto"/>
          <w:kern w:val="2"/>
          <w:sz w:val="28"/>
          <w:szCs w:val="28"/>
          <w:highlight w:val="none"/>
          <w:lang w:val="en-US" w:eastAsia="zh-CN" w:bidi="ar-SA"/>
        </w:rPr>
        <w:t>3</w:t>
      </w:r>
      <w:r>
        <w:rPr>
          <w:rFonts w:hint="eastAsia" w:ascii="仿宋_GB2312" w:hAnsi="仿宋_GB2312" w:cs="仿宋_GB2312"/>
          <w:b w:val="0"/>
          <w:bCs w:val="0"/>
          <w:color w:val="auto"/>
          <w:sz w:val="28"/>
          <w:szCs w:val="28"/>
          <w:highlight w:val="none"/>
        </w:rPr>
        <w:t>分。</w:t>
      </w:r>
    </w:p>
    <w:p w14:paraId="55F2D615">
      <w:pPr>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学生资助政策知晓率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b w:val="0"/>
          <w:bCs w:val="0"/>
          <w:color w:val="auto"/>
          <w:sz w:val="28"/>
          <w:szCs w:val="28"/>
          <w:highlight w:val="none"/>
          <w:lang w:val="en-US" w:eastAsia="zh-CN"/>
        </w:rPr>
        <w:t>大于等于95.0%</w:t>
      </w:r>
      <w:r>
        <w:rPr>
          <w:rFonts w:hint="eastAsia" w:ascii="仿宋_GB2312" w:hAnsi="仿宋_GB2312" w:cs="仿宋_GB2312"/>
          <w:color w:val="auto"/>
          <w:sz w:val="28"/>
          <w:szCs w:val="28"/>
          <w:highlight w:val="none"/>
        </w:rPr>
        <w:t>，实际完成指标值为</w:t>
      </w:r>
      <w:r>
        <w:rPr>
          <w:rFonts w:hint="eastAsia" w:ascii="仿宋_GB2312" w:hAnsi="仿宋_GB2312" w:cs="仿宋_GB2312"/>
          <w:b w:val="0"/>
          <w:bCs w:val="0"/>
          <w:color w:val="auto"/>
          <w:sz w:val="28"/>
          <w:szCs w:val="28"/>
          <w:highlight w:val="none"/>
          <w:lang w:val="en-US" w:eastAsia="zh-CN"/>
        </w:rPr>
        <w:t>99.05%</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b w:val="0"/>
          <w:bCs w:val="0"/>
          <w:color w:val="auto"/>
          <w:sz w:val="28"/>
          <w:szCs w:val="28"/>
          <w:highlight w:val="none"/>
          <w:lang w:val="en-US" w:eastAsia="zh-CN"/>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hAns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14:paraId="1A21B1AE">
      <w:pPr>
        <w:pStyle w:val="2"/>
        <w:bidi w:val="0"/>
        <w:rPr>
          <w:rFonts w:hint="eastAsia"/>
          <w:color w:val="auto"/>
          <w:highlight w:val="none"/>
        </w:rPr>
      </w:pPr>
      <w:r>
        <w:rPr>
          <w:rFonts w:hint="eastAsia"/>
          <w:color w:val="auto"/>
          <w:highlight w:val="none"/>
          <w:lang w:val="en-US" w:eastAsia="zh-CN"/>
        </w:rPr>
        <w:t>3.时效指标完成情况分析</w:t>
      </w:r>
    </w:p>
    <w:p w14:paraId="1C62CA90">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免学费按规定及时拨付率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hAns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14:paraId="0F8AB14C">
      <w:pPr>
        <w:pStyle w:val="2"/>
        <w:bidi w:val="0"/>
        <w:rPr>
          <w:rFonts w:hint="eastAsia"/>
          <w:color w:val="auto"/>
          <w:highlight w:val="none"/>
        </w:rPr>
      </w:pPr>
      <w:r>
        <w:rPr>
          <w:rFonts w:hint="eastAsia"/>
          <w:color w:val="auto"/>
          <w:highlight w:val="none"/>
          <w:lang w:val="en-US" w:eastAsia="zh-CN"/>
        </w:rPr>
        <w:t>4.成本指标完成情况分析</w:t>
      </w:r>
    </w:p>
    <w:p w14:paraId="2959BB46">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幼儿专业、美容美发专业、机械加工技术专业享受国家免学费中央补助标准</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1280元/人/年</w:t>
      </w:r>
      <w:r>
        <w:rPr>
          <w:rFonts w:hint="eastAsia" w:ascii="仿宋_GB2312" w:hAnsi="仿宋_GB2312" w:cs="仿宋_GB2312"/>
          <w:color w:val="auto"/>
          <w:sz w:val="28"/>
          <w:szCs w:val="28"/>
          <w:highlight w:val="none"/>
        </w:rPr>
        <w:t>，实际完成指标值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1173.57元/人/年</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91.68</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hAnsi="仿宋_GB2312" w:cs="仿宋_GB2312"/>
          <w:color w:val="auto"/>
          <w:sz w:val="28"/>
          <w:szCs w:val="28"/>
          <w:highlight w:val="none"/>
          <w:lang w:val="en-US" w:eastAsia="zh-CN"/>
        </w:rPr>
        <w:t>2.75</w:t>
      </w:r>
      <w:r>
        <w:rPr>
          <w:rFonts w:hint="eastAsia" w:ascii="仿宋_GB2312" w:hAnsi="仿宋_GB2312" w:cs="仿宋_GB2312"/>
          <w:color w:val="auto"/>
          <w:sz w:val="28"/>
          <w:szCs w:val="28"/>
          <w:highlight w:val="none"/>
        </w:rPr>
        <w:t>分。</w:t>
      </w:r>
    </w:p>
    <w:p w14:paraId="491EF116">
      <w:pPr>
        <w:bidi w:val="0"/>
        <w:rPr>
          <w:rFonts w:hint="default" w:cs="仿宋_GB2312"/>
          <w:color w:val="auto"/>
          <w:sz w:val="28"/>
          <w:szCs w:val="28"/>
          <w:highlight w:val="none"/>
          <w:lang w:val="en-US" w:eastAsia="zh-CN"/>
        </w:rPr>
      </w:pPr>
      <w:r>
        <w:rPr>
          <w:rFonts w:hint="eastAsia" w:cs="仿宋_GB2312"/>
          <w:color w:val="auto"/>
          <w:sz w:val="28"/>
          <w:szCs w:val="28"/>
          <w:highlight w:val="none"/>
          <w:lang w:eastAsia="zh-CN"/>
        </w:rPr>
        <w:t>“室内设计专业、汽车维修专业享受国家免学费中央补助标准”指标：预期指标值为1440元/人/年，实际完成指标值为</w:t>
      </w:r>
      <w:r>
        <w:rPr>
          <w:rFonts w:hint="eastAsia" w:cs="仿宋_GB2312"/>
          <w:color w:val="auto"/>
          <w:sz w:val="28"/>
          <w:szCs w:val="28"/>
          <w:highlight w:val="none"/>
          <w:lang w:val="en-US" w:eastAsia="zh-CN"/>
        </w:rPr>
        <w:t>1321.79</w:t>
      </w:r>
      <w:r>
        <w:rPr>
          <w:rFonts w:hint="eastAsia" w:cs="仿宋_GB2312"/>
          <w:color w:val="auto"/>
          <w:sz w:val="28"/>
          <w:szCs w:val="28"/>
          <w:highlight w:val="none"/>
          <w:lang w:eastAsia="zh-CN"/>
        </w:rPr>
        <w:t>元/人/年，指标完成率为</w:t>
      </w:r>
      <w:r>
        <w:rPr>
          <w:rFonts w:hint="eastAsia" w:cs="仿宋_GB2312"/>
          <w:color w:val="auto"/>
          <w:sz w:val="28"/>
          <w:szCs w:val="28"/>
          <w:highlight w:val="none"/>
          <w:lang w:val="en-US" w:eastAsia="zh-CN"/>
        </w:rPr>
        <w:t>91.79</w:t>
      </w:r>
      <w:r>
        <w:rPr>
          <w:rFonts w:hint="eastAsia" w:cs="仿宋_GB2312"/>
          <w:color w:val="auto"/>
          <w:sz w:val="28"/>
          <w:szCs w:val="28"/>
          <w:highlight w:val="none"/>
          <w:lang w:eastAsia="zh-CN"/>
        </w:rPr>
        <w:t>%</w:t>
      </w:r>
      <w:r>
        <w:rPr>
          <w:rFonts w:hint="eastAsia"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hAnsi="仿宋_GB2312" w:cs="仿宋_GB2312"/>
          <w:color w:val="auto"/>
          <w:sz w:val="28"/>
          <w:szCs w:val="28"/>
          <w:highlight w:val="none"/>
          <w:lang w:val="en-US" w:eastAsia="zh-CN"/>
        </w:rPr>
        <w:t>2.75</w:t>
      </w:r>
      <w:r>
        <w:rPr>
          <w:rFonts w:hint="eastAsia" w:ascii="仿宋_GB2312" w:hAnsi="仿宋_GB2312" w:cs="仿宋_GB2312"/>
          <w:color w:val="auto"/>
          <w:sz w:val="28"/>
          <w:szCs w:val="28"/>
          <w:highlight w:val="none"/>
        </w:rPr>
        <w:t>分。</w:t>
      </w:r>
    </w:p>
    <w:p w14:paraId="267B5A54">
      <w:pPr>
        <w:bidi w:val="0"/>
        <w:rPr>
          <w:rFonts w:hint="eastAsia" w:cs="仿宋_GB2312"/>
          <w:color w:val="auto"/>
          <w:sz w:val="28"/>
          <w:szCs w:val="28"/>
          <w:highlight w:val="none"/>
          <w:lang w:eastAsia="zh-CN"/>
        </w:rPr>
      </w:pPr>
      <w:r>
        <w:rPr>
          <w:rFonts w:hint="eastAsia" w:cs="仿宋_GB2312"/>
          <w:color w:val="auto"/>
          <w:sz w:val="28"/>
          <w:szCs w:val="28"/>
          <w:highlight w:val="none"/>
          <w:lang w:eastAsia="zh-CN"/>
        </w:rPr>
        <w:t>“家政服务专业、饭店服务专业享受国家免学费中央补助标准”指标：预期指标值为</w:t>
      </w:r>
      <w:r>
        <w:rPr>
          <w:rFonts w:hint="eastAsia" w:cs="仿宋_GB2312"/>
          <w:color w:val="auto"/>
          <w:sz w:val="28"/>
          <w:szCs w:val="28"/>
          <w:highlight w:val="none"/>
          <w:lang w:val="en-US" w:eastAsia="zh-CN"/>
        </w:rPr>
        <w:t>1040</w:t>
      </w:r>
      <w:r>
        <w:rPr>
          <w:rFonts w:hint="eastAsia" w:cs="仿宋_GB2312"/>
          <w:color w:val="auto"/>
          <w:sz w:val="28"/>
          <w:szCs w:val="28"/>
          <w:highlight w:val="none"/>
          <w:lang w:eastAsia="zh-CN"/>
        </w:rPr>
        <w:t>元/人/年，实际完成指标值为</w:t>
      </w:r>
      <w:r>
        <w:rPr>
          <w:rFonts w:hint="eastAsia" w:cs="仿宋_GB2312"/>
          <w:color w:val="auto"/>
          <w:sz w:val="28"/>
          <w:szCs w:val="28"/>
          <w:highlight w:val="none"/>
          <w:lang w:val="en-US" w:eastAsia="zh-CN"/>
        </w:rPr>
        <w:t>1000.9</w:t>
      </w:r>
      <w:r>
        <w:rPr>
          <w:rFonts w:hint="eastAsia" w:cs="仿宋_GB2312"/>
          <w:color w:val="auto"/>
          <w:sz w:val="28"/>
          <w:szCs w:val="28"/>
          <w:highlight w:val="none"/>
          <w:lang w:eastAsia="zh-CN"/>
        </w:rPr>
        <w:t>元/人/年，指标完成率为</w:t>
      </w:r>
      <w:r>
        <w:rPr>
          <w:rFonts w:hint="eastAsia" w:cs="仿宋_GB2312"/>
          <w:color w:val="auto"/>
          <w:sz w:val="28"/>
          <w:szCs w:val="28"/>
          <w:highlight w:val="none"/>
          <w:lang w:val="en-US" w:eastAsia="zh-CN"/>
        </w:rPr>
        <w:t>96.24</w:t>
      </w:r>
      <w:r>
        <w:rPr>
          <w:rFonts w:hint="eastAsia" w:cs="仿宋_GB2312"/>
          <w:color w:val="auto"/>
          <w:sz w:val="28"/>
          <w:szCs w:val="28"/>
          <w:highlight w:val="none"/>
          <w:lang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hAnsi="仿宋_GB2312" w:cs="仿宋_GB2312"/>
          <w:color w:val="auto"/>
          <w:sz w:val="28"/>
          <w:szCs w:val="28"/>
          <w:highlight w:val="none"/>
          <w:lang w:val="en-US" w:eastAsia="zh-CN"/>
        </w:rPr>
        <w:t>2.89</w:t>
      </w:r>
      <w:r>
        <w:rPr>
          <w:rFonts w:hint="eastAsia" w:ascii="仿宋_GB2312" w:hAnsi="仿宋_GB2312" w:cs="仿宋_GB2312"/>
          <w:color w:val="auto"/>
          <w:sz w:val="28"/>
          <w:szCs w:val="28"/>
          <w:highlight w:val="none"/>
        </w:rPr>
        <w:t>分。</w:t>
      </w:r>
    </w:p>
    <w:p w14:paraId="768F60E9">
      <w:pPr>
        <w:bidi w:val="0"/>
        <w:rPr>
          <w:rFonts w:hint="eastAsia" w:ascii="仿宋_GB2312" w:hAnsi="仿宋_GB2312" w:eastAsia="仿宋_GB2312" w:cs="仿宋_GB2312"/>
          <w:color w:val="auto"/>
          <w:sz w:val="28"/>
          <w:szCs w:val="28"/>
          <w:highlight w:val="none"/>
          <w:lang w:eastAsia="zh-CN"/>
        </w:rPr>
      </w:pPr>
      <w:r>
        <w:rPr>
          <w:rFonts w:hint="eastAsia" w:cs="仿宋_GB2312"/>
          <w:color w:val="auto"/>
          <w:sz w:val="28"/>
          <w:szCs w:val="28"/>
          <w:highlight w:val="none"/>
          <w:lang w:eastAsia="zh-CN"/>
        </w:rPr>
        <w:t>“中央发放学生免学费周转资金”指标：预期指标值为</w:t>
      </w:r>
      <w:r>
        <w:rPr>
          <w:rFonts w:hint="eastAsia" w:cs="仿宋_GB2312"/>
          <w:color w:val="auto"/>
          <w:sz w:val="28"/>
          <w:szCs w:val="28"/>
          <w:highlight w:val="none"/>
          <w:lang w:val="en-US" w:eastAsia="zh-CN"/>
        </w:rPr>
        <w:t>2.99</w:t>
      </w:r>
      <w:r>
        <w:rPr>
          <w:rFonts w:hint="eastAsia" w:cs="仿宋_GB2312"/>
          <w:color w:val="auto"/>
          <w:sz w:val="28"/>
          <w:szCs w:val="28"/>
          <w:highlight w:val="none"/>
          <w:lang w:eastAsia="zh-CN"/>
        </w:rPr>
        <w:t>万元，实际完成指标值为</w:t>
      </w:r>
      <w:r>
        <w:rPr>
          <w:rFonts w:hint="eastAsia" w:cs="仿宋_GB2312"/>
          <w:color w:val="auto"/>
          <w:sz w:val="28"/>
          <w:szCs w:val="28"/>
          <w:highlight w:val="none"/>
          <w:lang w:val="en-US" w:eastAsia="zh-CN"/>
        </w:rPr>
        <w:t>2.99</w:t>
      </w:r>
      <w:r>
        <w:rPr>
          <w:rFonts w:hint="eastAsia" w:cs="仿宋_GB2312"/>
          <w:color w:val="auto"/>
          <w:sz w:val="28"/>
          <w:szCs w:val="28"/>
          <w:highlight w:val="none"/>
          <w:lang w:eastAsia="zh-CN"/>
        </w:rPr>
        <w:t>万元，指标完成率为</w:t>
      </w:r>
      <w:r>
        <w:rPr>
          <w:rFonts w:hint="eastAsia" w:cs="仿宋_GB2312"/>
          <w:color w:val="auto"/>
          <w:sz w:val="28"/>
          <w:szCs w:val="28"/>
          <w:highlight w:val="none"/>
          <w:lang w:val="en-US" w:eastAsia="zh-CN"/>
        </w:rPr>
        <w:t>100</w:t>
      </w:r>
      <w:r>
        <w:rPr>
          <w:rFonts w:hint="eastAsia" w:cs="仿宋_GB2312"/>
          <w:color w:val="auto"/>
          <w:sz w:val="28"/>
          <w:szCs w:val="28"/>
          <w:highlight w:val="none"/>
          <w:lang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hAns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14:paraId="1F32C828">
      <w:pPr>
        <w:pStyle w:val="4"/>
        <w:bidi w:val="0"/>
        <w:ind w:left="0" w:leftChars="0" w:firstLine="643" w:firstLineChars="20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（四）项目效益情况</w:t>
      </w:r>
    </w:p>
    <w:p w14:paraId="7D92C71A">
      <w:pPr>
        <w:bidi w:val="0"/>
        <w:rPr>
          <w:rFonts w:hint="eastAsia" w:ascii="仿宋_GB2312" w:cs="仿宋_GB2312"/>
          <w:color w:val="auto"/>
          <w:sz w:val="28"/>
          <w:szCs w:val="28"/>
          <w:highlight w:val="none"/>
        </w:rPr>
      </w:pPr>
      <w:r>
        <w:rPr>
          <w:rFonts w:hint="eastAsia"/>
          <w:color w:val="auto"/>
          <w:highlight w:val="none"/>
          <w:lang w:eastAsia="zh-CN"/>
        </w:rPr>
        <w:t>项目效益类指标由</w:t>
      </w:r>
      <w:r>
        <w:rPr>
          <w:rFonts w:hint="eastAsia" w:ascii="仿宋_GB2312" w:cs="仿宋_GB2312"/>
          <w:color w:val="auto"/>
          <w:sz w:val="28"/>
          <w:szCs w:val="28"/>
          <w:highlight w:val="none"/>
          <w:lang w:val="en-US" w:eastAsia="zh-CN"/>
        </w:rPr>
        <w:t>3</w:t>
      </w:r>
      <w:r>
        <w:rPr>
          <w:rFonts w:hint="eastAsia"/>
          <w:color w:val="auto"/>
          <w:highlight w:val="none"/>
          <w:lang w:eastAsia="zh-CN"/>
        </w:rPr>
        <w:t>个二级指标和</w:t>
      </w:r>
      <w:r>
        <w:rPr>
          <w:rFonts w:hint="eastAsia" w:ascii="仿宋_GB2312" w:cs="仿宋_GB2312"/>
          <w:color w:val="auto"/>
          <w:sz w:val="28"/>
          <w:szCs w:val="28"/>
          <w:highlight w:val="none"/>
          <w:lang w:val="en-US" w:eastAsia="zh-CN"/>
        </w:rPr>
        <w:t>4</w:t>
      </w:r>
      <w:r>
        <w:rPr>
          <w:rFonts w:hint="eastAsia"/>
          <w:color w:val="auto"/>
          <w:highlight w:val="none"/>
          <w:lang w:eastAsia="zh-CN"/>
        </w:rPr>
        <w:t>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6FD0B6EA">
      <w:pPr>
        <w:pStyle w:val="2"/>
        <w:numPr>
          <w:ilvl w:val="0"/>
          <w:numId w:val="0"/>
        </w:numPr>
        <w:bidi w:val="0"/>
        <w:ind w:firstLine="562" w:firstLineChars="200"/>
        <w:rPr>
          <w:rFonts w:hint="eastAsia" w:ascii="仿宋_GB2312" w:hAnsi="仿宋_GB2312" w:cs="仿宋_GB2312"/>
          <w:b/>
          <w:bCs/>
          <w:color w:val="auto"/>
          <w:sz w:val="28"/>
          <w:szCs w:val="28"/>
          <w:highlight w:val="none"/>
          <w:lang w:val="en-US" w:eastAsia="zh-CN"/>
        </w:rPr>
      </w:pPr>
      <w:r>
        <w:rPr>
          <w:rFonts w:hint="eastAsia" w:cs="仿宋_GB2312"/>
          <w:b/>
          <w:bCs/>
          <w:color w:val="auto"/>
          <w:sz w:val="28"/>
          <w:szCs w:val="28"/>
          <w:highlight w:val="none"/>
          <w:lang w:val="en-US" w:eastAsia="zh-CN"/>
        </w:rPr>
        <w:t>1.</w:t>
      </w:r>
      <w:r>
        <w:rPr>
          <w:rFonts w:hint="eastAsia" w:ascii="仿宋_GB2312" w:hAnsi="仿宋_GB2312" w:cs="仿宋_GB2312"/>
          <w:b/>
          <w:bCs/>
          <w:color w:val="auto"/>
          <w:sz w:val="28"/>
          <w:szCs w:val="28"/>
          <w:highlight w:val="none"/>
          <w:lang w:val="en-US" w:eastAsia="zh-CN"/>
        </w:rPr>
        <w:t>经济</w:t>
      </w:r>
      <w:r>
        <w:rPr>
          <w:rFonts w:hint="eastAsia" w:ascii="仿宋_GB2312"/>
          <w:b/>
          <w:bCs/>
          <w:color w:val="auto"/>
          <w:sz w:val="28"/>
          <w:szCs w:val="28"/>
          <w:highlight w:val="none"/>
        </w:rPr>
        <w:t>效益</w:t>
      </w:r>
      <w:r>
        <w:rPr>
          <w:rFonts w:hint="eastAsia" w:ascii="仿宋_GB2312" w:hAnsi="仿宋_GB2312" w:cs="仿宋_GB2312"/>
          <w:b/>
          <w:bCs/>
          <w:color w:val="auto"/>
          <w:sz w:val="28"/>
          <w:szCs w:val="28"/>
          <w:highlight w:val="none"/>
          <w:lang w:val="en-US" w:eastAsia="zh-CN"/>
        </w:rPr>
        <w:t>指标完成情况分析</w:t>
      </w:r>
    </w:p>
    <w:p w14:paraId="2EC9102F">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default"/>
          <w:color w:val="auto"/>
          <w:highlight w:val="none"/>
          <w:lang w:val="en-US" w:eastAsia="zh-CN"/>
        </w:rPr>
      </w:pPr>
      <w:r>
        <w:rPr>
          <w:rFonts w:hint="eastAsia"/>
          <w:color w:val="auto"/>
          <w:highlight w:val="none"/>
          <w:lang w:val="en-US" w:eastAsia="zh-CN"/>
        </w:rPr>
        <w:t>无。</w:t>
      </w:r>
    </w:p>
    <w:p w14:paraId="53640F90">
      <w:pPr>
        <w:pStyle w:val="2"/>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2.</w:t>
      </w:r>
      <w:r>
        <w:rPr>
          <w:rFonts w:hint="eastAsia" w:ascii="仿宋_GB2312"/>
          <w:b/>
          <w:bCs/>
          <w:color w:val="auto"/>
          <w:sz w:val="28"/>
          <w:szCs w:val="28"/>
          <w:highlight w:val="none"/>
          <w:lang w:val="en-US" w:eastAsia="zh-CN"/>
        </w:rPr>
        <w:t>社会效益</w:t>
      </w:r>
      <w:r>
        <w:rPr>
          <w:rFonts w:hint="eastAsia" w:ascii="仿宋_GB2312" w:hAnsi="仿宋_GB2312" w:cs="仿宋_GB2312"/>
          <w:b/>
          <w:bCs/>
          <w:color w:val="auto"/>
          <w:sz w:val="28"/>
          <w:szCs w:val="28"/>
          <w:highlight w:val="none"/>
          <w:lang w:val="en-US" w:eastAsia="zh-CN"/>
        </w:rPr>
        <w:t>指标完成情况分析</w:t>
      </w:r>
    </w:p>
    <w:p w14:paraId="0375E347">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减少中等职业学生因贫辍学率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有效减少</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p>
    <w:p w14:paraId="0ACFA4F0">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减轻家庭经济困难学生的生活负担</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有效减轻</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p>
    <w:p w14:paraId="1016D164">
      <w:pPr>
        <w:pStyle w:val="2"/>
        <w:bidi w:val="0"/>
        <w:ind w:left="0" w:leftChars="0" w:firstLine="562" w:firstLineChars="200"/>
        <w:rPr>
          <w:rFonts w:hint="eastAsia"/>
          <w:color w:val="auto"/>
          <w:highlight w:val="none"/>
          <w:lang w:val="en-US" w:eastAsia="zh-CN"/>
        </w:rPr>
      </w:pPr>
      <w:r>
        <w:rPr>
          <w:rFonts w:hint="eastAsia"/>
          <w:color w:val="auto"/>
          <w:highlight w:val="none"/>
          <w:lang w:val="en-US" w:eastAsia="zh-CN"/>
        </w:rPr>
        <w:t>3.生态效益指标完成情况分析</w:t>
      </w:r>
    </w:p>
    <w:p w14:paraId="3B2145C9">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color w:val="auto"/>
          <w:highlight w:val="none"/>
          <w:lang w:val="en-US" w:eastAsia="zh-CN"/>
        </w:rPr>
      </w:pPr>
      <w:r>
        <w:rPr>
          <w:rFonts w:hint="eastAsia"/>
          <w:color w:val="auto"/>
          <w:highlight w:val="none"/>
          <w:lang w:val="en-US" w:eastAsia="zh-CN"/>
        </w:rPr>
        <w:t>无。</w:t>
      </w:r>
    </w:p>
    <w:p w14:paraId="7A4F88EA">
      <w:pPr>
        <w:pStyle w:val="2"/>
        <w:bidi w:val="0"/>
        <w:rPr>
          <w:rFonts w:hint="eastAsia"/>
          <w:color w:val="auto"/>
          <w:highlight w:val="none"/>
          <w:lang w:val="en-US" w:eastAsia="zh-CN"/>
        </w:rPr>
      </w:pPr>
      <w:r>
        <w:rPr>
          <w:rFonts w:hint="eastAsia"/>
          <w:color w:val="auto"/>
          <w:highlight w:val="none"/>
          <w:lang w:val="en-US" w:eastAsia="zh-CN"/>
        </w:rPr>
        <w:t>4.可持续影响指标完成情况分析</w:t>
      </w:r>
    </w:p>
    <w:p w14:paraId="68A4ED87">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default"/>
          <w:color w:val="auto"/>
          <w:highlight w:val="none"/>
          <w:lang w:val="en-US" w:eastAsia="zh-CN"/>
        </w:rPr>
      </w:pPr>
      <w:r>
        <w:rPr>
          <w:rFonts w:hint="eastAsia"/>
          <w:color w:val="auto"/>
          <w:highlight w:val="none"/>
          <w:lang w:val="en-US" w:eastAsia="zh-CN"/>
        </w:rPr>
        <w:t>无。</w:t>
      </w:r>
    </w:p>
    <w:p w14:paraId="31E582FD">
      <w:pPr>
        <w:pStyle w:val="2"/>
        <w:bidi w:val="0"/>
        <w:rPr>
          <w:rFonts w:hint="eastAsia"/>
          <w:color w:val="auto"/>
          <w:highlight w:val="none"/>
          <w:lang w:val="en-US" w:eastAsia="zh-CN"/>
        </w:rPr>
      </w:pPr>
      <w:r>
        <w:rPr>
          <w:rFonts w:hint="eastAsia"/>
          <w:color w:val="auto"/>
          <w:highlight w:val="none"/>
          <w:lang w:val="en-US" w:eastAsia="zh-CN"/>
        </w:rPr>
        <w:t>5.满意度指标完成情况分析</w:t>
      </w:r>
    </w:p>
    <w:p w14:paraId="1EAEC098">
      <w:pPr>
        <w:bidi w:val="0"/>
        <w:rPr>
          <w:rFonts w:hint="eastAsia" w:ascii="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学生、家长对免学费补助满意度</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98.98%</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r>
        <w:rPr>
          <w:rFonts w:hint="eastAsia" w:ascii="仿宋_GB2312"/>
          <w:color w:val="auto"/>
          <w:sz w:val="28"/>
          <w:szCs w:val="28"/>
          <w:highlight w:val="none"/>
        </w:rPr>
        <w:t>。</w:t>
      </w:r>
      <w:bookmarkEnd w:id="15"/>
    </w:p>
    <w:p w14:paraId="2110E420">
      <w:pPr>
        <w:pStyle w:val="3"/>
        <w:ind w:left="638" w:leftChars="228" w:firstLine="0" w:firstLineChars="0"/>
        <w:jc w:val="left"/>
        <w:rPr>
          <w:rFonts w:hint="eastAsia"/>
          <w:color w:val="auto"/>
          <w:highlight w:val="none"/>
        </w:rPr>
      </w:pPr>
      <w:r>
        <w:rPr>
          <w:rFonts w:hint="eastAsia" w:ascii="Times New Roman" w:hAnsi="Times New Roman" w:cs="Times New Roman"/>
          <w:b/>
          <w:bCs/>
          <w:color w:val="auto"/>
          <w:highlight w:val="none"/>
          <w:lang w:val="en-US" w:eastAsia="zh-CN"/>
        </w:rPr>
        <w:t>五、预算执行进度与绩效指标偏差</w:t>
      </w:r>
    </w:p>
    <w:p w14:paraId="311477C7">
      <w:pPr>
        <w:numPr>
          <w:ilvl w:val="0"/>
          <w:numId w:val="5"/>
        </w:numPr>
        <w:bidi w:val="0"/>
        <w:ind w:left="0" w:leftChars="0" w:firstLine="560" w:firstLineChars="200"/>
        <w:rPr>
          <w:rFonts w:hint="eastAsia" w:ascii="仿宋_GB2312" w:hAnsi="仿宋_GB2312" w:eastAsia="仿宋_GB2312" w:cs="仿宋_GB2312"/>
          <w:color w:val="auto"/>
          <w:sz w:val="28"/>
          <w:szCs w:val="28"/>
          <w:highlight w:val="none"/>
          <w:lang w:eastAsia="zh-CN"/>
        </w:rPr>
      </w:pPr>
      <w:r>
        <w:rPr>
          <w:rFonts w:hint="eastAsia" w:ascii="仿宋_GB2312" w:hAnsi="仿宋_GB2312" w:cs="仿宋_GB2312"/>
          <w:color w:val="auto"/>
          <w:sz w:val="28"/>
          <w:szCs w:val="28"/>
          <w:highlight w:val="none"/>
          <w:lang w:val="en-US" w:eastAsia="zh-CN"/>
        </w:rPr>
        <w:t>该</w:t>
      </w:r>
      <w:r>
        <w:rPr>
          <w:rFonts w:hint="eastAsia" w:ascii="仿宋_GB2312" w:hAnsi="仿宋_GB2312" w:cs="仿宋_GB2312"/>
          <w:color w:val="auto"/>
          <w:sz w:val="28"/>
          <w:szCs w:val="28"/>
          <w:highlight w:val="none"/>
        </w:rPr>
        <w:t>项目预算</w:t>
      </w:r>
      <w:r>
        <w:rPr>
          <w:rFonts w:hint="eastAsia" w:ascii="仿宋_GB2312" w:hAnsi="仿宋_GB2312" w:cs="仿宋_GB2312"/>
          <w:color w:val="auto"/>
          <w:sz w:val="28"/>
          <w:szCs w:val="28"/>
          <w:highlight w:val="none"/>
          <w:lang w:val="en-US" w:eastAsia="zh-CN"/>
        </w:rPr>
        <w:t>101.19</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，到位</w:t>
      </w:r>
      <w:r>
        <w:rPr>
          <w:rFonts w:hint="eastAsia" w:ascii="仿宋_GB2312" w:hAnsi="仿宋_GB2312" w:cs="仿宋_GB2312"/>
          <w:color w:val="auto"/>
          <w:sz w:val="28"/>
          <w:szCs w:val="28"/>
          <w:highlight w:val="none"/>
          <w:lang w:val="en-US" w:eastAsia="zh-CN"/>
        </w:rPr>
        <w:t>101.19</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，实际支出</w:t>
      </w:r>
      <w:r>
        <w:rPr>
          <w:rFonts w:hint="eastAsia" w:ascii="仿宋_GB2312" w:hAnsi="仿宋_GB2312" w:cs="仿宋_GB2312"/>
          <w:color w:val="auto"/>
          <w:sz w:val="28"/>
          <w:szCs w:val="28"/>
          <w:highlight w:val="none"/>
          <w:lang w:val="en-US" w:eastAsia="zh-CN"/>
        </w:rPr>
        <w:t>101.19</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，预算执行率为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%，项目绩效指标总体完成率为</w:t>
      </w:r>
      <w:r>
        <w:rPr>
          <w:rFonts w:hint="eastAsia" w:ascii="仿宋_GB2312" w:hAnsi="仿宋_GB2312" w:cs="仿宋_GB2312"/>
          <w:color w:val="auto"/>
          <w:sz w:val="28"/>
          <w:szCs w:val="28"/>
          <w:highlight w:val="none"/>
          <w:lang w:val="en-US" w:eastAsia="zh-CN"/>
        </w:rPr>
        <w:t>98.7</w:t>
      </w:r>
      <w:r>
        <w:rPr>
          <w:rFonts w:hint="eastAsia" w:ascii="仿宋_GB2312" w:hAnsi="仿宋_GB2312" w:cs="仿宋_GB2312"/>
          <w:color w:val="auto"/>
          <w:sz w:val="28"/>
          <w:szCs w:val="28"/>
          <w:highlight w:val="none"/>
        </w:rPr>
        <w:t>%，</w:t>
      </w:r>
      <w:r>
        <w:rPr>
          <w:rFonts w:hint="eastAsia" w:cs="仿宋_GB2312"/>
          <w:color w:val="auto"/>
          <w:sz w:val="28"/>
          <w:szCs w:val="28"/>
          <w:highlight w:val="none"/>
          <w:lang w:val="en-US" w:eastAsia="zh-CN"/>
        </w:rPr>
        <w:t>项目</w:t>
      </w:r>
      <w:r>
        <w:rPr>
          <w:rFonts w:hint="eastAsia"/>
          <w:color w:val="auto"/>
          <w:highlight w:val="none"/>
        </w:rPr>
        <w:t>预算执行进度与绩效指标</w:t>
      </w:r>
      <w:r>
        <w:rPr>
          <w:rFonts w:hint="eastAsia"/>
          <w:color w:val="auto"/>
          <w:highlight w:val="none"/>
          <w:lang w:val="en-US" w:eastAsia="zh-CN"/>
        </w:rPr>
        <w:t>完成进度偏差率为-1.3%。</w:t>
      </w:r>
    </w:p>
    <w:p w14:paraId="02ACE1A7">
      <w:pPr>
        <w:pStyle w:val="3"/>
        <w:ind w:firstLine="640"/>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14:paraId="0C1AA5F3">
      <w:pPr>
        <w:pStyle w:val="4"/>
        <w:numPr>
          <w:ilvl w:val="0"/>
          <w:numId w:val="6"/>
        </w:numPr>
        <w:ind w:firstLine="643"/>
        <w:rPr>
          <w:color w:val="auto"/>
          <w:highlight w:val="none"/>
        </w:rPr>
      </w:pPr>
      <w:bookmarkStart w:id="16" w:name="_Toc28290"/>
      <w:bookmarkStart w:id="17" w:name="_Toc1921"/>
      <w:r>
        <w:rPr>
          <w:rFonts w:hint="eastAsia"/>
          <w:color w:val="auto"/>
          <w:highlight w:val="none"/>
        </w:rPr>
        <w:t>主要经验及做法</w:t>
      </w:r>
    </w:p>
    <w:bookmarkEnd w:id="16"/>
    <w:bookmarkEnd w:id="17"/>
    <w:p w14:paraId="502FF436">
      <w:pPr>
        <w:pStyle w:val="6"/>
        <w:ind w:firstLine="562"/>
        <w:rPr>
          <w:rFonts w:ascii="宋体" w:hAnsi="宋体" w:eastAsia="宋体" w:cs="宋体"/>
          <w:b/>
          <w:bCs/>
          <w:color w:val="auto"/>
          <w:szCs w:val="28"/>
          <w:highlight w:val="none"/>
        </w:rPr>
      </w:pPr>
      <w:r>
        <w:rPr>
          <w:rFonts w:hint="eastAsia" w:ascii="宋体" w:hAnsi="宋体" w:eastAsia="宋体" w:cs="宋体"/>
          <w:b/>
          <w:bCs/>
          <w:color w:val="auto"/>
          <w:szCs w:val="28"/>
          <w:highlight w:val="none"/>
        </w:rPr>
        <w:t>严格按规使用、支出资金</w:t>
      </w:r>
    </w:p>
    <w:p w14:paraId="2C62D003">
      <w:pPr>
        <w:pStyle w:val="24"/>
        <w:spacing w:line="360" w:lineRule="auto"/>
        <w:ind w:firstLine="562"/>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资金管理按照专项资金管理办法要求，全日制中等职业学校一、二、三年级的学生全免费补助资金符合国家财经法规和财务管理制度规定以及有关专项资金管理办法的规定，资金拨付有完整的审批程序和手续，分账核算，专款专用，无截留、挤占、挪用等现象。</w:t>
      </w:r>
    </w:p>
    <w:p w14:paraId="0ABD9C04">
      <w:pPr>
        <w:pStyle w:val="24"/>
        <w:spacing w:line="360" w:lineRule="auto"/>
        <w:ind w:firstLine="562"/>
        <w:rPr>
          <w:rFonts w:hint="default" w:ascii="宋体" w:hAnsi="宋体" w:eastAsia="宋体" w:cs="宋体"/>
          <w:b/>
          <w:bCs/>
          <w:color w:val="auto"/>
          <w:highlight w:val="none"/>
          <w:lang w:val="en-US" w:eastAsia="zh-CN"/>
        </w:rPr>
      </w:pPr>
      <w:r>
        <w:rPr>
          <w:rFonts w:hint="eastAsia" w:ascii="宋体" w:hAnsi="宋体" w:cs="宋体"/>
          <w:color w:val="auto"/>
          <w:kern w:val="0"/>
          <w:szCs w:val="21"/>
          <w:highlight w:val="none"/>
          <w:lang w:val="en-US" w:eastAsia="zh-CN" w:bidi="ar"/>
        </w:rPr>
        <w:t>2.严格按照上级有关文件精神，做好中职学生资助认定工作，切实提高资助精准度，做到应助尽助，不断提高资金使用绩效。</w:t>
      </w:r>
    </w:p>
    <w:p w14:paraId="0C9E8671">
      <w:pPr>
        <w:pStyle w:val="24"/>
        <w:spacing w:line="360" w:lineRule="auto"/>
        <w:ind w:firstLine="562"/>
        <w:rPr>
          <w:rFonts w:ascii="宋体" w:hAnsi="宋体" w:eastAsia="宋体" w:cs="宋体"/>
          <w:b/>
          <w:bCs/>
          <w:color w:val="auto"/>
          <w:highlight w:val="none"/>
        </w:rPr>
      </w:pPr>
      <w:r>
        <w:rPr>
          <w:rFonts w:hint="eastAsia" w:ascii="宋体" w:hAnsi="宋体" w:eastAsia="宋体" w:cs="宋体"/>
          <w:b/>
          <w:bCs/>
          <w:color w:val="auto"/>
          <w:highlight w:val="none"/>
        </w:rPr>
        <w:t>开展定期检查</w:t>
      </w:r>
    </w:p>
    <w:p w14:paraId="51E010C7">
      <w:pPr>
        <w:pStyle w:val="24"/>
        <w:spacing w:line="360" w:lineRule="auto"/>
        <w:rPr>
          <w:rFonts w:hint="eastAsia"/>
          <w:color w:val="auto"/>
          <w:highlight w:val="none"/>
          <w:lang w:eastAsia="zh-CN"/>
        </w:rPr>
      </w:pPr>
      <w:r>
        <w:rPr>
          <w:rFonts w:hint="eastAsia" w:ascii="宋体" w:hAnsi="宋体" w:cs="宋体"/>
          <w:color w:val="auto"/>
          <w:kern w:val="0"/>
          <w:szCs w:val="21"/>
          <w:highlight w:val="none"/>
          <w:lang w:bidi="ar"/>
        </w:rPr>
        <w:t>定期对财政资金的使用情况进行自查，重点督查财政资金的使用进度，资金落实情况，对发现的问题采取措施，及时纠正，认真处理，强化管理，有效杜绝了专项资金在分配使用过程中的违纪现象的发生，保证了财政资金的使用安全。存在的问题及原因分析</w:t>
      </w:r>
      <w:r>
        <w:rPr>
          <w:rFonts w:hint="eastAsia" w:ascii="宋体" w:hAnsi="宋体" w:cs="宋体"/>
          <w:color w:val="auto"/>
          <w:kern w:val="0"/>
          <w:szCs w:val="21"/>
          <w:highlight w:val="none"/>
          <w:lang w:eastAsia="zh-CN" w:bidi="ar"/>
        </w:rPr>
        <w:t>。</w:t>
      </w:r>
    </w:p>
    <w:p w14:paraId="70DD5A9D">
      <w:pPr>
        <w:pStyle w:val="4"/>
        <w:numPr>
          <w:ilvl w:val="0"/>
          <w:numId w:val="6"/>
        </w:numPr>
        <w:ind w:firstLine="643"/>
        <w:rPr>
          <w:color w:val="auto"/>
          <w:highlight w:val="none"/>
        </w:rPr>
      </w:pPr>
      <w:r>
        <w:rPr>
          <w:rFonts w:hint="eastAsia"/>
          <w:color w:val="auto"/>
          <w:highlight w:val="none"/>
        </w:rPr>
        <w:t>存在的问题及原因分析</w:t>
      </w:r>
    </w:p>
    <w:p w14:paraId="25DD67A8">
      <w:pPr>
        <w:rPr>
          <w:rFonts w:hint="eastAsia" w:ascii="宋体" w:hAnsi="宋体" w:cs="宋体"/>
          <w:color w:val="auto"/>
          <w:kern w:val="0"/>
          <w:szCs w:val="21"/>
          <w:highlight w:val="none"/>
          <w:lang w:val="en-US" w:eastAsia="zh-CN" w:bidi="ar"/>
        </w:rPr>
      </w:pPr>
      <w:r>
        <w:rPr>
          <w:rFonts w:hint="eastAsia" w:ascii="宋体" w:hAnsi="宋体" w:cs="宋体"/>
          <w:color w:val="auto"/>
          <w:kern w:val="0"/>
          <w:szCs w:val="21"/>
          <w:highlight w:val="none"/>
          <w:lang w:val="en-US" w:eastAsia="zh-CN" w:bidi="ar"/>
        </w:rPr>
        <w:t>1.在资助宣传工作中，在工作方法还有进一步的提高，提高后续工作的开展，如在班级开展活动中，未能真正在班级起到立竿见影的效果，应该在宣传方法、技巧上多加改进，达到更好的宣传教育工作。</w:t>
      </w:r>
    </w:p>
    <w:p w14:paraId="2F6097DC">
      <w:pPr>
        <w:rPr>
          <w:rFonts w:hint="eastAsia" w:ascii="宋体" w:hAnsi="宋体" w:cs="宋体"/>
          <w:color w:val="auto"/>
          <w:kern w:val="0"/>
          <w:szCs w:val="21"/>
          <w:highlight w:val="none"/>
          <w:lang w:val="en-US" w:eastAsia="zh-CN" w:bidi="ar"/>
        </w:rPr>
      </w:pPr>
      <w:r>
        <w:rPr>
          <w:rFonts w:hint="eastAsia" w:ascii="宋体" w:hAnsi="宋体" w:cs="宋体"/>
          <w:color w:val="auto"/>
          <w:kern w:val="0"/>
          <w:szCs w:val="21"/>
          <w:highlight w:val="none"/>
          <w:lang w:val="en-US" w:eastAsia="zh-CN" w:bidi="ar"/>
        </w:rPr>
        <w:t>2.对长期不到校的原建档立卡、家庭困难学生资助政策实施困难大。长期不到校不配合班主任工作，相关证明材料不能及时送达资金得</w:t>
      </w:r>
      <w:bookmarkStart w:id="18" w:name="_GoBack"/>
      <w:bookmarkEnd w:id="18"/>
      <w:r>
        <w:rPr>
          <w:rFonts w:hint="eastAsia" w:ascii="宋体" w:hAnsi="宋体" w:cs="宋体"/>
          <w:color w:val="auto"/>
          <w:kern w:val="0"/>
          <w:szCs w:val="21"/>
          <w:highlight w:val="none"/>
          <w:lang w:val="en-US" w:eastAsia="zh-CN" w:bidi="ar"/>
        </w:rPr>
        <w:t>不到及时发放，给资助工作造成一定的困难，资助专职人员严重不足。</w:t>
      </w:r>
    </w:p>
    <w:p w14:paraId="212FCA36">
      <w:pPr>
        <w:rPr>
          <w:rFonts w:hint="eastAsia" w:ascii="宋体" w:hAnsi="宋体" w:cs="宋体"/>
          <w:color w:val="auto"/>
          <w:kern w:val="0"/>
          <w:szCs w:val="21"/>
          <w:highlight w:val="none"/>
          <w:lang w:val="en-US" w:eastAsia="zh-CN" w:bidi="ar"/>
        </w:rPr>
      </w:pPr>
      <w:r>
        <w:rPr>
          <w:rFonts w:hint="eastAsia" w:ascii="宋体" w:hAnsi="宋体" w:cs="宋体"/>
          <w:color w:val="auto"/>
          <w:kern w:val="0"/>
          <w:szCs w:val="21"/>
          <w:highlight w:val="none"/>
          <w:lang w:val="en-US" w:eastAsia="zh-CN" w:bidi="ar"/>
        </w:rPr>
        <w:t>3.绩效目标设定时缺乏详细、具体的量化指标，未考虑学校多方面变化等因素，设定的目标无法达成设定的绩效目的。</w:t>
      </w:r>
    </w:p>
    <w:p w14:paraId="23F92ABF">
      <w:pPr>
        <w:pStyle w:val="3"/>
        <w:ind w:firstLine="640"/>
        <w:rPr>
          <w:color w:val="auto"/>
          <w:highlight w:val="none"/>
        </w:rPr>
      </w:pPr>
      <w:r>
        <w:rPr>
          <w:rFonts w:hint="eastAsia"/>
          <w:color w:val="auto"/>
          <w:highlight w:val="none"/>
          <w:lang w:eastAsia="zh-CN"/>
        </w:rPr>
        <w:t>七</w:t>
      </w:r>
      <w:r>
        <w:rPr>
          <w:rFonts w:hint="eastAsia"/>
          <w:color w:val="auto"/>
          <w:highlight w:val="none"/>
        </w:rPr>
        <w:t>、有关建议</w:t>
      </w:r>
    </w:p>
    <w:p w14:paraId="40E14F70">
      <w:pPr>
        <w:numPr>
          <w:ilvl w:val="0"/>
          <w:numId w:val="7"/>
        </w:numPr>
        <w:ind w:firstLine="560"/>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加强责任制度落实。分清预算职责，完善单位绩效考核机制，保证预算资金按照目标执行。</w:t>
      </w:r>
    </w:p>
    <w:p w14:paraId="60C9A91B">
      <w:pPr>
        <w:numPr>
          <w:ilvl w:val="0"/>
          <w:numId w:val="7"/>
        </w:numPr>
        <w:ind w:firstLine="560"/>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加强绩效目标设置管理，减少数据偏差，规范预算人员对项目的核算，提高项目预算的准确性。加强监督机制，把绩效监控工作列入重要议事日程，并将其作为加强自身财务建设，提高项目资金使用效益的重要手段，切实抓紧抓好。</w:t>
      </w:r>
    </w:p>
    <w:p w14:paraId="6151ED7C">
      <w:pPr>
        <w:numPr>
          <w:ilvl w:val="0"/>
          <w:numId w:val="7"/>
        </w:numPr>
        <w:ind w:firstLine="560"/>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加强单位各科室之间对预算编制的充分沟通，预算编制主要由财务部门负责，财务人员重点在于对数据的统计分析，缺乏对单位项目实际情况的了解，应与各科室加强沟通，使得预算得到有效执行。</w:t>
      </w:r>
    </w:p>
    <w:p w14:paraId="63CAD785">
      <w:pPr>
        <w:pStyle w:val="3"/>
        <w:ind w:firstLine="640"/>
        <w:rPr>
          <w:color w:val="auto"/>
          <w:highlight w:val="none"/>
        </w:rPr>
      </w:pPr>
      <w:r>
        <w:rPr>
          <w:rFonts w:hint="eastAsia"/>
          <w:color w:val="auto"/>
          <w:highlight w:val="none"/>
          <w:lang w:eastAsia="zh-CN"/>
        </w:rPr>
        <w:t>八</w:t>
      </w:r>
      <w:r>
        <w:rPr>
          <w:rFonts w:hint="eastAsia"/>
          <w:color w:val="auto"/>
          <w:highlight w:val="none"/>
        </w:rPr>
        <w:t>、其他需要说明的问题</w:t>
      </w:r>
    </w:p>
    <w:p w14:paraId="15E3D51D">
      <w:pPr>
        <w:ind w:firstLine="544"/>
        <w:rPr>
          <w:color w:val="auto"/>
          <w:spacing w:val="-4"/>
          <w:szCs w:val="32"/>
          <w:highlight w:val="none"/>
        </w:rPr>
      </w:pPr>
      <w:r>
        <w:rPr>
          <w:rFonts w:hint="eastAsia"/>
          <w:color w:val="auto"/>
          <w:highlight w:val="none"/>
        </w:rPr>
        <w:t>我单位对上述项目支出绩效评价报告内反映内容的真实性、完整性负责，接受上级部门及社会公众监督。</w:t>
      </w:r>
    </w:p>
    <w:p w14:paraId="1902FD54">
      <w:pPr>
        <w:pStyle w:val="3"/>
        <w:ind w:firstLine="640"/>
        <w:rPr>
          <w:color w:val="auto"/>
          <w:highlight w:val="none"/>
        </w:rPr>
      </w:pPr>
      <w:r>
        <w:rPr>
          <w:rFonts w:hint="eastAsia"/>
          <w:color w:val="auto"/>
          <w:highlight w:val="none"/>
          <w:lang w:eastAsia="zh-CN"/>
        </w:rPr>
        <w:t>九、</w:t>
      </w:r>
      <w:r>
        <w:rPr>
          <w:rFonts w:hint="eastAsia"/>
          <w:color w:val="auto"/>
          <w:highlight w:val="none"/>
        </w:rPr>
        <w:t>附表</w:t>
      </w:r>
    </w:p>
    <w:p w14:paraId="0193AB82">
      <w:pPr>
        <w:ind w:firstLine="560"/>
        <w:rPr>
          <w:color w:val="auto"/>
          <w:highlight w:val="none"/>
        </w:rPr>
      </w:pPr>
      <w:r>
        <w:rPr>
          <w:rFonts w:hint="eastAsia"/>
          <w:color w:val="auto"/>
          <w:highlight w:val="none"/>
        </w:rPr>
        <w:t>附件1：项目绩效评价指标体系表和项目得分汇总表</w:t>
      </w:r>
    </w:p>
    <w:p w14:paraId="5C1CA134">
      <w:pPr>
        <w:rPr>
          <w:rFonts w:hint="default"/>
          <w:color w:val="auto"/>
          <w:highlight w:val="none"/>
          <w:lang w:val="en-US" w:eastAsia="zh-CN"/>
        </w:rPr>
      </w:pPr>
    </w:p>
    <w:sectPr>
      <w:footerReference r:id="rId11" w:type="default"/>
      <w:pgSz w:w="11906" w:h="16838"/>
      <w:pgMar w:top="1440" w:right="1080" w:bottom="1440" w:left="1080" w:header="737" w:footer="850" w:gutter="0"/>
      <w:pgNumType w:start="1"/>
      <w:cols w:space="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MS Sans Serif">
    <w:altName w:val="Arial"/>
    <w:panose1 w:val="00000000000000000000"/>
    <w:charset w:val="00"/>
    <w:family w:val="swiss"/>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336127">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A9766">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290E9">
    <w:pPr>
      <w:pStyle w:val="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7D554">
    <w:pPr>
      <w:pStyle w:val="8"/>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391CBD">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2391CBD">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88123D">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9E1FA">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B59C2A">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BE64C9"/>
    <w:multiLevelType w:val="singleLevel"/>
    <w:tmpl w:val="86BE64C9"/>
    <w:lvl w:ilvl="0" w:tentative="0">
      <w:start w:val="1"/>
      <w:numFmt w:val="decimal"/>
      <w:suff w:val="nothing"/>
      <w:lvlText w:val="%1．"/>
      <w:lvlJc w:val="left"/>
      <w:pPr>
        <w:ind w:left="0" w:firstLine="400"/>
      </w:pPr>
      <w:rPr>
        <w:rFonts w:hint="default"/>
      </w:rPr>
    </w:lvl>
  </w:abstractNum>
  <w:abstractNum w:abstractNumId="1">
    <w:nsid w:val="DE7169DD"/>
    <w:multiLevelType w:val="singleLevel"/>
    <w:tmpl w:val="DE7169DD"/>
    <w:lvl w:ilvl="0" w:tentative="0">
      <w:start w:val="1"/>
      <w:numFmt w:val="decimal"/>
      <w:suff w:val="nothing"/>
      <w:lvlText w:val="（%1）"/>
      <w:lvlJc w:val="left"/>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7F0BFB9"/>
    <w:multiLevelType w:val="singleLevel"/>
    <w:tmpl w:val="17F0BFB9"/>
    <w:lvl w:ilvl="0" w:tentative="0">
      <w:start w:val="1"/>
      <w:numFmt w:val="decimalEnclosedCircleChinese"/>
      <w:suff w:val="nothing"/>
      <w:lvlText w:val="%1　"/>
      <w:lvlJc w:val="left"/>
      <w:pPr>
        <w:ind w:left="0" w:firstLine="400"/>
      </w:pPr>
      <w:rPr>
        <w:rFonts w:hint="eastAsia"/>
      </w:rPr>
    </w:lvl>
  </w:abstractNum>
  <w:abstractNum w:abstractNumId="4">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5">
    <w:nsid w:val="3A7260C0"/>
    <w:multiLevelType w:val="multilevel"/>
    <w:tmpl w:val="3A7260C0"/>
    <w:lvl w:ilvl="0" w:tentative="0">
      <w:start w:val="1"/>
      <w:numFmt w:val="chineseCountingThousand"/>
      <w:pStyle w:val="2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166511E"/>
    <w:multiLevelType w:val="singleLevel"/>
    <w:tmpl w:val="4166511E"/>
    <w:lvl w:ilvl="0" w:tentative="0">
      <w:start w:val="1"/>
      <w:numFmt w:val="chineseCounting"/>
      <w:suff w:val="nothing"/>
      <w:lvlText w:val="（%1）"/>
      <w:lvlJc w:val="left"/>
      <w:rPr>
        <w:rFonts w:hint="eastAsia"/>
      </w:rPr>
    </w:lvl>
  </w:abstractNum>
  <w:num w:numId="1">
    <w:abstractNumId w:val="5"/>
  </w:num>
  <w:num w:numId="2">
    <w:abstractNumId w:val="3"/>
  </w:num>
  <w:num w:numId="3">
    <w:abstractNumId w:val="4"/>
  </w:num>
  <w:num w:numId="4">
    <w:abstractNumId w:val="2"/>
  </w:num>
  <w:num w:numId="5">
    <w:abstractNumId w:val="1"/>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RhZGRhZDliN2U2ZjMwMDRlZmZlOTM0MmY5NTIwOWEifQ=="/>
  </w:docVars>
  <w:rsids>
    <w:rsidRoot w:val="68291A1A"/>
    <w:rsid w:val="002E7E04"/>
    <w:rsid w:val="00690EF3"/>
    <w:rsid w:val="0075294E"/>
    <w:rsid w:val="00797F3D"/>
    <w:rsid w:val="007F6D93"/>
    <w:rsid w:val="0084063E"/>
    <w:rsid w:val="008B069C"/>
    <w:rsid w:val="009A1AE3"/>
    <w:rsid w:val="009B5A6C"/>
    <w:rsid w:val="009B5CF5"/>
    <w:rsid w:val="00B44702"/>
    <w:rsid w:val="00BD363E"/>
    <w:rsid w:val="00CB042D"/>
    <w:rsid w:val="00E14046"/>
    <w:rsid w:val="027A149C"/>
    <w:rsid w:val="03355EA0"/>
    <w:rsid w:val="037A6340"/>
    <w:rsid w:val="03F37136"/>
    <w:rsid w:val="06B65283"/>
    <w:rsid w:val="0737484F"/>
    <w:rsid w:val="0894741C"/>
    <w:rsid w:val="08C56F08"/>
    <w:rsid w:val="0A253999"/>
    <w:rsid w:val="0ADD431E"/>
    <w:rsid w:val="0B663ABE"/>
    <w:rsid w:val="0C9C6B5C"/>
    <w:rsid w:val="0F560251"/>
    <w:rsid w:val="10EA74CC"/>
    <w:rsid w:val="11C972F9"/>
    <w:rsid w:val="11CE6FA3"/>
    <w:rsid w:val="122C5F35"/>
    <w:rsid w:val="124434D2"/>
    <w:rsid w:val="12BC6C0F"/>
    <w:rsid w:val="12F1313F"/>
    <w:rsid w:val="140B0193"/>
    <w:rsid w:val="16503F1E"/>
    <w:rsid w:val="16840E59"/>
    <w:rsid w:val="18703AE0"/>
    <w:rsid w:val="1921747A"/>
    <w:rsid w:val="1991739F"/>
    <w:rsid w:val="1A4478E9"/>
    <w:rsid w:val="1AFA7A97"/>
    <w:rsid w:val="1C073948"/>
    <w:rsid w:val="1CBC270C"/>
    <w:rsid w:val="1E9D190E"/>
    <w:rsid w:val="1F044F05"/>
    <w:rsid w:val="210564DD"/>
    <w:rsid w:val="21174F0E"/>
    <w:rsid w:val="22084231"/>
    <w:rsid w:val="245E1E24"/>
    <w:rsid w:val="25B84B49"/>
    <w:rsid w:val="27427758"/>
    <w:rsid w:val="277D5B50"/>
    <w:rsid w:val="27EB5F22"/>
    <w:rsid w:val="282C6F8E"/>
    <w:rsid w:val="29C900D4"/>
    <w:rsid w:val="2BB20D78"/>
    <w:rsid w:val="2C103347"/>
    <w:rsid w:val="2CE675AA"/>
    <w:rsid w:val="2D0F6B01"/>
    <w:rsid w:val="2DC76FF5"/>
    <w:rsid w:val="2E483E7E"/>
    <w:rsid w:val="2FF53343"/>
    <w:rsid w:val="332F7DDD"/>
    <w:rsid w:val="33944516"/>
    <w:rsid w:val="347745FD"/>
    <w:rsid w:val="34D13CC3"/>
    <w:rsid w:val="35A9176E"/>
    <w:rsid w:val="36185B49"/>
    <w:rsid w:val="36786AFD"/>
    <w:rsid w:val="36C119AF"/>
    <w:rsid w:val="38216AA3"/>
    <w:rsid w:val="387E114E"/>
    <w:rsid w:val="39AD2E7F"/>
    <w:rsid w:val="39BC591B"/>
    <w:rsid w:val="3A6E1FC1"/>
    <w:rsid w:val="3A7F6B17"/>
    <w:rsid w:val="3AFD443D"/>
    <w:rsid w:val="3B55595D"/>
    <w:rsid w:val="3C105267"/>
    <w:rsid w:val="3CE56643"/>
    <w:rsid w:val="3F041198"/>
    <w:rsid w:val="3F56172C"/>
    <w:rsid w:val="3F5661F7"/>
    <w:rsid w:val="3F9D6759"/>
    <w:rsid w:val="3FB4291A"/>
    <w:rsid w:val="416110EB"/>
    <w:rsid w:val="42FE3854"/>
    <w:rsid w:val="44BF5775"/>
    <w:rsid w:val="44E126D9"/>
    <w:rsid w:val="4575717F"/>
    <w:rsid w:val="46792C7D"/>
    <w:rsid w:val="468F291E"/>
    <w:rsid w:val="46EB783F"/>
    <w:rsid w:val="47390B7D"/>
    <w:rsid w:val="496C0C7A"/>
    <w:rsid w:val="49AD5A62"/>
    <w:rsid w:val="4AC265D9"/>
    <w:rsid w:val="4B132484"/>
    <w:rsid w:val="4CDA1BC4"/>
    <w:rsid w:val="4D2D15AF"/>
    <w:rsid w:val="4D3D4A25"/>
    <w:rsid w:val="4E01693D"/>
    <w:rsid w:val="4F733A2D"/>
    <w:rsid w:val="509638DD"/>
    <w:rsid w:val="51570D8F"/>
    <w:rsid w:val="522058B7"/>
    <w:rsid w:val="53911E3E"/>
    <w:rsid w:val="54203DA4"/>
    <w:rsid w:val="546015F0"/>
    <w:rsid w:val="54E16220"/>
    <w:rsid w:val="559C30E7"/>
    <w:rsid w:val="581C0AB7"/>
    <w:rsid w:val="5A266FC0"/>
    <w:rsid w:val="5A7075E9"/>
    <w:rsid w:val="5AAF4635"/>
    <w:rsid w:val="5CD81893"/>
    <w:rsid w:val="5D4B42AB"/>
    <w:rsid w:val="5DA73AFA"/>
    <w:rsid w:val="5DBC0791"/>
    <w:rsid w:val="5FB23198"/>
    <w:rsid w:val="60E27761"/>
    <w:rsid w:val="66A07BFB"/>
    <w:rsid w:val="67390F98"/>
    <w:rsid w:val="676B7E9B"/>
    <w:rsid w:val="67AA3C69"/>
    <w:rsid w:val="68131784"/>
    <w:rsid w:val="68291A1A"/>
    <w:rsid w:val="69017DF0"/>
    <w:rsid w:val="691B1594"/>
    <w:rsid w:val="6B9E0A74"/>
    <w:rsid w:val="6BD9363D"/>
    <w:rsid w:val="6C891725"/>
    <w:rsid w:val="6CAE5486"/>
    <w:rsid w:val="6D62044D"/>
    <w:rsid w:val="6F0D6C22"/>
    <w:rsid w:val="708C75B2"/>
    <w:rsid w:val="71313BD0"/>
    <w:rsid w:val="716A5647"/>
    <w:rsid w:val="71B65707"/>
    <w:rsid w:val="71B85130"/>
    <w:rsid w:val="73BC3CA9"/>
    <w:rsid w:val="743A23B1"/>
    <w:rsid w:val="75013946"/>
    <w:rsid w:val="75861E70"/>
    <w:rsid w:val="76D2301A"/>
    <w:rsid w:val="76FD38F2"/>
    <w:rsid w:val="77861774"/>
    <w:rsid w:val="78FB545E"/>
    <w:rsid w:val="791D7F17"/>
    <w:rsid w:val="79300B45"/>
    <w:rsid w:val="79855D49"/>
    <w:rsid w:val="79A17504"/>
    <w:rsid w:val="79BE2F1C"/>
    <w:rsid w:val="7B0E018B"/>
    <w:rsid w:val="7BB93831"/>
    <w:rsid w:val="7BC16109"/>
    <w:rsid w:val="7C6A08D3"/>
    <w:rsid w:val="7DBC2C98"/>
    <w:rsid w:val="7E617414"/>
    <w:rsid w:val="7F1952D7"/>
    <w:rsid w:val="7F9406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2"/>
    <w:qFormat/>
    <w:uiPriority w:val="0"/>
    <w:pPr>
      <w:jc w:val="left"/>
    </w:pPr>
  </w:style>
  <w:style w:type="paragraph" w:styleId="6">
    <w:name w:val="Body Text"/>
    <w:basedOn w:val="1"/>
    <w:qFormat/>
    <w:uiPriority w:val="0"/>
  </w:style>
  <w:style w:type="paragraph" w:styleId="7">
    <w:name w:val="Balloon Text"/>
    <w:basedOn w:val="1"/>
    <w:link w:val="21"/>
    <w:qFormat/>
    <w:uiPriority w:val="0"/>
    <w:pPr>
      <w:spacing w:line="240" w:lineRule="auto"/>
    </w:pPr>
    <w:rPr>
      <w:sz w:val="18"/>
      <w:szCs w:val="1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Body Text 2"/>
    <w:basedOn w:val="1"/>
    <w:qFormat/>
    <w:uiPriority w:val="0"/>
    <w:pPr>
      <w:spacing w:after="120" w:line="480" w:lineRule="auto"/>
    </w:pPr>
    <w:rPr>
      <w:rFonts w:ascii="Times New Roman" w:hAnsi="Times New Roman" w:eastAsia="宋体" w:cs="Times New Roman"/>
    </w:rPr>
  </w:style>
  <w:style w:type="paragraph" w:styleId="11">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2">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3">
    <w:name w:val="annotation subject"/>
    <w:basedOn w:val="5"/>
    <w:next w:val="5"/>
    <w:link w:val="23"/>
    <w:qFormat/>
    <w:uiPriority w:val="0"/>
    <w:rPr>
      <w:b/>
      <w:bCs/>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basedOn w:val="16"/>
    <w:qFormat/>
    <w:uiPriority w:val="0"/>
    <w:rPr>
      <w:b/>
      <w:bCs/>
    </w:rPr>
  </w:style>
  <w:style w:type="character" w:styleId="18">
    <w:name w:val="annotation reference"/>
    <w:basedOn w:val="16"/>
    <w:qFormat/>
    <w:uiPriority w:val="0"/>
    <w:rPr>
      <w:sz w:val="21"/>
      <w:szCs w:val="21"/>
    </w:rPr>
  </w:style>
  <w:style w:type="paragraph" w:customStyle="1" w:styleId="19">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paragraph" w:customStyle="1" w:styleId="20">
    <w:name w:val="标题2"/>
    <w:basedOn w:val="4"/>
    <w:qFormat/>
    <w:uiPriority w:val="0"/>
    <w:pPr>
      <w:numPr>
        <w:ilvl w:val="0"/>
        <w:numId w:val="1"/>
      </w:numPr>
      <w:spacing w:before="120" w:after="120" w:line="500" w:lineRule="exact"/>
    </w:pPr>
    <w:rPr>
      <w:rFonts w:ascii="仿宋_GB2312" w:eastAsia="仿宋_GB2312"/>
    </w:rPr>
  </w:style>
  <w:style w:type="character" w:customStyle="1" w:styleId="21">
    <w:name w:val="批注框文本 Char"/>
    <w:basedOn w:val="16"/>
    <w:link w:val="7"/>
    <w:qFormat/>
    <w:uiPriority w:val="0"/>
    <w:rPr>
      <w:rFonts w:eastAsia="仿宋_GB2312"/>
      <w:kern w:val="2"/>
      <w:sz w:val="18"/>
      <w:szCs w:val="18"/>
    </w:rPr>
  </w:style>
  <w:style w:type="character" w:customStyle="1" w:styleId="22">
    <w:name w:val="批注文字 Char"/>
    <w:basedOn w:val="16"/>
    <w:link w:val="5"/>
    <w:qFormat/>
    <w:uiPriority w:val="0"/>
    <w:rPr>
      <w:rFonts w:eastAsia="仿宋_GB2312"/>
      <w:kern w:val="2"/>
      <w:sz w:val="28"/>
      <w:szCs w:val="24"/>
    </w:rPr>
  </w:style>
  <w:style w:type="character" w:customStyle="1" w:styleId="23">
    <w:name w:val="批注主题 Char"/>
    <w:basedOn w:val="22"/>
    <w:link w:val="13"/>
    <w:qFormat/>
    <w:uiPriority w:val="0"/>
    <w:rPr>
      <w:rFonts w:eastAsia="仿宋_GB2312"/>
      <w:b/>
      <w:bCs/>
      <w:kern w:val="2"/>
      <w:sz w:val="28"/>
      <w:szCs w:val="24"/>
    </w:rPr>
  </w:style>
  <w:style w:type="paragraph" w:customStyle="1" w:styleId="24">
    <w:name w:val="闻政正文"/>
    <w:basedOn w:val="1"/>
    <w:qFormat/>
    <w:uiPriority w:val="99"/>
    <w:pPr>
      <w:spacing w:line="500" w:lineRule="exact"/>
      <w:ind w:firstLine="560"/>
    </w:pPr>
    <w:rPr>
      <w:rFonts w:cstheme="minorBidi"/>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B713BA-0261-498F-930B-4731D8BCC992}">
  <ds:schemaRefs/>
</ds:datastoreItem>
</file>

<file path=docProps/app.xml><?xml version="1.0" encoding="utf-8"?>
<Properties xmlns="http://schemas.openxmlformats.org/officeDocument/2006/extended-properties" xmlns:vt="http://schemas.openxmlformats.org/officeDocument/2006/docPropsVTypes">
  <Template>Normal</Template>
  <Company>电脑维修 数据恢复</Company>
  <Pages>21</Pages>
  <Words>11531</Words>
  <Characters>12147</Characters>
  <Lines>45</Lines>
  <Paragraphs>12</Paragraphs>
  <TotalTime>11</TotalTime>
  <ScaleCrop>false</ScaleCrop>
  <LinksUpToDate>false</LinksUpToDate>
  <CharactersWithSpaces>12163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2021-01-11T10:12:00Z</dcterms:created>
  <dc:creator>驰远天合-柴万顺-18690160103</dc:creator>
  <cp:lastModifiedBy>遥望东京的铁塔</cp:lastModifiedBy>
  <dcterms:modified xsi:type="dcterms:W3CDTF">2024-10-31T04:37:23Z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C62564BCE6EA4FD7AD32C4C1804CF50A</vt:lpwstr>
  </property>
</Properties>
</file>