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政务服务中心综合业务项目经费项目支出绩效评价报告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2"/>
        <w:rPr>
          <w:color w:val="auto"/>
          <w:highlight w:val="none"/>
        </w:rPr>
      </w:pPr>
    </w:p>
    <w:p>
      <w:pPr>
        <w:spacing w:line="360" w:lineRule="auto"/>
        <w:ind w:firstLine="600"/>
        <w:rPr>
          <w:rFonts w:ascii="黑体" w:eastAsia="黑体"/>
          <w:color w:val="auto"/>
          <w:sz w:val="32"/>
          <w:szCs w:val="32"/>
          <w:highlight w:val="none"/>
        </w:rPr>
      </w:pPr>
      <w:r>
        <w:rPr>
          <w:rFonts w:hint="eastAsia" w:ascii="黑体" w:eastAsia="黑体"/>
          <w:color w:val="auto"/>
          <w:sz w:val="32"/>
          <w:szCs w:val="32"/>
          <w:highlight w:val="none"/>
        </w:rPr>
        <w:t>项目名称：</w:t>
      </w:r>
      <w:r>
        <w:rPr>
          <w:rFonts w:hint="eastAsia" w:ascii="黑体" w:eastAsia="黑体"/>
          <w:color w:val="auto"/>
          <w:sz w:val="32"/>
          <w:szCs w:val="32"/>
          <w:highlight w:val="none"/>
          <w:lang w:val="en-US" w:eastAsia="zh-CN"/>
        </w:rPr>
        <w:t>政务服务中心综合业务项目经费</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托克逊县政务服务和公共资源交易中心</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热孜亚古力·沙吾尔</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政务服务中心综合业务项目经费项目支出绩效评价报告</w:t>
      </w:r>
    </w:p>
    <w:p>
      <w:pPr>
        <w:pStyle w:val="3"/>
        <w:ind w:firstLine="640"/>
        <w:rPr>
          <w:color w:val="auto"/>
          <w:highlight w:val="none"/>
        </w:rPr>
      </w:pPr>
      <w:r>
        <w:rPr>
          <w:rFonts w:hint="eastAsia"/>
          <w:color w:val="auto"/>
          <w:highlight w:val="none"/>
        </w:rPr>
        <w:t>一、基本情况</w:t>
      </w:r>
    </w:p>
    <w:p>
      <w:pPr>
        <w:pStyle w:val="2"/>
        <w:ind w:firstLine="562"/>
        <w:rPr>
          <w:color w:val="auto"/>
          <w:highlight w:val="none"/>
        </w:rPr>
      </w:pPr>
      <w:r>
        <w:rPr>
          <w:rFonts w:hint="eastAsia"/>
          <w:color w:val="auto"/>
          <w:highlight w:val="none"/>
        </w:rPr>
        <w:t>1.项目背景</w:t>
      </w:r>
    </w:p>
    <w:p>
      <w:pPr>
        <w:pStyle w:val="4"/>
        <w:ind w:firstLine="643"/>
        <w:rPr>
          <w:color w:val="auto"/>
          <w:highlight w:val="none"/>
        </w:rPr>
      </w:pPr>
      <w:r>
        <w:rPr>
          <w:rFonts w:hint="eastAsia"/>
          <w:color w:val="auto"/>
          <w:highlight w:val="none"/>
        </w:rPr>
        <w:t>（一）项目概况</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深入推进行政审批制度改革，贯彻落实自治区、市、县政务服务“一站式”服务工作要求。保障政务服务中心办公大楼的运转，为全县企业和群众提供温馨舒适、干净整洁、便捷高效的政务服务。解决政务服务热线号码过多、接通率低、缺乏统一管理等问题，提高人民群众获得感和满意度。</w:t>
      </w:r>
    </w:p>
    <w:p>
      <w:pPr>
        <w:pStyle w:val="2"/>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w:t>
      </w:r>
      <w:r>
        <w:rPr>
          <w:rFonts w:hint="eastAsia"/>
          <w:b/>
          <w:color w:val="auto"/>
          <w:highlight w:val="none"/>
          <w:lang w:val="en-US" w:eastAsia="zh-CN"/>
        </w:rPr>
        <w:t>二</w:t>
      </w:r>
      <w:r>
        <w:rPr>
          <w:rFonts w:hint="eastAsia"/>
          <w:b/>
          <w:color w:val="auto"/>
          <w:highlight w:val="none"/>
        </w:rPr>
        <w:t>）单位职能</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ascii="Times New Roman" w:hAnsi="Times New Roman" w:cs="Times New Roman"/>
          <w:b w:val="0"/>
          <w:bCs w:val="0"/>
          <w:color w:val="auto"/>
          <w:kern w:val="2"/>
          <w:sz w:val="28"/>
          <w:szCs w:val="24"/>
          <w:highlight w:val="none"/>
          <w:lang w:val="en-US" w:eastAsia="zh-CN" w:bidi="ar-SA"/>
        </w:rPr>
        <w:t>1</w:t>
      </w:r>
      <w:r>
        <w:rPr>
          <w:rFonts w:hint="eastAsia" w:ascii="Times New Roman" w:hAnsi="Times New Roman" w:eastAsia="仿宋_GB2312" w:cs="Times New Roman"/>
          <w:b w:val="0"/>
          <w:bCs w:val="0"/>
          <w:color w:val="auto"/>
          <w:kern w:val="2"/>
          <w:sz w:val="28"/>
          <w:szCs w:val="24"/>
          <w:highlight w:val="none"/>
          <w:lang w:val="en-US" w:eastAsia="zh-CN" w:bidi="ar-SA"/>
        </w:rPr>
        <w:t>）贯彻执行党和国家政务服务和公共资源交易的法律法规和方针政策，落实自治区、市委、市政府和县委、县人民政府对政务服务和公共资源交易的工作要求。</w:t>
      </w:r>
    </w:p>
    <w:p>
      <w:pPr>
        <w:rPr>
          <w:rFonts w:hint="eastAsia"/>
          <w:color w:val="auto"/>
          <w:highlight w:val="none"/>
          <w:lang w:val="en-US" w:eastAsia="zh-CN"/>
        </w:rPr>
      </w:pPr>
      <w:r>
        <w:rPr>
          <w:rFonts w:hint="eastAsia"/>
          <w:color w:val="auto"/>
          <w:highlight w:val="none"/>
          <w:lang w:val="en-US" w:eastAsia="zh-CN"/>
        </w:rPr>
        <w:t>（2）承担全县政务服务规范化、标准化工作，为“放管服”改革落地提供支撑。</w:t>
      </w:r>
    </w:p>
    <w:p>
      <w:pPr>
        <w:pStyle w:val="2"/>
        <w:rPr>
          <w:rFonts w:hint="eastAsia" w:ascii="Times New Roman" w:hAnsi="Times New Roman"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ascii="Times New Roman" w:hAnsi="Times New Roman" w:cs="Times New Roman"/>
          <w:b w:val="0"/>
          <w:bCs w:val="0"/>
          <w:color w:val="auto"/>
          <w:kern w:val="2"/>
          <w:sz w:val="28"/>
          <w:szCs w:val="24"/>
          <w:highlight w:val="none"/>
          <w:lang w:val="en-US" w:eastAsia="zh-CN" w:bidi="ar-SA"/>
        </w:rPr>
        <w:t>3</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ascii="Times New Roman" w:hAnsi="Times New Roman" w:cs="Times New Roman"/>
          <w:b w:val="0"/>
          <w:bCs w:val="0"/>
          <w:color w:val="auto"/>
          <w:kern w:val="2"/>
          <w:sz w:val="28"/>
          <w:szCs w:val="24"/>
          <w:highlight w:val="none"/>
          <w:lang w:val="en-US" w:eastAsia="zh-CN" w:bidi="ar-SA"/>
        </w:rPr>
        <w:t>负责对全县工程建设项目招投标、矿业权出让、国有产权交易、政府采购以及市场化方式配置的自然资源、资产股权、环境权等各类公共资源交易，提供见证、场所、信息、档案、专家抽取等管理和服务。</w:t>
      </w:r>
    </w:p>
    <w:p>
      <w:pPr>
        <w:rPr>
          <w:rFonts w:hint="eastAsia" w:cs="Times New Roman"/>
          <w:b w:val="0"/>
          <w:bCs w:val="0"/>
          <w:color w:val="auto"/>
          <w:kern w:val="2"/>
          <w:sz w:val="28"/>
          <w:szCs w:val="24"/>
          <w:highlight w:val="none"/>
          <w:lang w:val="en-US" w:eastAsia="zh-CN" w:bidi="ar-SA"/>
        </w:rPr>
      </w:pPr>
      <w:r>
        <w:rPr>
          <w:rFonts w:hint="eastAsia" w:cs="Times New Roman"/>
          <w:b w:val="0"/>
          <w:bCs w:val="0"/>
          <w:color w:val="auto"/>
          <w:kern w:val="2"/>
          <w:sz w:val="28"/>
          <w:szCs w:val="24"/>
          <w:highlight w:val="none"/>
          <w:lang w:val="en-US" w:eastAsia="zh-CN" w:bidi="ar-SA"/>
        </w:rPr>
        <w:t>（4）承担全县政务服务数据汇聚整合、共享开放、应用融合等数据管理工作。</w:t>
      </w:r>
    </w:p>
    <w:p>
      <w:pPr>
        <w:pStyle w:val="2"/>
        <w:rPr>
          <w:rFonts w:hint="eastAsia" w:cs="Times New Roman"/>
          <w:b w:val="0"/>
          <w:bCs w:val="0"/>
          <w:color w:val="auto"/>
          <w:kern w:val="2"/>
          <w:sz w:val="28"/>
          <w:szCs w:val="24"/>
          <w:highlight w:val="none"/>
          <w:lang w:val="en-US" w:eastAsia="zh-CN" w:bidi="ar-SA"/>
        </w:rPr>
      </w:pPr>
      <w:r>
        <w:rPr>
          <w:rFonts w:hint="eastAsia" w:cs="Times New Roman"/>
          <w:b w:val="0"/>
          <w:bCs w:val="0"/>
          <w:color w:val="auto"/>
          <w:kern w:val="2"/>
          <w:sz w:val="28"/>
          <w:szCs w:val="24"/>
          <w:highlight w:val="none"/>
          <w:lang w:val="en-US" w:eastAsia="zh-CN" w:bidi="ar-SA"/>
        </w:rPr>
        <w:t>（5）承担全县一体化在线政务服务平台和公共资源交易平台建设、运行维护等工作，承担“12345”热线受理、转办相关工作。</w:t>
      </w:r>
    </w:p>
    <w:p>
      <w:pPr>
        <w:rPr>
          <w:rFonts w:hint="eastAsia" w:cs="Times New Roman"/>
          <w:b w:val="0"/>
          <w:bCs w:val="0"/>
          <w:color w:val="auto"/>
          <w:kern w:val="2"/>
          <w:sz w:val="28"/>
          <w:szCs w:val="24"/>
          <w:highlight w:val="none"/>
          <w:lang w:val="en-US" w:eastAsia="zh-CN" w:bidi="ar-SA"/>
        </w:rPr>
      </w:pPr>
      <w:r>
        <w:rPr>
          <w:rFonts w:hint="eastAsia" w:cs="Times New Roman"/>
          <w:b w:val="0"/>
          <w:bCs w:val="0"/>
          <w:color w:val="auto"/>
          <w:kern w:val="2"/>
          <w:sz w:val="28"/>
          <w:szCs w:val="24"/>
          <w:highlight w:val="none"/>
          <w:lang w:val="en-US" w:eastAsia="zh-CN" w:bidi="ar-SA"/>
        </w:rPr>
        <w:t>（6）承担全县政务服务大厅和公共资源交易大厅的日常管理及规范化建设工作。</w:t>
      </w:r>
    </w:p>
    <w:p>
      <w:pPr>
        <w:pStyle w:val="2"/>
        <w:rPr>
          <w:rFonts w:hint="default"/>
          <w:color w:val="auto"/>
          <w:highlight w:val="none"/>
          <w:lang w:val="en-US" w:eastAsia="zh-CN"/>
        </w:rPr>
      </w:pPr>
      <w:r>
        <w:rPr>
          <w:rFonts w:hint="eastAsia" w:cs="Times New Roman"/>
          <w:b w:val="0"/>
          <w:bCs w:val="0"/>
          <w:color w:val="auto"/>
          <w:kern w:val="2"/>
          <w:sz w:val="28"/>
          <w:szCs w:val="24"/>
          <w:highlight w:val="none"/>
          <w:lang w:val="en-US" w:eastAsia="zh-CN" w:bidi="ar-SA"/>
        </w:rPr>
        <w:t>（7）完成县委、县人民政府交办的其他事项。</w:t>
      </w:r>
    </w:p>
    <w:p>
      <w:pPr>
        <w:ind w:firstLine="562"/>
        <w:rPr>
          <w:rFonts w:hint="eastAsia" w:eastAsia="仿宋_GB2312"/>
          <w:b/>
          <w:color w:val="auto"/>
          <w:highlight w:val="none"/>
          <w:lang w:eastAsia="zh-CN"/>
        </w:rPr>
      </w:pPr>
      <w:r>
        <w:rPr>
          <w:rFonts w:hint="eastAsia"/>
          <w:b/>
          <w:color w:val="auto"/>
          <w:highlight w:val="none"/>
        </w:rPr>
        <w:t>（</w:t>
      </w:r>
      <w:r>
        <w:rPr>
          <w:rFonts w:hint="eastAsia"/>
          <w:b/>
          <w:color w:val="auto"/>
          <w:highlight w:val="none"/>
          <w:lang w:val="en-US" w:eastAsia="zh-CN"/>
        </w:rPr>
        <w:t>三</w:t>
      </w:r>
      <w:r>
        <w:rPr>
          <w:rFonts w:hint="eastAsia"/>
          <w:b/>
          <w:color w:val="auto"/>
          <w:highlight w:val="none"/>
        </w:rPr>
        <w:t>）</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hint="eastAsia" w:ascii="仿宋_GB2312" w:hAnsi="仿宋_GB2312" w:eastAsia="仿宋_GB2312" w:cs="Times New Roman"/>
          <w:b w:val="0"/>
          <w:bCs w:val="0"/>
          <w:color w:val="auto"/>
          <w:kern w:val="2"/>
          <w:sz w:val="28"/>
          <w:szCs w:val="24"/>
          <w:highlight w:val="none"/>
          <w:lang w:val="en-US" w:eastAsia="zh-CN" w:bidi="ar-SA"/>
        </w:rPr>
      </w:pPr>
      <w:r>
        <w:rPr>
          <w:rFonts w:hint="eastAsia" w:ascii="仿宋_GB2312" w:hAnsi="仿宋_GB2312" w:eastAsia="仿宋_GB2312" w:cs="Times New Roman"/>
          <w:b w:val="0"/>
          <w:bCs w:val="0"/>
          <w:color w:val="auto"/>
          <w:kern w:val="2"/>
          <w:sz w:val="28"/>
          <w:szCs w:val="24"/>
          <w:highlight w:val="none"/>
          <w:lang w:val="en-US" w:eastAsia="zh-CN" w:bidi="ar-SA"/>
        </w:rPr>
        <w:t>托克逊县政务服务和公共资源交易中心共设有3个科室，主要有：综合科（12345热线管理科）、政务服务和大厅管理科、公共资源交易和建设管理科。单位人员编制数共10人，年初实有在职人员</w:t>
      </w:r>
      <w:r>
        <w:rPr>
          <w:rFonts w:hint="eastAsia" w:ascii="仿宋_GB2312" w:hAnsi="仿宋_GB2312" w:cs="Times New Roman"/>
          <w:b w:val="0"/>
          <w:bCs w:val="0"/>
          <w:color w:val="auto"/>
          <w:kern w:val="2"/>
          <w:sz w:val="28"/>
          <w:szCs w:val="24"/>
          <w:highlight w:val="none"/>
          <w:lang w:val="en-US" w:eastAsia="zh-CN" w:bidi="ar-SA"/>
        </w:rPr>
        <w:t>6</w:t>
      </w:r>
      <w:r>
        <w:rPr>
          <w:rFonts w:hint="eastAsia" w:ascii="仿宋_GB2312" w:hAnsi="仿宋_GB2312" w:eastAsia="仿宋_GB2312" w:cs="Times New Roman"/>
          <w:b w:val="0"/>
          <w:bCs w:val="0"/>
          <w:color w:val="auto"/>
          <w:kern w:val="2"/>
          <w:sz w:val="28"/>
          <w:szCs w:val="24"/>
          <w:highlight w:val="none"/>
          <w:lang w:val="en-US" w:eastAsia="zh-CN" w:bidi="ar-SA"/>
        </w:rPr>
        <w:t>人，退休人员0人。年末实有在职人数6人</w:t>
      </w:r>
      <w:r>
        <w:rPr>
          <w:rFonts w:hint="eastAsia" w:ascii="仿宋_GB2312" w:hAnsi="仿宋_GB2312" w:cs="Times New Roman"/>
          <w:b w:val="0"/>
          <w:bCs w:val="0"/>
          <w:color w:val="auto"/>
          <w:kern w:val="2"/>
          <w:sz w:val="28"/>
          <w:szCs w:val="24"/>
          <w:highlight w:val="none"/>
          <w:lang w:val="en-US" w:eastAsia="zh-CN" w:bidi="ar-SA"/>
        </w:rPr>
        <w:t>，</w:t>
      </w:r>
      <w:r>
        <w:rPr>
          <w:rFonts w:hint="eastAsia" w:ascii="仿宋_GB2312" w:hAnsi="仿宋_GB2312" w:eastAsia="仿宋_GB2312" w:cs="Times New Roman"/>
          <w:b w:val="0"/>
          <w:bCs w:val="0"/>
          <w:color w:val="auto"/>
          <w:kern w:val="2"/>
          <w:sz w:val="28"/>
          <w:szCs w:val="24"/>
          <w:highlight w:val="none"/>
          <w:lang w:val="en-US" w:eastAsia="zh-CN" w:bidi="ar-SA"/>
        </w:rPr>
        <w:t>其中</w:t>
      </w:r>
      <w:r>
        <w:rPr>
          <w:rFonts w:hint="eastAsia" w:ascii="仿宋_GB2312" w:hAnsi="仿宋_GB2312" w:cs="Times New Roman"/>
          <w:b w:val="0"/>
          <w:bCs w:val="0"/>
          <w:color w:val="auto"/>
          <w:kern w:val="2"/>
          <w:sz w:val="28"/>
          <w:szCs w:val="24"/>
          <w:highlight w:val="none"/>
          <w:lang w:val="en-US" w:eastAsia="zh-CN" w:bidi="ar-SA"/>
        </w:rPr>
        <w:t>2023年5月调出全额</w:t>
      </w:r>
      <w:r>
        <w:rPr>
          <w:rFonts w:hint="eastAsia" w:ascii="仿宋_GB2312" w:hAnsi="仿宋_GB2312" w:eastAsia="仿宋_GB2312" w:cs="Times New Roman"/>
          <w:b w:val="0"/>
          <w:bCs w:val="0"/>
          <w:color w:val="auto"/>
          <w:kern w:val="2"/>
          <w:sz w:val="28"/>
          <w:szCs w:val="24"/>
          <w:highlight w:val="none"/>
          <w:lang w:val="en-US" w:eastAsia="zh-CN" w:bidi="ar-SA"/>
        </w:rPr>
        <w:t>事业编1人，</w:t>
      </w:r>
      <w:r>
        <w:rPr>
          <w:rFonts w:hint="eastAsia" w:ascii="仿宋_GB2312" w:hAnsi="仿宋_GB2312" w:cs="Times New Roman"/>
          <w:b w:val="0"/>
          <w:bCs w:val="0"/>
          <w:color w:val="auto"/>
          <w:kern w:val="2"/>
          <w:sz w:val="28"/>
          <w:szCs w:val="24"/>
          <w:highlight w:val="none"/>
          <w:lang w:val="en-US" w:eastAsia="zh-CN" w:bidi="ar-SA"/>
        </w:rPr>
        <w:t>2023年6月调入地方性</w:t>
      </w:r>
      <w:r>
        <w:rPr>
          <w:rFonts w:hint="eastAsia" w:ascii="仿宋_GB2312" w:hAnsi="仿宋_GB2312" w:eastAsia="仿宋_GB2312" w:cs="Times New Roman"/>
          <w:b w:val="0"/>
          <w:bCs w:val="0"/>
          <w:color w:val="auto"/>
          <w:kern w:val="2"/>
          <w:sz w:val="28"/>
          <w:szCs w:val="24"/>
          <w:highlight w:val="none"/>
          <w:lang w:val="en-US" w:eastAsia="zh-CN" w:bidi="ar-SA"/>
        </w:rPr>
        <w:t>事业编1人</w:t>
      </w:r>
      <w:r>
        <w:rPr>
          <w:rFonts w:hint="eastAsia" w:ascii="仿宋_GB2312" w:hAnsi="仿宋_GB2312" w:cs="Times New Roman"/>
          <w:b w:val="0"/>
          <w:bCs w:val="0"/>
          <w:color w:val="auto"/>
          <w:kern w:val="2"/>
          <w:sz w:val="28"/>
          <w:szCs w:val="24"/>
          <w:highlight w:val="none"/>
          <w:lang w:val="en-US" w:eastAsia="zh-CN" w:bidi="ar-SA"/>
        </w:rPr>
        <w:t>，</w:t>
      </w:r>
      <w:r>
        <w:rPr>
          <w:rFonts w:hint="eastAsia" w:ascii="仿宋_GB2312" w:hAnsi="仿宋_GB2312" w:eastAsia="仿宋_GB2312" w:cs="Times New Roman"/>
          <w:b w:val="0"/>
          <w:bCs w:val="0"/>
          <w:color w:val="auto"/>
          <w:kern w:val="2"/>
          <w:sz w:val="28"/>
          <w:szCs w:val="24"/>
          <w:highlight w:val="none"/>
          <w:lang w:val="en-US" w:eastAsia="zh-CN" w:bidi="ar-SA"/>
        </w:rPr>
        <w:t>退休人员0人。</w:t>
      </w:r>
    </w:p>
    <w:p>
      <w:pPr>
        <w:pStyle w:val="2"/>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bidi w:val="0"/>
        <w:rPr>
          <w:rFonts w:hint="default"/>
          <w:color w:val="auto"/>
          <w:highlight w:val="none"/>
          <w:lang w:val="en-US" w:eastAsia="zh-CN"/>
        </w:rPr>
      </w:pPr>
      <w:r>
        <w:rPr>
          <w:rFonts w:hint="eastAsia"/>
          <w:color w:val="auto"/>
          <w:highlight w:val="none"/>
          <w:lang w:val="en-US" w:eastAsia="zh-CN"/>
        </w:rPr>
        <w:t>项目名称：政务服务中心综合业务项目经费</w:t>
      </w:r>
    </w:p>
    <w:p>
      <w:pPr>
        <w:ind w:firstLine="560"/>
        <w:rPr>
          <w:rFonts w:hint="default"/>
          <w:color w:val="auto"/>
          <w:highlight w:val="none"/>
          <w:lang w:val="en-US" w:eastAsia="zh-CN"/>
        </w:rPr>
      </w:pPr>
      <w:r>
        <w:rPr>
          <w:rFonts w:hint="eastAsia"/>
          <w:color w:val="auto"/>
          <w:highlight w:val="none"/>
          <w:lang w:val="en-US" w:eastAsia="zh-CN"/>
        </w:rPr>
        <w:t>项目主要内容：保障大厅设施设备维护维修，办公用品，党建和民族团结宣传版面制作，办公设备采购。提高政务服务信息化、智能化、精准化、便利化水平，让数据多跑路，让群众少跑腿，切实优化审批流程，提高办事效率。着力打造“一呼即应，接诉即办”热线，解决群众急难愁盼问题，优化市场营商环境，持续推进经济高质量发展。已保障政务服务中心办公大楼的运转，为全县企业和群众提供温馨舒适、干净整洁、便捷高效的政务服务。</w:t>
      </w:r>
    </w:p>
    <w:p>
      <w:pPr>
        <w:pStyle w:val="2"/>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项目实施时间：本项目实施时间为2023年1月-2023年12月</w:t>
      </w:r>
    </w:p>
    <w:p>
      <w:pPr>
        <w:ind w:firstLine="560"/>
        <w:rPr>
          <w:rFonts w:hint="default"/>
          <w:color w:val="auto"/>
          <w:highlight w:val="none"/>
          <w:lang w:val="en-US" w:eastAsia="zh-CN"/>
        </w:rPr>
      </w:pPr>
      <w:r>
        <w:rPr>
          <w:rFonts w:hint="eastAsia"/>
          <w:color w:val="auto"/>
          <w:highlight w:val="none"/>
          <w:lang w:val="en-US" w:eastAsia="zh-CN"/>
        </w:rPr>
        <w:t>项目实施情况</w:t>
      </w:r>
      <w:r>
        <w:rPr>
          <w:rFonts w:hint="eastAsia" w:ascii="仿宋_GB2312" w:hAnsi="仿宋_GB2312" w:eastAsia="仿宋_GB2312" w:cs="Times New Roman"/>
          <w:b w:val="0"/>
          <w:bCs w:val="0"/>
          <w:color w:val="auto"/>
          <w:kern w:val="0"/>
          <w:sz w:val="28"/>
          <w:szCs w:val="32"/>
          <w:highlight w:val="none"/>
          <w:lang w:val="en-US" w:eastAsia="zh-CN" w:bidi="ar-SA"/>
        </w:rPr>
        <w:t>：截止到202</w:t>
      </w:r>
      <w:r>
        <w:rPr>
          <w:rFonts w:hint="eastAsia" w:ascii="仿宋_GB2312" w:hAnsi="仿宋_GB2312"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年12月31日，本项目已完成：目前为止我中心已开展设施设备维护次数</w:t>
      </w:r>
      <w:r>
        <w:rPr>
          <w:rFonts w:hint="eastAsia" w:ascii="仿宋_GB2312" w:hAnsi="仿宋_GB2312"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次，</w:t>
      </w:r>
      <w:r>
        <w:rPr>
          <w:rFonts w:hint="eastAsia"/>
          <w:color w:val="auto"/>
          <w:highlight w:val="none"/>
          <w:lang w:val="en-US" w:eastAsia="zh-CN"/>
        </w:rPr>
        <w:t>通过办理各类政务服务事项800项，提高政务服务信息化、智能化、精准化、便利化水平，让数据多跑路，让群众少跑腿，切实优化审批流程，提高办事效率。着力打造“一呼即应，接诉即办”热线，解决群众急难愁盼问题，优化市场营商环境，持续推进经济高质量发展。已保障政务服务中心办公大楼的运转，为全县企业和群众提供温馨舒适、干净整洁、便捷高效的政务服务。</w:t>
      </w:r>
    </w:p>
    <w:p>
      <w:pPr>
        <w:bidi w:val="0"/>
        <w:rPr>
          <w:rFonts w:hint="eastAsia" w:ascii="仿宋_GB2312" w:hAnsi="仿宋_GB2312" w:eastAsia="仿宋_GB2312" w:cs="Times New Roman"/>
          <w:b w:val="0"/>
          <w:bCs w:val="0"/>
          <w:color w:val="auto"/>
          <w:kern w:val="0"/>
          <w:sz w:val="28"/>
          <w:szCs w:val="32"/>
          <w:highlight w:val="none"/>
          <w:lang w:val="en-US" w:eastAsia="zh-CN" w:bidi="ar-SA"/>
        </w:rPr>
      </w:pPr>
    </w:p>
    <w:p>
      <w:pPr>
        <w:pStyle w:val="2"/>
        <w:rPr>
          <w:rFonts w:hint="eastAsia"/>
          <w:color w:val="auto"/>
          <w:highlight w:val="none"/>
          <w:lang w:val="en-US" w:eastAsia="zh-CN"/>
        </w:rPr>
      </w:pPr>
    </w:p>
    <w:p>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50</w:t>
      </w:r>
      <w:r>
        <w:rPr>
          <w:color w:val="auto"/>
          <w:highlight w:val="none"/>
        </w:rPr>
        <w:t>万元，其中财政资金</w:t>
      </w:r>
      <w:r>
        <w:rPr>
          <w:rFonts w:hint="eastAsia"/>
          <w:color w:val="auto"/>
          <w:highlight w:val="none"/>
          <w:lang w:val="en-US" w:eastAsia="zh-CN"/>
        </w:rPr>
        <w:t>50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50</w:t>
      </w:r>
      <w:r>
        <w:rPr>
          <w:color w:val="auto"/>
          <w:highlight w:val="none"/>
        </w:rPr>
        <w:t>万元，预算资金到位率为</w:t>
      </w:r>
      <w:r>
        <w:rPr>
          <w:rFonts w:hint="eastAsia"/>
          <w:color w:val="auto"/>
          <w:highlight w:val="none"/>
          <w:lang w:val="en-US" w:eastAsia="zh-CN"/>
        </w:rPr>
        <w:t>100</w:t>
      </w:r>
      <w:r>
        <w:rPr>
          <w:color w:val="auto"/>
          <w:highlight w:val="none"/>
        </w:rPr>
        <w:t>%。</w:t>
      </w:r>
    </w:p>
    <w:p>
      <w:pPr>
        <w:numPr>
          <w:ilvl w:val="0"/>
          <w:numId w:val="1"/>
        </w:numPr>
        <w:ind w:firstLine="562"/>
        <w:rPr>
          <w:rFonts w:hint="eastAsia" w:ascii="仿宋" w:hAnsi="仿宋" w:eastAsia="仿宋"/>
          <w:b/>
          <w:bCs/>
          <w:color w:val="auto"/>
          <w:spacing w:val="-4"/>
          <w:highlight w:val="none"/>
        </w:rPr>
      </w:pPr>
      <w:r>
        <w:rPr>
          <w:rFonts w:hint="eastAsia" w:ascii="仿宋" w:hAnsi="仿宋" w:eastAsia="仿宋"/>
          <w:b/>
          <w:bCs/>
          <w:color w:val="auto"/>
          <w:spacing w:val="-4"/>
          <w:highlight w:val="none"/>
        </w:rPr>
        <w:t>项目资金实际使用情况分析</w:t>
      </w:r>
    </w:p>
    <w:p>
      <w:pPr>
        <w:numPr>
          <w:ilvl w:val="0"/>
          <w:numId w:val="0"/>
        </w:numPr>
        <w:ind w:firstLine="560" w:firstLineChars="200"/>
        <w:rPr>
          <w:rFonts w:hint="eastAsia"/>
          <w:b w:val="0"/>
          <w:bCs w:val="0"/>
          <w:color w:val="auto"/>
          <w:highlight w:val="none"/>
          <w:lang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36.23</w:t>
      </w:r>
      <w:r>
        <w:rPr>
          <w:rFonts w:hint="eastAsia"/>
          <w:b w:val="0"/>
          <w:bCs w:val="0"/>
          <w:color w:val="auto"/>
          <w:highlight w:val="none"/>
        </w:rPr>
        <w:t>万元，预算执行率</w:t>
      </w:r>
      <w:r>
        <w:rPr>
          <w:rFonts w:hint="eastAsia"/>
          <w:b w:val="0"/>
          <w:bCs w:val="0"/>
          <w:color w:val="auto"/>
          <w:highlight w:val="none"/>
          <w:lang w:val="en-US" w:eastAsia="zh-CN"/>
        </w:rPr>
        <w:t>72.5</w:t>
      </w:r>
      <w:r>
        <w:rPr>
          <w:rFonts w:hint="eastAsia"/>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结余资金13.77</w:t>
      </w:r>
      <w:r>
        <w:rPr>
          <w:rFonts w:hint="eastAsia"/>
          <w:b w:val="0"/>
          <w:bCs w:val="0"/>
          <w:color w:val="auto"/>
          <w:highlight w:val="none"/>
        </w:rPr>
        <w:t>万元。项目资金主要用于</w:t>
      </w:r>
      <w:r>
        <w:rPr>
          <w:rFonts w:hint="eastAsia"/>
          <w:b w:val="0"/>
          <w:bCs w:val="0"/>
          <w:color w:val="auto"/>
          <w:highlight w:val="none"/>
          <w:lang w:eastAsia="zh-CN"/>
        </w:rPr>
        <w:t>采购办公设备费用支出</w:t>
      </w:r>
      <w:r>
        <w:rPr>
          <w:rFonts w:hint="eastAsia"/>
          <w:b w:val="0"/>
          <w:bCs w:val="0"/>
          <w:color w:val="auto"/>
          <w:highlight w:val="none"/>
          <w:lang w:val="en-US" w:eastAsia="zh-CN"/>
        </w:rPr>
        <w:t>3.7390万元</w:t>
      </w:r>
      <w:r>
        <w:rPr>
          <w:rFonts w:hint="eastAsia"/>
          <w:b w:val="0"/>
          <w:bCs w:val="0"/>
          <w:color w:val="auto"/>
          <w:highlight w:val="none"/>
          <w:lang w:eastAsia="zh-CN"/>
        </w:rPr>
        <w:t>、平均大学生志愿者、三支一扶、见习岗生活补贴</w:t>
      </w:r>
      <w:r>
        <w:rPr>
          <w:rFonts w:hint="eastAsia"/>
          <w:b w:val="0"/>
          <w:bCs w:val="0"/>
          <w:color w:val="auto"/>
          <w:highlight w:val="none"/>
          <w:lang w:val="en-US" w:eastAsia="zh-CN"/>
        </w:rPr>
        <w:t>0.4937万元</w:t>
      </w:r>
      <w:r>
        <w:rPr>
          <w:rFonts w:hint="eastAsia"/>
          <w:b w:val="0"/>
          <w:bCs w:val="0"/>
          <w:color w:val="auto"/>
          <w:highlight w:val="none"/>
          <w:lang w:eastAsia="zh-CN"/>
        </w:rPr>
        <w:t>、设施设备维护维修费支出</w:t>
      </w:r>
      <w:r>
        <w:rPr>
          <w:rFonts w:hint="eastAsia"/>
          <w:b w:val="0"/>
          <w:bCs w:val="0"/>
          <w:color w:val="auto"/>
          <w:highlight w:val="none"/>
          <w:lang w:val="en-US" w:eastAsia="zh-CN"/>
        </w:rPr>
        <w:t>2.4256万元</w:t>
      </w:r>
      <w:r>
        <w:rPr>
          <w:rFonts w:hint="eastAsia"/>
          <w:b w:val="0"/>
          <w:bCs w:val="0"/>
          <w:color w:val="auto"/>
          <w:highlight w:val="none"/>
          <w:lang w:eastAsia="zh-CN"/>
        </w:rPr>
        <w:t>、平均每月办公用品、用水、用电、网络通信及委托业务费用缴纳1</w:t>
      </w:r>
      <w:r>
        <w:rPr>
          <w:rFonts w:hint="eastAsia"/>
          <w:b w:val="0"/>
          <w:bCs w:val="0"/>
          <w:color w:val="auto"/>
          <w:highlight w:val="none"/>
          <w:lang w:val="en-US" w:eastAsia="zh-CN"/>
        </w:rPr>
        <w:t>.</w:t>
      </w:r>
      <w:r>
        <w:rPr>
          <w:rFonts w:hint="eastAsia"/>
          <w:b w:val="0"/>
          <w:bCs w:val="0"/>
          <w:color w:val="auto"/>
          <w:highlight w:val="none"/>
          <w:lang w:eastAsia="zh-CN"/>
        </w:rPr>
        <w:t>2146元。</w:t>
      </w:r>
    </w:p>
    <w:p>
      <w:pPr>
        <w:pStyle w:val="4"/>
        <w:ind w:left="0" w:leftChars="0" w:firstLine="0" w:firstLineChars="0"/>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2"/>
        <w:bidi w:val="0"/>
        <w:rPr>
          <w:color w:val="auto"/>
          <w:highlight w:val="none"/>
        </w:rPr>
      </w:pPr>
      <w:r>
        <w:rPr>
          <w:rFonts w:hint="eastAsia" w:ascii="Times New Roman" w:hAnsi="Times New Roman" w:eastAsia="仿宋_GB2312" w:cs="Times New Roman"/>
          <w:b/>
          <w:bCs/>
          <w:color w:val="auto"/>
          <w:kern w:val="2"/>
          <w:sz w:val="28"/>
          <w:szCs w:val="24"/>
          <w:highlight w:val="none"/>
          <w:lang w:val="en-US" w:eastAsia="zh-CN" w:bidi="ar-SA"/>
        </w:rPr>
        <w:t>1.</w:t>
      </w:r>
      <w:r>
        <w:rPr>
          <w:rFonts w:hint="eastAsia"/>
          <w:color w:val="auto"/>
          <w:highlight w:val="none"/>
        </w:rPr>
        <w:t>总体目标</w:t>
      </w:r>
    </w:p>
    <w:p>
      <w:pPr>
        <w:bidi w:val="0"/>
        <w:rPr>
          <w:rFonts w:hint="eastAsia"/>
          <w:b w:val="0"/>
          <w:bCs w:val="0"/>
          <w:color w:val="auto"/>
          <w:highlight w:val="none"/>
          <w:lang w:val="en-US" w:eastAsia="zh-CN"/>
        </w:rPr>
      </w:pPr>
      <w:r>
        <w:rPr>
          <w:rFonts w:hint="eastAsia"/>
          <w:color w:val="auto"/>
          <w:highlight w:val="none"/>
          <w:lang w:val="en-US" w:eastAsia="zh-CN"/>
        </w:rPr>
        <w:t>1、</w:t>
      </w:r>
      <w:r>
        <w:rPr>
          <w:rFonts w:hint="eastAsia"/>
          <w:b w:val="0"/>
          <w:bCs w:val="0"/>
          <w:color w:val="auto"/>
          <w:highlight w:val="none"/>
          <w:lang w:val="en-US" w:eastAsia="zh-CN"/>
        </w:rPr>
        <w:t>深入推进行政审批制度改革，贯彻落实自治区、市、县政务服务“一站式”服务工作要求。2、为各部门进驻新政务服务大厅、为企业和办事群众提供温馨舒适的办事服务环境。3、构建县、乡、村三级政务服务体系，打通政务服务“最后一公里”，方便群众就近办事。4、解决政务服务热线号码过多、接通率低、缺乏统一管理等问题，提高人民群众获得感和满意度。</w:t>
      </w:r>
    </w:p>
    <w:p>
      <w:pPr>
        <w:pStyle w:val="2"/>
        <w:ind w:firstLine="562"/>
        <w:rPr>
          <w:rFonts w:hint="eastAsia" w:ascii="Times New Roman" w:hAnsi="Times New Roman" w:eastAsia="仿宋_GB2312" w:cs="Times New Roman"/>
          <w:b/>
          <w:bCs/>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2.阶段性目标</w:t>
      </w:r>
    </w:p>
    <w:p>
      <w:pPr>
        <w:bidi w:val="0"/>
        <w:rPr>
          <w:rFonts w:hint="eastAsia"/>
          <w:color w:val="auto"/>
          <w:highlight w:val="none"/>
        </w:rPr>
      </w:pPr>
      <w:r>
        <w:rPr>
          <w:rFonts w:hint="eastAsia"/>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“核心主义价值观宣传活动”指标，预期指标值为</w:t>
      </w:r>
      <w:r>
        <w:rPr>
          <w:rFonts w:hint="eastAsia"/>
          <w:color w:val="auto"/>
          <w:highlight w:val="none"/>
          <w:lang w:eastAsia="zh-CN"/>
        </w:rPr>
        <w:t>小于等于</w:t>
      </w:r>
      <w:r>
        <w:rPr>
          <w:rFonts w:hint="eastAsia"/>
          <w:color w:val="auto"/>
          <w:highlight w:val="none"/>
        </w:rPr>
        <w:t>4次；</w:t>
      </w:r>
    </w:p>
    <w:p>
      <w:pPr>
        <w:ind w:firstLine="560"/>
        <w:rPr>
          <w:rFonts w:hint="eastAsia" w:eastAsia="仿宋_GB2312"/>
          <w:color w:val="auto"/>
          <w:highlight w:val="none"/>
          <w:lang w:eastAsia="zh-CN"/>
        </w:rPr>
      </w:pPr>
      <w:r>
        <w:rPr>
          <w:rFonts w:hint="eastAsia"/>
          <w:color w:val="auto"/>
          <w:highlight w:val="none"/>
        </w:rPr>
        <w:t>“大学生志愿者、三支一扶、见习岗人数”指标，预期指标值为</w:t>
      </w:r>
      <w:r>
        <w:rPr>
          <w:rFonts w:hint="eastAsia"/>
          <w:color w:val="auto"/>
          <w:highlight w:val="none"/>
          <w:lang w:eastAsia="zh-CN"/>
        </w:rPr>
        <w:t>小于等于</w:t>
      </w:r>
      <w:r>
        <w:rPr>
          <w:rFonts w:hint="eastAsia"/>
          <w:color w:val="auto"/>
          <w:highlight w:val="none"/>
        </w:rPr>
        <w:t>7人</w:t>
      </w:r>
      <w:r>
        <w:rPr>
          <w:rFonts w:hint="eastAsia"/>
          <w:color w:val="auto"/>
          <w:highlight w:val="none"/>
          <w:lang w:eastAsia="zh-CN"/>
        </w:rPr>
        <w:t>；</w:t>
      </w:r>
    </w:p>
    <w:p>
      <w:pPr>
        <w:ind w:firstLine="560"/>
        <w:rPr>
          <w:rFonts w:hint="eastAsia"/>
          <w:color w:val="auto"/>
          <w:highlight w:val="none"/>
        </w:rPr>
      </w:pPr>
      <w:r>
        <w:rPr>
          <w:rFonts w:hint="eastAsia"/>
          <w:color w:val="auto"/>
          <w:highlight w:val="none"/>
          <w:lang w:eastAsia="zh-CN"/>
        </w:rPr>
        <w:t>“</w:t>
      </w:r>
      <w:r>
        <w:rPr>
          <w:rFonts w:hint="eastAsia"/>
          <w:color w:val="auto"/>
          <w:highlight w:val="none"/>
        </w:rPr>
        <w:t>保障职工数量</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6人；</w:t>
      </w:r>
    </w:p>
    <w:p>
      <w:pPr>
        <w:ind w:firstLine="560"/>
        <w:rPr>
          <w:rFonts w:hint="eastAsia"/>
          <w:color w:val="auto"/>
          <w:highlight w:val="none"/>
        </w:rPr>
      </w:pPr>
      <w:r>
        <w:rPr>
          <w:rFonts w:hint="eastAsia"/>
          <w:color w:val="auto"/>
          <w:highlight w:val="none"/>
          <w:lang w:eastAsia="zh-CN"/>
        </w:rPr>
        <w:t>“</w:t>
      </w:r>
      <w:r>
        <w:rPr>
          <w:rFonts w:hint="eastAsia"/>
          <w:color w:val="auto"/>
          <w:highlight w:val="none"/>
        </w:rPr>
        <w:t>保障房屋建筑供暖面积</w:t>
      </w:r>
      <w:r>
        <w:rPr>
          <w:rFonts w:hint="eastAsia"/>
          <w:color w:val="auto"/>
          <w:highlight w:val="none"/>
          <w:lang w:eastAsia="zh-CN"/>
        </w:rPr>
        <w:t>”</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2865平方米；</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“服务企业员工和群众人次”指标，预期指标值为</w:t>
      </w:r>
      <w:r>
        <w:rPr>
          <w:rFonts w:hint="eastAsia" w:ascii="Times New Roman" w:hAnsi="Times New Roman"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30000人次；</w:t>
      </w:r>
    </w:p>
    <w:p>
      <w:pPr>
        <w:rPr>
          <w:rFonts w:hint="eastAsia"/>
          <w:color w:val="auto"/>
          <w:highlight w:val="none"/>
        </w:rPr>
      </w:pPr>
      <w:r>
        <w:rPr>
          <w:rFonts w:hint="eastAsia"/>
          <w:color w:val="auto"/>
          <w:highlight w:val="none"/>
          <w:lang w:eastAsia="zh-CN"/>
        </w:rPr>
        <w:t>“</w:t>
      </w:r>
      <w:r>
        <w:rPr>
          <w:rFonts w:hint="eastAsia"/>
          <w:color w:val="auto"/>
          <w:highlight w:val="none"/>
        </w:rPr>
        <w:t>为企业和群众提供政务咨询服务人次</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10000人次；</w:t>
      </w:r>
    </w:p>
    <w:p>
      <w:pPr>
        <w:pStyle w:val="2"/>
        <w:rPr>
          <w:rFonts w:hint="eastAsia" w:ascii="Times New Roman" w:hAnsi="Times New Roman"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“组织开展政务服务部门业务人员培训次数”指标，预期指标值为</w:t>
      </w:r>
      <w:r>
        <w:rPr>
          <w:rFonts w:hint="eastAsia" w:ascii="Times New Roman" w:hAnsi="Times New Roman"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2次</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“办理各类政务服务事项数量”指标，预期指标值为</w:t>
      </w:r>
      <w:r>
        <w:rPr>
          <w:rFonts w:hint="eastAsia" w:ascii="Times New Roman" w:hAnsi="Times New Roman"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50000件</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“采购空调”指标，预期指标值为</w:t>
      </w:r>
      <w:r>
        <w:rPr>
          <w:rFonts w:hint="eastAsia" w:ascii="Times New Roman" w:hAnsi="Times New Roman"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6台</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“采购打印机”指标，预期指标值为</w:t>
      </w:r>
      <w:r>
        <w:rPr>
          <w:rFonts w:hint="eastAsia" w:ascii="Times New Roman" w:hAnsi="Times New Roman"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“采购热水器”指标，预期指标值为</w:t>
      </w:r>
      <w:r>
        <w:rPr>
          <w:rFonts w:hint="eastAsia" w:ascii="Times New Roman" w:hAnsi="Times New Roman"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“采购饮水机”指标，预期指标值为</w:t>
      </w:r>
      <w:r>
        <w:rPr>
          <w:rFonts w:hint="eastAsia" w:ascii="Times New Roman" w:hAnsi="Times New Roman" w:cs="Times New Roman"/>
          <w:b w:val="0"/>
          <w:bCs w:val="0"/>
          <w:color w:val="auto"/>
          <w:kern w:val="2"/>
          <w:sz w:val="28"/>
          <w:szCs w:val="24"/>
          <w:highlight w:val="none"/>
          <w:lang w:val="en-US" w:eastAsia="zh-CN" w:bidi="ar-SA"/>
        </w:rPr>
        <w:t>小于等于1</w:t>
      </w:r>
      <w:r>
        <w:rPr>
          <w:rFonts w:hint="eastAsia" w:ascii="Times New Roman" w:hAnsi="Times New Roman" w:eastAsia="仿宋_GB2312" w:cs="Times New Roman"/>
          <w:b w:val="0"/>
          <w:bCs w:val="0"/>
          <w:color w:val="auto"/>
          <w:kern w:val="2"/>
          <w:sz w:val="28"/>
          <w:szCs w:val="24"/>
          <w:highlight w:val="none"/>
          <w:lang w:val="en-US" w:eastAsia="zh-CN" w:bidi="ar-SA"/>
        </w:rPr>
        <w:t>台</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“采购安可国产电脑”指标，预期指标值为</w:t>
      </w:r>
      <w:r>
        <w:rPr>
          <w:rFonts w:hint="eastAsia" w:ascii="Times New Roman" w:hAnsi="Times New Roman"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p>
    <w:p>
      <w:pPr>
        <w:pStyle w:val="2"/>
        <w:rPr>
          <w:rFonts w:hint="eastAsia"/>
          <w:color w:val="auto"/>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“督办完成12345政务服务热线工单数量”指标，预期指标值为</w:t>
      </w:r>
      <w:r>
        <w:rPr>
          <w:rFonts w:hint="eastAsia" w:ascii="Times New Roman" w:hAnsi="Times New Roman"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3000单</w:t>
      </w:r>
      <w:r>
        <w:rPr>
          <w:rFonts w:hint="eastAsia" w:ascii="Times New Roman" w:hAnsi="Times New Roman" w:cs="Times New Roman"/>
          <w:b w:val="0"/>
          <w:bCs w:val="0"/>
          <w:color w:val="auto"/>
          <w:kern w:val="2"/>
          <w:sz w:val="28"/>
          <w:szCs w:val="24"/>
          <w:highlight w:val="none"/>
          <w:lang w:val="en-US" w:eastAsia="zh-CN" w:bidi="ar-SA"/>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rFonts w:hint="eastAsia"/>
          <w:color w:val="auto"/>
          <w:highlight w:val="none"/>
        </w:rPr>
      </w:pPr>
      <w:r>
        <w:rPr>
          <w:rFonts w:hint="eastAsia"/>
          <w:color w:val="auto"/>
          <w:highlight w:val="none"/>
        </w:rPr>
        <w:t>“设备验收合格率”指标，预期指标值</w:t>
      </w:r>
      <w:r>
        <w:rPr>
          <w:rFonts w:hint="eastAsia"/>
          <w:color w:val="auto"/>
          <w:highlight w:val="none"/>
          <w:lang w:eastAsia="zh-CN"/>
        </w:rPr>
        <w:t>为</w:t>
      </w:r>
      <w:r>
        <w:rPr>
          <w:rFonts w:hint="eastAsia"/>
          <w:color w:val="auto"/>
          <w:highlight w:val="none"/>
          <w:lang w:val="en-US" w:eastAsia="zh-CN"/>
        </w:rPr>
        <w:t>100%；</w:t>
      </w:r>
    </w:p>
    <w:p>
      <w:pPr>
        <w:ind w:firstLine="560"/>
        <w:rPr>
          <w:color w:val="auto"/>
          <w:highlight w:val="none"/>
        </w:rPr>
      </w:pPr>
      <w:r>
        <w:rPr>
          <w:rFonts w:hint="eastAsia"/>
          <w:color w:val="auto"/>
          <w:highlight w:val="none"/>
        </w:rPr>
        <w:t>“政府采购率”指标，预期指标值</w:t>
      </w:r>
      <w:r>
        <w:rPr>
          <w:rFonts w:hint="eastAsia"/>
          <w:color w:val="auto"/>
          <w:highlight w:val="none"/>
          <w:lang w:eastAsia="zh-CN"/>
        </w:rPr>
        <w:t>为</w:t>
      </w:r>
      <w:r>
        <w:rPr>
          <w:rFonts w:hint="eastAsia"/>
          <w:color w:val="auto"/>
          <w:highlight w:val="none"/>
          <w:lang w:val="en-US" w:eastAsia="zh-CN"/>
        </w:rPr>
        <w:t>100%；</w:t>
      </w:r>
    </w:p>
    <w:p>
      <w:pPr>
        <w:ind w:firstLine="560"/>
        <w:rPr>
          <w:color w:val="auto"/>
          <w:highlight w:val="none"/>
        </w:rPr>
      </w:pPr>
      <w:r>
        <w:rPr>
          <w:rFonts w:hint="eastAsia"/>
          <w:color w:val="auto"/>
          <w:highlight w:val="none"/>
        </w:rPr>
        <w:t>“设施设备维护率”指标，预期指标值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color w:val="auto"/>
          <w:highlight w:val="none"/>
        </w:rPr>
      </w:pPr>
      <w:r>
        <w:rPr>
          <w:rFonts w:hint="eastAsia"/>
          <w:color w:val="auto"/>
          <w:highlight w:val="none"/>
        </w:rPr>
        <w:t>“资金及时支付率”指标，预期指标值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2"/>
        <w:rPr>
          <w:rFonts w:hint="eastAsia" w:ascii="仿宋" w:hAnsi="仿宋" w:eastAsia="仿宋"/>
          <w:b/>
          <w:color w:val="auto"/>
          <w:highlight w:val="none"/>
        </w:rPr>
      </w:pPr>
      <w:r>
        <w:rPr>
          <w:rFonts w:hint="eastAsia" w:ascii="仿宋" w:hAnsi="仿宋" w:eastAsia="仿宋"/>
          <w:b/>
          <w:color w:val="auto"/>
          <w:highlight w:val="none"/>
        </w:rPr>
        <w:t>（2）成本指标</w:t>
      </w:r>
    </w:p>
    <w:p>
      <w:pPr>
        <w:ind w:firstLine="560"/>
        <w:rPr>
          <w:rFonts w:hint="eastAsia"/>
          <w:color w:val="auto"/>
          <w:highlight w:val="none"/>
        </w:rPr>
      </w:pPr>
      <w:r>
        <w:rPr>
          <w:rFonts w:hint="eastAsia"/>
          <w:color w:val="auto"/>
          <w:highlight w:val="none"/>
        </w:rPr>
        <w:t>①</w:t>
      </w:r>
      <w:r>
        <w:rPr>
          <w:rFonts w:hint="eastAsia"/>
          <w:color w:val="auto"/>
          <w:highlight w:val="none"/>
          <w:lang w:eastAsia="zh-CN"/>
        </w:rPr>
        <w:t>经济成本目标</w:t>
      </w:r>
    </w:p>
    <w:p>
      <w:pPr>
        <w:ind w:firstLine="560"/>
        <w:rPr>
          <w:color w:val="auto"/>
          <w:highlight w:val="none"/>
        </w:rPr>
      </w:pPr>
      <w:r>
        <w:rPr>
          <w:rFonts w:hint="eastAsia"/>
          <w:color w:val="auto"/>
          <w:highlight w:val="none"/>
        </w:rPr>
        <w:t>“其他商品和服务支出”指标，预期指标值为</w:t>
      </w:r>
      <w:r>
        <w:rPr>
          <w:rFonts w:hint="eastAsia"/>
          <w:color w:val="auto"/>
          <w:highlight w:val="none"/>
          <w:lang w:eastAsia="zh-CN"/>
        </w:rPr>
        <w:t>小于等于</w:t>
      </w:r>
      <w:r>
        <w:rPr>
          <w:rFonts w:hint="eastAsia"/>
          <w:color w:val="auto"/>
          <w:highlight w:val="none"/>
        </w:rPr>
        <w:t>108664元；</w:t>
      </w:r>
    </w:p>
    <w:p>
      <w:pPr>
        <w:ind w:firstLine="560"/>
        <w:rPr>
          <w:rFonts w:hint="eastAsia" w:eastAsia="仿宋_GB2312"/>
          <w:color w:val="auto"/>
          <w:highlight w:val="none"/>
          <w:lang w:eastAsia="zh-CN"/>
        </w:rPr>
      </w:pPr>
      <w:r>
        <w:rPr>
          <w:rFonts w:hint="eastAsia"/>
          <w:color w:val="auto"/>
          <w:highlight w:val="none"/>
        </w:rPr>
        <w:t>“采购空调、打印机、电脑、热水器及饮水机费用”指标，预期指标值为</w:t>
      </w:r>
      <w:r>
        <w:rPr>
          <w:rFonts w:hint="eastAsia"/>
          <w:color w:val="auto"/>
          <w:highlight w:val="none"/>
          <w:lang w:eastAsia="zh-CN"/>
        </w:rPr>
        <w:t>小于等于</w:t>
      </w:r>
      <w:r>
        <w:rPr>
          <w:rFonts w:hint="eastAsia"/>
          <w:color w:val="auto"/>
          <w:highlight w:val="none"/>
        </w:rPr>
        <w:t>39000元</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“大厅设施维护维修费用”指标，预期指标值为</w:t>
      </w:r>
      <w:r>
        <w:rPr>
          <w:rFonts w:hint="eastAsia"/>
          <w:color w:val="auto"/>
          <w:highlight w:val="none"/>
          <w:lang w:eastAsia="zh-CN"/>
        </w:rPr>
        <w:t>小于等于</w:t>
      </w:r>
      <w:r>
        <w:rPr>
          <w:rFonts w:hint="eastAsia"/>
          <w:color w:val="auto"/>
          <w:highlight w:val="none"/>
        </w:rPr>
        <w:t>50000元</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“宣传版面制作费用”指标，预期指标值为</w:t>
      </w:r>
      <w:r>
        <w:rPr>
          <w:rFonts w:hint="eastAsia"/>
          <w:color w:val="auto"/>
          <w:highlight w:val="none"/>
          <w:lang w:eastAsia="zh-CN"/>
        </w:rPr>
        <w:t>小于等于</w:t>
      </w:r>
      <w:r>
        <w:rPr>
          <w:rFonts w:hint="eastAsia"/>
          <w:color w:val="auto"/>
          <w:highlight w:val="none"/>
        </w:rPr>
        <w:t>50000元</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“大学生志愿者、三支一扶、见习岗生活补贴/月”指标，预期指标值为</w:t>
      </w:r>
      <w:r>
        <w:rPr>
          <w:rFonts w:hint="eastAsia"/>
          <w:color w:val="auto"/>
          <w:highlight w:val="none"/>
          <w:lang w:eastAsia="zh-CN"/>
        </w:rPr>
        <w:t>小于等于</w:t>
      </w:r>
      <w:r>
        <w:rPr>
          <w:rFonts w:hint="eastAsia"/>
          <w:color w:val="auto"/>
          <w:highlight w:val="none"/>
        </w:rPr>
        <w:t>5170元</w:t>
      </w:r>
      <w:r>
        <w:rPr>
          <w:rFonts w:hint="eastAsia"/>
          <w:color w:val="auto"/>
          <w:highlight w:val="none"/>
          <w:lang w:eastAsia="zh-CN"/>
        </w:rPr>
        <w:t>；</w:t>
      </w:r>
    </w:p>
    <w:p>
      <w:pPr>
        <w:ind w:firstLine="560"/>
        <w:rPr>
          <w:rFonts w:hint="eastAsia"/>
          <w:color w:val="auto"/>
          <w:highlight w:val="none"/>
        </w:rPr>
      </w:pPr>
      <w:r>
        <w:rPr>
          <w:rFonts w:hint="eastAsia"/>
          <w:color w:val="auto"/>
          <w:highlight w:val="none"/>
        </w:rPr>
        <w:t>“平均每月办公用品、用水、用电、网络通信及委托业务费用缴纳”指标，预期指标值为</w:t>
      </w:r>
      <w:r>
        <w:rPr>
          <w:rFonts w:hint="eastAsia"/>
          <w:color w:val="auto"/>
          <w:highlight w:val="none"/>
          <w:lang w:eastAsia="zh-CN"/>
        </w:rPr>
        <w:t>小于等于</w:t>
      </w:r>
      <w:r>
        <w:rPr>
          <w:rFonts w:hint="eastAsia"/>
          <w:color w:val="auto"/>
          <w:highlight w:val="none"/>
        </w:rPr>
        <w:t>15858元。</w:t>
      </w:r>
    </w:p>
    <w:p>
      <w:pPr>
        <w:ind w:firstLine="560"/>
        <w:rPr>
          <w:rFonts w:hint="eastAsia"/>
          <w:color w:val="auto"/>
          <w:highlight w:val="none"/>
        </w:rPr>
      </w:pPr>
      <w:r>
        <w:rPr>
          <w:rFonts w:hint="eastAsia"/>
          <w:color w:val="auto"/>
          <w:highlight w:val="none"/>
        </w:rPr>
        <w:t>③社会成本指标</w:t>
      </w:r>
    </w:p>
    <w:p>
      <w:pPr>
        <w:pStyle w:val="2"/>
        <w:rPr>
          <w:rFonts w:hint="eastAsia" w:eastAsia="仿宋_GB2312"/>
          <w:color w:val="auto"/>
          <w:highlight w:val="none"/>
          <w:lang w:eastAsia="zh-CN"/>
        </w:rPr>
      </w:pPr>
      <w:r>
        <w:rPr>
          <w:rFonts w:hint="eastAsia"/>
          <w:color w:val="auto"/>
          <w:highlight w:val="none"/>
          <w:lang w:eastAsia="zh-CN"/>
        </w:rPr>
        <w:t>无</w:t>
      </w:r>
    </w:p>
    <w:p>
      <w:pPr>
        <w:ind w:firstLine="560"/>
        <w:rPr>
          <w:rFonts w:hint="eastAsia"/>
          <w:color w:val="auto"/>
          <w:highlight w:val="none"/>
        </w:rPr>
      </w:pPr>
      <w:r>
        <w:rPr>
          <w:rFonts w:hint="eastAsia"/>
          <w:color w:val="auto"/>
          <w:highlight w:val="none"/>
        </w:rPr>
        <w:t>③生态环境成本指标</w:t>
      </w:r>
    </w:p>
    <w:p>
      <w:pPr>
        <w:pStyle w:val="2"/>
        <w:rPr>
          <w:rFonts w:hint="eastAsia" w:eastAsia="仿宋_GB2312"/>
          <w:color w:val="auto"/>
          <w:highlight w:val="none"/>
          <w:lang w:eastAsia="zh-CN"/>
        </w:rPr>
      </w:pPr>
      <w:r>
        <w:rPr>
          <w:rFonts w:hint="eastAsia"/>
          <w:color w:val="auto"/>
          <w:highlight w:val="none"/>
          <w:lang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eastAsia"/>
          <w:color w:val="auto"/>
          <w:highlight w:val="none"/>
        </w:rPr>
      </w:pPr>
      <w:r>
        <w:rPr>
          <w:rFonts w:hint="eastAsia"/>
          <w:color w:val="auto"/>
          <w:highlight w:val="none"/>
        </w:rPr>
        <w:t>①经济效益指标</w:t>
      </w:r>
    </w:p>
    <w:p>
      <w:pPr>
        <w:pStyle w:val="2"/>
        <w:rPr>
          <w:rFonts w:hint="eastAsia" w:eastAsia="仿宋_GB2312"/>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rFonts w:hint="eastAsia"/>
          <w:color w:val="auto"/>
          <w:highlight w:val="none"/>
        </w:rPr>
      </w:pPr>
      <w:r>
        <w:rPr>
          <w:rFonts w:hint="eastAsia"/>
          <w:color w:val="auto"/>
          <w:highlight w:val="none"/>
        </w:rPr>
        <w:t>“提高政务服务能力和水平”指标，预期指标值为持续提升；</w:t>
      </w:r>
    </w:p>
    <w:p>
      <w:pPr>
        <w:ind w:firstLine="560"/>
        <w:rPr>
          <w:color w:val="auto"/>
          <w:highlight w:val="none"/>
        </w:rPr>
      </w:pPr>
      <w:r>
        <w:rPr>
          <w:rFonts w:hint="eastAsia"/>
          <w:color w:val="auto"/>
          <w:highlight w:val="none"/>
        </w:rPr>
        <w:t>“增强窗口工作人员服务意识”指标，预期指标值为持续稳定；</w:t>
      </w:r>
    </w:p>
    <w:p>
      <w:pPr>
        <w:ind w:firstLine="560"/>
        <w:rPr>
          <w:rFonts w:hint="eastAsia"/>
          <w:color w:val="auto"/>
          <w:highlight w:val="none"/>
        </w:rPr>
      </w:pPr>
      <w:r>
        <w:rPr>
          <w:rFonts w:hint="eastAsia"/>
          <w:color w:val="auto"/>
          <w:highlight w:val="none"/>
        </w:rPr>
        <w:t>③生态效益指标</w:t>
      </w:r>
    </w:p>
    <w:p>
      <w:pPr>
        <w:pStyle w:val="2"/>
        <w:rPr>
          <w:rFonts w:hint="eastAsia" w:eastAsia="仿宋_GB2312"/>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pPr>
        <w:ind w:firstLine="560"/>
        <w:rPr>
          <w:color w:val="auto"/>
          <w:highlight w:val="none"/>
        </w:rPr>
      </w:pPr>
      <w:r>
        <w:rPr>
          <w:rFonts w:hint="eastAsia"/>
          <w:color w:val="auto"/>
          <w:highlight w:val="none"/>
        </w:rPr>
        <w:t>①满意度指标</w:t>
      </w:r>
    </w:p>
    <w:p>
      <w:pPr>
        <w:ind w:firstLine="560"/>
        <w:rPr>
          <w:rFonts w:hint="eastAsia"/>
          <w:color w:val="auto"/>
          <w:highlight w:val="none"/>
        </w:rPr>
      </w:pPr>
      <w:r>
        <w:rPr>
          <w:rFonts w:hint="eastAsia"/>
          <w:color w:val="auto"/>
          <w:highlight w:val="none"/>
        </w:rPr>
        <w:t>“转变政府服务职能进一步，提高行政审批效率”指标，预期指标值为持续提升；</w:t>
      </w:r>
    </w:p>
    <w:p>
      <w:pPr>
        <w:ind w:firstLine="560"/>
        <w:rPr>
          <w:rFonts w:ascii="Times New Roman" w:hAnsi="Times New Roman" w:eastAsia="仿宋_GB2312" w:cs="Times New Roman"/>
          <w:color w:val="auto"/>
          <w:kern w:val="2"/>
          <w:sz w:val="28"/>
          <w:szCs w:val="24"/>
          <w:highlight w:val="none"/>
          <w:lang w:val="en-US" w:eastAsia="zh-CN" w:bidi="ar-SA"/>
        </w:rPr>
      </w:pPr>
      <w:r>
        <w:rPr>
          <w:rFonts w:hint="eastAsia"/>
          <w:color w:val="auto"/>
          <w:highlight w:val="none"/>
        </w:rPr>
        <w:t>“企业和群众对政务服务中心的满意度”指标，预期指标值为持续稳定；</w:t>
      </w:r>
    </w:p>
    <w:p>
      <w:pPr>
        <w:pStyle w:val="3"/>
        <w:ind w:left="0" w:leftChars="0" w:firstLine="0" w:firstLineChars="0"/>
        <w:rPr>
          <w:color w:val="auto"/>
          <w:highlight w:val="none"/>
        </w:rPr>
      </w:pPr>
      <w:r>
        <w:rPr>
          <w:rFonts w:hint="eastAsia"/>
          <w:color w:val="auto"/>
          <w:highlight w:val="none"/>
        </w:rPr>
        <w:t>二、绩效评价工作开展情况</w:t>
      </w:r>
    </w:p>
    <w:p>
      <w:pPr>
        <w:pStyle w:val="4"/>
        <w:numPr>
          <w:ilvl w:val="0"/>
          <w:numId w:val="2"/>
        </w:numPr>
        <w:ind w:firstLine="643"/>
        <w:rPr>
          <w:rFonts w:ascii="楷体" w:hAnsi="楷体" w:cs="楷体"/>
          <w:color w:val="auto"/>
          <w:szCs w:val="32"/>
          <w:highlight w:val="none"/>
        </w:rPr>
      </w:pPr>
      <w:bookmarkStart w:id="0" w:name="_Toc12868"/>
      <w:bookmarkStart w:id="1" w:name="_Toc26632"/>
      <w:bookmarkStart w:id="2" w:name="_Toc5258"/>
      <w:bookmarkStart w:id="3" w:name="_Toc22922"/>
      <w:bookmarkStart w:id="4" w:name="_Toc21664"/>
      <w:bookmarkStart w:id="5" w:name="_Toc480473081"/>
      <w:bookmarkStart w:id="6" w:name="_Toc5462343"/>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2"/>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年度我单位实施的政务服务中心综合业务项目经费项目开展部门绩效评价，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2"/>
        </w:numPr>
        <w:ind w:firstLine="643"/>
        <w:rPr>
          <w:color w:val="auto"/>
          <w:highlight w:val="none"/>
        </w:rPr>
      </w:pPr>
      <w:r>
        <w:rPr>
          <w:rFonts w:hint="eastAsia"/>
          <w:color w:val="auto"/>
          <w:highlight w:val="none"/>
        </w:rPr>
        <w:t>绩效评价原则、评价指标体系、评价方法评价标准</w:t>
      </w:r>
    </w:p>
    <w:p>
      <w:pPr>
        <w:pStyle w:val="2"/>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2"/>
        <w:ind w:firstLine="562"/>
        <w:rPr>
          <w:color w:val="auto"/>
          <w:highlight w:val="none"/>
        </w:rPr>
      </w:pPr>
      <w:bookmarkStart w:id="8" w:name="_Toc1913"/>
      <w:bookmarkStart w:id="9" w:name="_Toc428278230"/>
      <w:bookmarkStart w:id="10" w:name="_Toc26131"/>
      <w:bookmarkStart w:id="11" w:name="_Toc419984722"/>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成本</w:t>
      </w:r>
      <w:r>
        <w:rPr>
          <w:rFonts w:hint="eastAsia"/>
          <w:color w:val="auto"/>
          <w:highlight w:val="none"/>
          <w:lang w:val="zh-TW" w:eastAsia="zh-TW"/>
        </w:rPr>
        <w:t>指标（</w:t>
      </w:r>
      <w:r>
        <w:rPr>
          <w:rFonts w:hint="eastAsia"/>
          <w:color w:val="auto"/>
          <w:highlight w:val="none"/>
          <w:lang w:val="en-US" w:eastAsia="zh-CN"/>
        </w:rPr>
        <w:t>12分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r>
        <w:rPr>
          <w:rFonts w:hint="eastAsia"/>
          <w:color w:val="auto"/>
          <w:highlight w:val="none"/>
          <w:lang w:val="en-US" w:eastAsia="zh-CN"/>
        </w:rPr>
        <w:t>成本</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lang w:val="en-US" w:eastAsia="zh-CN"/>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pPr>
        <w:pStyle w:val="2"/>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2"/>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numPr>
          <w:ilvl w:val="0"/>
          <w:numId w:val="2"/>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（1）评价组组长：热孜亚古力·沙吾尔、崔令师</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（2）评价组成员：地里亚尔·艾合买提，</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（3）评价组成员：阿依古丽·吾甫尔，</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2"/>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3"/>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w:t>
      </w:r>
      <w:r>
        <w:rPr>
          <w:rFonts w:hint="eastAsia"/>
          <w:color w:val="auto"/>
          <w:highlight w:val="none"/>
          <w:lang w:val="en-US" w:eastAsia="zh-CN"/>
        </w:rPr>
        <w:t>中华人民共和国会计法</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中华人民共和国预算法</w:t>
      </w:r>
      <w:r>
        <w:rPr>
          <w:rFonts w:hint="eastAsia"/>
          <w:color w:val="auto"/>
          <w:highlight w:val="none"/>
        </w:rPr>
        <w:t>》等国家法律法规关于</w:t>
      </w:r>
      <w:r>
        <w:rPr>
          <w:rFonts w:hint="eastAsia"/>
          <w:color w:val="auto"/>
          <w:highlight w:val="none"/>
          <w:lang w:val="en-US" w:eastAsia="zh-CN"/>
        </w:rPr>
        <w:t>政务服务</w:t>
      </w:r>
      <w:r>
        <w:rPr>
          <w:rFonts w:hint="eastAsia"/>
          <w:color w:val="auto"/>
          <w:highlight w:val="none"/>
        </w:rPr>
        <w:t>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政务服务中心保障运行</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事业运行</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一般公共服务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托克逊县政务服务和公共资源交易中心预算管理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托克逊县政务服务和公共资源交易中心财务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ind w:firstLine="560"/>
        <w:rPr>
          <w:rFonts w:hint="default"/>
          <w:color w:val="auto"/>
          <w:highlight w:val="none"/>
          <w:lang w:val="en-US" w:eastAsia="zh-CN"/>
        </w:rPr>
      </w:pPr>
      <w:r>
        <w:rPr>
          <w:rFonts w:hint="eastAsia"/>
          <w:color w:val="auto"/>
          <w:highlight w:val="none"/>
          <w:lang w:eastAsia="zh-CN"/>
        </w:rPr>
        <w:t>项目产出方面：</w:t>
      </w:r>
      <w:r>
        <w:rPr>
          <w:rFonts w:hint="eastAsia" w:ascii="仿宋_GB2312" w:hAnsi="仿宋_GB2312" w:eastAsia="仿宋_GB2312" w:cs="Times New Roman"/>
          <w:b w:val="0"/>
          <w:bCs w:val="0"/>
          <w:color w:val="auto"/>
          <w:kern w:val="0"/>
          <w:sz w:val="28"/>
          <w:szCs w:val="32"/>
          <w:highlight w:val="none"/>
          <w:lang w:val="en-US" w:eastAsia="zh-CN" w:bidi="ar-SA"/>
        </w:rPr>
        <w:t>截止到202</w:t>
      </w:r>
      <w:r>
        <w:rPr>
          <w:rFonts w:hint="eastAsia" w:ascii="仿宋_GB2312" w:hAnsi="仿宋_GB2312"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年12月31日，本项目已完成：目前为止我中心已开展设施设备维护次数</w:t>
      </w:r>
      <w:r>
        <w:rPr>
          <w:rFonts w:hint="eastAsia" w:ascii="仿宋_GB2312" w:hAnsi="仿宋_GB2312"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次，</w:t>
      </w:r>
      <w:r>
        <w:rPr>
          <w:rFonts w:hint="eastAsia"/>
          <w:color w:val="auto"/>
          <w:highlight w:val="none"/>
          <w:lang w:val="en-US" w:eastAsia="zh-CN"/>
        </w:rPr>
        <w:t>通过办理各类政务服务事项800项，提高政务服务信息化、智能化、精准化、便利化水平，让数据多跑路，让群众少跑腿，切实优化审批流程，提高办事效率。着力打造“一呼即应，接诉即办”热线，解决群众急难愁盼问题，优化市场营商环境，持续推进经济高质量发展。已保障政务服务中心办公大楼的运转，为全县企业和群众提供温馨舒适、干净整洁、便捷高效的政务服务。</w:t>
      </w:r>
    </w:p>
    <w:p>
      <w:pPr>
        <w:bidi w:val="0"/>
        <w:rPr>
          <w:color w:val="auto"/>
          <w:highlight w:val="none"/>
          <w:lang w:val="en-US" w:eastAsia="zh-CN"/>
        </w:rPr>
      </w:pPr>
      <w:r>
        <w:rPr>
          <w:rFonts w:hint="eastAsia"/>
          <w:color w:val="auto"/>
          <w:highlight w:val="none"/>
          <w:lang w:eastAsia="zh-CN"/>
        </w:rPr>
        <w:t>项目效益方面：营商环境、为企业和群众提供便捷高效服务</w:t>
      </w:r>
      <w:r>
        <w:rPr>
          <w:rFonts w:hint="eastAsia"/>
          <w:color w:val="auto"/>
          <w:highlight w:val="none"/>
          <w:lang w:val="en-US" w:eastAsia="zh-CN"/>
        </w:rPr>
        <w:t>有效提升，转变政府职能，政务服务效能得到进一步优化。</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90.9分，绩效评级为“优秀”。综合评价结论如下：本项目决策指标共设置6个，满分20分，得分率100%；项目过程指标共设置5个，满分20分，得分率100%；项目产出指标共设置19个，满分24分，得分率79.73%；项目成本指标共设置6个，满分12分，得分率73.9%；项目效益指标共设置4个，满分24分，得分率100%，</w:t>
      </w:r>
    </w:p>
    <w:p>
      <w:pPr>
        <w:pStyle w:val="3"/>
        <w:numPr>
          <w:ilvl w:val="0"/>
          <w:numId w:val="3"/>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w:t>
      </w:r>
      <w:r>
        <w:rPr>
          <w:rFonts w:hint="eastAsia"/>
          <w:color w:val="auto"/>
          <w:highlight w:val="none"/>
          <w:lang w:val="en-US" w:eastAsia="zh-CN"/>
        </w:rPr>
        <w:t>中华人民共和国会计法</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中华人民共和国预算法</w:t>
      </w:r>
      <w:r>
        <w:rPr>
          <w:rFonts w:hint="eastAsia"/>
          <w:color w:val="auto"/>
          <w:highlight w:val="none"/>
        </w:rPr>
        <w:t>》等国家法律法规关于</w:t>
      </w:r>
      <w:r>
        <w:rPr>
          <w:rFonts w:hint="eastAsia"/>
          <w:color w:val="auto"/>
          <w:highlight w:val="none"/>
          <w:lang w:val="en-US" w:eastAsia="zh-CN"/>
        </w:rPr>
        <w:t>政务服务</w:t>
      </w:r>
      <w:r>
        <w:rPr>
          <w:rFonts w:hint="eastAsia"/>
          <w:color w:val="auto"/>
          <w:highlight w:val="none"/>
        </w:rPr>
        <w:t>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政务服务中心保障运行</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事业运行</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一般公共服务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资金申请</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单位按照程序向财政局提交了项目资金申请报告等相关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2"/>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default"/>
          <w:color w:val="auto"/>
          <w:highlight w:val="none"/>
          <w:lang w:val="en-US" w:eastAsia="zh-CN"/>
        </w:rPr>
        <w:t>①</w:t>
      </w:r>
      <w:r>
        <w:rPr>
          <w:rFonts w:hint="eastAsia"/>
          <w:color w:val="auto"/>
          <w:highlight w:val="none"/>
          <w:lang w:val="en-US" w:eastAsia="zh-CN"/>
        </w:rPr>
        <w:t>深入推进行政审批制度改革，贯彻落实自治区、市、县政务服务“一站式”服务工作要求。为各部门进驻新政务服务大厅、为企业和办事群众提供温馨舒适的办事服务环境。构建县、乡、村三级政务服务体系，打通政务服务“最后一公里”，方便群众就近办事。解决政务服务热线号码过多、接通率低、缺乏统一管理等问题，提高人民群众获得感和满意度。</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是</w:t>
      </w:r>
      <w:r>
        <w:rPr>
          <w:rFonts w:hint="eastAsia"/>
          <w:color w:val="auto"/>
          <w:highlight w:val="none"/>
        </w:rPr>
        <w:t>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50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50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2"/>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人员支出，保障政务服务大厅正常运行、设备维护维修、办公设施采购，后勤劳保</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numPr>
          <w:ilvl w:val="0"/>
          <w:numId w:val="0"/>
        </w:numPr>
        <w:ind w:firstLine="560" w:firstLineChars="200"/>
        <w:rPr>
          <w:rFonts w:hint="eastAsia"/>
          <w:b w:val="0"/>
          <w:bCs w:val="0"/>
          <w:color w:val="auto"/>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w:t>
      </w: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36.23</w:t>
      </w:r>
      <w:r>
        <w:rPr>
          <w:rFonts w:hint="eastAsia"/>
          <w:b w:val="0"/>
          <w:bCs w:val="0"/>
          <w:color w:val="auto"/>
          <w:highlight w:val="none"/>
        </w:rPr>
        <w:t>万元，预算执行率</w:t>
      </w:r>
      <w:r>
        <w:rPr>
          <w:rFonts w:hint="eastAsia"/>
          <w:b w:val="0"/>
          <w:bCs w:val="0"/>
          <w:color w:val="auto"/>
          <w:highlight w:val="none"/>
          <w:lang w:val="en-US" w:eastAsia="zh-CN"/>
        </w:rPr>
        <w:t>72.5</w:t>
      </w:r>
      <w:r>
        <w:rPr>
          <w:rFonts w:hint="eastAsia"/>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结余资金13.77</w:t>
      </w:r>
      <w:r>
        <w:rPr>
          <w:rFonts w:hint="eastAsia"/>
          <w:b w:val="0"/>
          <w:bCs w:val="0"/>
          <w:color w:val="auto"/>
          <w:highlight w:val="none"/>
        </w:rPr>
        <w:t>万元。项目资金主要用于</w:t>
      </w:r>
      <w:r>
        <w:rPr>
          <w:rFonts w:hint="eastAsia"/>
          <w:b w:val="0"/>
          <w:bCs w:val="0"/>
          <w:color w:val="auto"/>
          <w:highlight w:val="none"/>
          <w:lang w:eastAsia="zh-CN"/>
        </w:rPr>
        <w:t>采购办公设备费用支出</w:t>
      </w:r>
      <w:r>
        <w:rPr>
          <w:rFonts w:hint="eastAsia"/>
          <w:b w:val="0"/>
          <w:bCs w:val="0"/>
          <w:color w:val="auto"/>
          <w:highlight w:val="none"/>
          <w:lang w:val="en-US" w:eastAsia="zh-CN"/>
        </w:rPr>
        <w:t>3.7390万元</w:t>
      </w:r>
      <w:r>
        <w:rPr>
          <w:rFonts w:hint="eastAsia"/>
          <w:b w:val="0"/>
          <w:bCs w:val="0"/>
          <w:color w:val="auto"/>
          <w:highlight w:val="none"/>
          <w:lang w:eastAsia="zh-CN"/>
        </w:rPr>
        <w:t>、平均大学生志愿者、三支一扶、见习岗生活补贴</w:t>
      </w:r>
      <w:r>
        <w:rPr>
          <w:rFonts w:hint="eastAsia"/>
          <w:b w:val="0"/>
          <w:bCs w:val="0"/>
          <w:color w:val="auto"/>
          <w:highlight w:val="none"/>
          <w:lang w:val="en-US" w:eastAsia="zh-CN"/>
        </w:rPr>
        <w:t>0.4937万元</w:t>
      </w:r>
      <w:r>
        <w:rPr>
          <w:rFonts w:hint="eastAsia"/>
          <w:b w:val="0"/>
          <w:bCs w:val="0"/>
          <w:color w:val="auto"/>
          <w:highlight w:val="none"/>
          <w:lang w:eastAsia="zh-CN"/>
        </w:rPr>
        <w:t>、设施设备维护维修费支出</w:t>
      </w:r>
      <w:r>
        <w:rPr>
          <w:rFonts w:hint="eastAsia"/>
          <w:b w:val="0"/>
          <w:bCs w:val="0"/>
          <w:color w:val="auto"/>
          <w:highlight w:val="none"/>
          <w:lang w:val="en-US" w:eastAsia="zh-CN"/>
        </w:rPr>
        <w:t>2.4256万元</w:t>
      </w:r>
      <w:r>
        <w:rPr>
          <w:rFonts w:hint="eastAsia"/>
          <w:b w:val="0"/>
          <w:bCs w:val="0"/>
          <w:color w:val="auto"/>
          <w:highlight w:val="none"/>
          <w:lang w:eastAsia="zh-CN"/>
        </w:rPr>
        <w:t>、平均每月办公用品、用水、用电、网络通信及委托业务费用缴纳1</w:t>
      </w:r>
      <w:r>
        <w:rPr>
          <w:rFonts w:hint="eastAsia"/>
          <w:b w:val="0"/>
          <w:bCs w:val="0"/>
          <w:color w:val="auto"/>
          <w:highlight w:val="none"/>
          <w:lang w:val="en-US" w:eastAsia="zh-CN"/>
        </w:rPr>
        <w:t>.</w:t>
      </w:r>
      <w:r>
        <w:rPr>
          <w:rFonts w:hint="eastAsia"/>
          <w:b w:val="0"/>
          <w:bCs w:val="0"/>
          <w:color w:val="auto"/>
          <w:highlight w:val="none"/>
          <w:lang w:eastAsia="zh-CN"/>
        </w:rPr>
        <w:t>2146元。</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《托财预》1号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18.9</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94.5</w:t>
      </w:r>
      <w:r>
        <w:rPr>
          <w:rFonts w:hint="eastAsia" w:ascii="仿宋_GB2312" w:cs="仿宋_GB2312"/>
          <w:color w:val="auto"/>
          <w:sz w:val="28"/>
          <w:szCs w:val="28"/>
          <w:highlight w:val="none"/>
        </w:rPr>
        <w:t>%。</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1.资金管理情况分析</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（1）资金到位率：</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全年</w:t>
      </w:r>
      <w:r>
        <w:rPr>
          <w:rFonts w:hint="eastAsia" w:ascii="仿宋_GB2312" w:cs="仿宋_GB2312"/>
          <w:color w:val="auto"/>
          <w:sz w:val="28"/>
          <w:szCs w:val="28"/>
          <w:highlight w:val="none"/>
        </w:rPr>
        <w:t>预算资金为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万元，实际到位资金</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万元，资金到位率=（实际到位资金/预算资金）×100%=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分,本项目资金到位率为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（2）预算执行率：</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36.23</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36.23</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72.5</w:t>
      </w:r>
      <w:r>
        <w:rPr>
          <w:rFonts w:hint="eastAsia" w:ascii="仿宋_GB2312" w:cs="仿宋_GB2312"/>
          <w:color w:val="auto"/>
          <w:sz w:val="28"/>
          <w:szCs w:val="28"/>
          <w:highlight w:val="none"/>
        </w:rPr>
        <w:t>%。</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2.9</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72.5</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2"/>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托克逊县政务服务和公共资源交易中心预算管理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托克逊县政务服务和公共资源交易中心财务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（5）制度执行有效性：</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托克逊县政务服务和公共资源交易中心预算管理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托克逊县政务服务和公共资源交易中心财务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lang w:val="en-US" w:eastAsia="zh-CN"/>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rFonts w:hint="eastAsia" w:ascii="仿宋_GB2312" w:cs="仿宋_GB2312"/>
          <w:color w:val="auto"/>
          <w:szCs w:val="28"/>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cs="仿宋_GB2312"/>
          <w:color w:val="auto"/>
          <w:szCs w:val="28"/>
          <w:highlight w:val="none"/>
          <w:lang w:val="en-US"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19.13</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79.73</w:t>
      </w:r>
      <w:r>
        <w:rPr>
          <w:rFonts w:hint="eastAsia" w:ascii="仿宋_GB2312" w:cs="仿宋_GB2312"/>
          <w:color w:val="auto"/>
          <w:sz w:val="28"/>
          <w:szCs w:val="28"/>
          <w:highlight w:val="none"/>
        </w:rPr>
        <w:t>%。</w:t>
      </w:r>
    </w:p>
    <w:p>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pPr>
        <w:ind w:firstLine="560"/>
        <w:rPr>
          <w:color w:val="auto"/>
          <w:highlight w:val="none"/>
        </w:rPr>
      </w:pPr>
      <w:r>
        <w:rPr>
          <w:rFonts w:hint="eastAsia"/>
          <w:color w:val="auto"/>
          <w:highlight w:val="none"/>
        </w:rPr>
        <w:t>①数量指标</w:t>
      </w:r>
    </w:p>
    <w:p>
      <w:pPr>
        <w:ind w:firstLine="560"/>
        <w:rPr>
          <w:rFonts w:hint="eastAsia"/>
          <w:color w:val="auto"/>
          <w:highlight w:val="none"/>
        </w:rPr>
      </w:pPr>
      <w:r>
        <w:rPr>
          <w:rFonts w:hint="eastAsia"/>
          <w:color w:val="auto"/>
          <w:highlight w:val="none"/>
        </w:rPr>
        <w:t>“核心主义价值观宣传活动”指标，预期指标值为</w:t>
      </w:r>
      <w:r>
        <w:rPr>
          <w:rFonts w:hint="eastAsia"/>
          <w:color w:val="auto"/>
          <w:highlight w:val="none"/>
          <w:lang w:eastAsia="zh-CN"/>
        </w:rPr>
        <w:t>小于等于</w:t>
      </w:r>
      <w:r>
        <w:rPr>
          <w:rFonts w:hint="eastAsia"/>
          <w:color w:val="auto"/>
          <w:highlight w:val="none"/>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eastAsia="仿宋_GB2312"/>
          <w:color w:val="auto"/>
          <w:highlight w:val="none"/>
          <w:lang w:eastAsia="zh-CN"/>
        </w:rPr>
      </w:pPr>
      <w:r>
        <w:rPr>
          <w:rFonts w:hint="eastAsia"/>
          <w:color w:val="auto"/>
          <w:highlight w:val="none"/>
        </w:rPr>
        <w:t>“大学生志愿者、三支一扶、见习岗人数”指标，预期指标值为</w:t>
      </w:r>
      <w:r>
        <w:rPr>
          <w:rFonts w:hint="eastAsia"/>
          <w:color w:val="auto"/>
          <w:highlight w:val="none"/>
          <w:lang w:eastAsia="zh-CN"/>
        </w:rPr>
        <w:t>小于等于</w:t>
      </w:r>
      <w:r>
        <w:rPr>
          <w:rFonts w:hint="eastAsia"/>
          <w:color w:val="auto"/>
          <w:highlight w:val="none"/>
        </w:rPr>
        <w:t>7人</w:t>
      </w:r>
      <w:r>
        <w:rPr>
          <w:rFonts w:hint="eastAsia"/>
          <w:color w:val="auto"/>
          <w:highlight w:val="none"/>
          <w:lang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0.858</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w:t>
      </w:r>
      <w:r>
        <w:rPr>
          <w:rFonts w:hint="eastAsia" w:ascii="仿宋_GB2312" w:hAnsi="仿宋_GB2312" w:cs="仿宋_GB2312"/>
          <w:color w:val="auto"/>
          <w:sz w:val="28"/>
          <w:szCs w:val="28"/>
          <w:highlight w:val="none"/>
          <w:lang w:eastAsia="zh-CN"/>
        </w:rPr>
        <w:t>见习生人员中途有调出、离岗，导致实际值与目标值出现偏离。</w:t>
      </w:r>
    </w:p>
    <w:p>
      <w:pPr>
        <w:ind w:firstLine="560"/>
        <w:rPr>
          <w:rFonts w:hint="eastAsia"/>
          <w:color w:val="auto"/>
          <w:highlight w:val="none"/>
        </w:rPr>
      </w:pPr>
      <w:r>
        <w:rPr>
          <w:rFonts w:hint="eastAsia"/>
          <w:color w:val="auto"/>
          <w:highlight w:val="none"/>
          <w:lang w:eastAsia="zh-CN"/>
        </w:rPr>
        <w:t>“</w:t>
      </w:r>
      <w:r>
        <w:rPr>
          <w:rFonts w:hint="eastAsia"/>
          <w:color w:val="auto"/>
          <w:highlight w:val="none"/>
        </w:rPr>
        <w:t>保障职工数量</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6人；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color w:val="auto"/>
          <w:highlight w:val="none"/>
        </w:rPr>
      </w:pPr>
      <w:r>
        <w:rPr>
          <w:rFonts w:hint="eastAsia"/>
          <w:color w:val="auto"/>
          <w:highlight w:val="none"/>
          <w:lang w:eastAsia="zh-CN"/>
        </w:rPr>
        <w:t>“</w:t>
      </w:r>
      <w:r>
        <w:rPr>
          <w:rFonts w:hint="eastAsia"/>
          <w:color w:val="auto"/>
          <w:highlight w:val="none"/>
        </w:rPr>
        <w:t>保障房屋建筑供暖面积</w:t>
      </w:r>
      <w:r>
        <w:rPr>
          <w:rFonts w:hint="eastAsia"/>
          <w:color w:val="auto"/>
          <w:highlight w:val="none"/>
          <w:lang w:eastAsia="zh-CN"/>
        </w:rPr>
        <w:t>”</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2865平方米；</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“服务企业员工和群众人次”指标，预期指标值为</w:t>
      </w:r>
      <w:r>
        <w:rPr>
          <w:rFonts w:hint="eastAsia"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30000人次；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原因是该指标预测难度较大，年初设置指标时已结合往年数据上调目标值，实际完成值仍与目标值存在偏离，今后将加强绩效目标设置的科学性。</w:t>
      </w:r>
    </w:p>
    <w:p>
      <w:pPr>
        <w:ind w:firstLine="560"/>
        <w:rPr>
          <w:rFonts w:hint="eastAsia"/>
          <w:color w:val="auto"/>
          <w:highlight w:val="none"/>
        </w:rPr>
      </w:pPr>
      <w:r>
        <w:rPr>
          <w:rFonts w:hint="eastAsia"/>
          <w:color w:val="auto"/>
          <w:highlight w:val="none"/>
          <w:lang w:eastAsia="zh-CN"/>
        </w:rPr>
        <w:t>“</w:t>
      </w:r>
      <w:r>
        <w:rPr>
          <w:rFonts w:hint="eastAsia"/>
          <w:color w:val="auto"/>
          <w:highlight w:val="none"/>
        </w:rPr>
        <w:t>为企业和群众提供政务咨询服务人次</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10000人次；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原因是该指标预测难度较大，年初设置指标时已结合往年数据上调目标值，实际完成值仍与目标值存在偏离，今后将加强绩效目标设置的科学性。</w:t>
      </w:r>
    </w:p>
    <w:p>
      <w:pPr>
        <w:ind w:firstLine="560"/>
        <w:rPr>
          <w:rFonts w:hint="eastAsia"/>
          <w:color w:val="auto"/>
          <w:highlight w:val="none"/>
        </w:rPr>
      </w:pPr>
      <w:r>
        <w:rPr>
          <w:rFonts w:hint="eastAsia" w:ascii="Times New Roman" w:hAnsi="Times New Roman" w:eastAsia="仿宋_GB2312" w:cs="Times New Roman"/>
          <w:b w:val="0"/>
          <w:bCs w:val="0"/>
          <w:color w:val="auto"/>
          <w:kern w:val="2"/>
          <w:sz w:val="28"/>
          <w:szCs w:val="24"/>
          <w:highlight w:val="none"/>
          <w:lang w:val="en-US" w:eastAsia="zh-CN" w:bidi="ar-SA"/>
        </w:rPr>
        <w:t>“组织开展政务服务部门业务人员培训次数”指标，预期指标值为</w:t>
      </w:r>
      <w:r>
        <w:rPr>
          <w:rFonts w:hint="eastAsia"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2次</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ascii="Times New Roman" w:hAnsi="Times New Roman"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“办理各类政务服务事项数量”指标，预期指标值为</w:t>
      </w:r>
      <w:r>
        <w:rPr>
          <w:rFonts w:hint="eastAsia"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50000件</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w:t>
      </w:r>
      <w:r>
        <w:rPr>
          <w:rFonts w:hint="eastAsia" w:ascii="仿宋_GB2312" w:hAnsi="仿宋_GB2312" w:cs="仿宋_GB2312"/>
          <w:color w:val="auto"/>
          <w:sz w:val="28"/>
          <w:szCs w:val="28"/>
          <w:highlight w:val="none"/>
        </w:rPr>
        <w:t>该指标预测难度较大，年初设置指标时已结合往年数据上调目标值，实际完成值仍与目标值存在偏离，今后将加强绩效目标设置的科学性。</w:t>
      </w:r>
    </w:p>
    <w:p>
      <w:pPr>
        <w:ind w:firstLine="560"/>
        <w:rPr>
          <w:rFonts w:hint="eastAsia" w:ascii="Times New Roman" w:hAnsi="Times New Roman"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“采购空调”指标，预期指标值为</w:t>
      </w:r>
      <w:r>
        <w:rPr>
          <w:rFonts w:hint="eastAsia"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6台</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ascii="Times New Roman" w:hAnsi="Times New Roman"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“采购打印机”指标，预期指标值为</w:t>
      </w:r>
      <w:r>
        <w:rPr>
          <w:rFonts w:hint="eastAsia"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“采购热水器”指标，预期指标值为</w:t>
      </w:r>
      <w:r>
        <w:rPr>
          <w:rFonts w:hint="eastAsia"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“采购饮水机”指标，预期指标值为</w:t>
      </w:r>
      <w:r>
        <w:rPr>
          <w:rFonts w:hint="eastAsia" w:cs="Times New Roman"/>
          <w:b w:val="0"/>
          <w:bCs w:val="0"/>
          <w:color w:val="auto"/>
          <w:kern w:val="2"/>
          <w:sz w:val="28"/>
          <w:szCs w:val="24"/>
          <w:highlight w:val="none"/>
          <w:lang w:val="en-US" w:eastAsia="zh-CN" w:bidi="ar-SA"/>
        </w:rPr>
        <w:t>小于等于</w:t>
      </w:r>
      <w:r>
        <w:rPr>
          <w:rFonts w:hint="eastAsia" w:ascii="Times New Roman" w:hAnsi="Times New Roman" w:cs="Times New Roman"/>
          <w:b w:val="0"/>
          <w:bCs w:val="0"/>
          <w:color w:val="auto"/>
          <w:kern w:val="2"/>
          <w:sz w:val="28"/>
          <w:szCs w:val="24"/>
          <w:highlight w:val="none"/>
          <w:lang w:val="en-US" w:eastAsia="zh-CN" w:bidi="ar-SA"/>
        </w:rPr>
        <w:t>1</w:t>
      </w:r>
      <w:r>
        <w:rPr>
          <w:rFonts w:hint="eastAsia" w:ascii="Times New Roman" w:hAnsi="Times New Roman" w:eastAsia="仿宋_GB2312" w:cs="Times New Roman"/>
          <w:b w:val="0"/>
          <w:bCs w:val="0"/>
          <w:color w:val="auto"/>
          <w:kern w:val="2"/>
          <w:sz w:val="28"/>
          <w:szCs w:val="24"/>
          <w:highlight w:val="none"/>
          <w:lang w:val="en-US" w:eastAsia="zh-CN" w:bidi="ar-SA"/>
        </w:rPr>
        <w:t>台</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default"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“采购安可国产电脑”指标，预期指标值为</w:t>
      </w:r>
      <w:r>
        <w:rPr>
          <w:rFonts w:hint="eastAsia" w:cs="Times New Roman"/>
          <w:b w:val="0"/>
          <w:bCs w:val="0"/>
          <w:color w:val="auto"/>
          <w:kern w:val="2"/>
          <w:sz w:val="28"/>
          <w:szCs w:val="24"/>
          <w:highlight w:val="none"/>
          <w:lang w:val="en-US" w:eastAsia="zh-CN" w:bidi="ar-SA"/>
        </w:rPr>
        <w:t>小于等于</w:t>
      </w:r>
      <w:r>
        <w:rPr>
          <w:rFonts w:hint="eastAsia" w:ascii="Times New Roman" w:hAnsi="Times New Roman" w:eastAsia="仿宋_GB2312" w:cs="Times New Roman"/>
          <w:b w:val="0"/>
          <w:bCs w:val="0"/>
          <w:color w:val="auto"/>
          <w:kern w:val="2"/>
          <w:sz w:val="28"/>
          <w:szCs w:val="24"/>
          <w:highlight w:val="none"/>
          <w:lang w:val="en-US" w:eastAsia="zh-CN" w:bidi="ar-SA"/>
        </w:rPr>
        <w:t>2台</w:t>
      </w:r>
      <w:r>
        <w:rPr>
          <w:rFonts w:hint="eastAsia" w:ascii="Times New Roman" w:hAnsi="Times New Roman"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0.6</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原因是按照年初预算购置。</w:t>
      </w:r>
    </w:p>
    <w:p>
      <w:pPr>
        <w:ind w:firstLine="560"/>
        <w:rPr>
          <w:rFonts w:hint="default" w:eastAsia="仿宋_GB2312"/>
          <w:color w:val="auto"/>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“督办完成12345政务服务热线工单数量”指标，预期指标值为</w:t>
      </w:r>
      <w:r>
        <w:rPr>
          <w:rFonts w:hint="eastAsia" w:cs="Times New Roman"/>
          <w:b w:val="0"/>
          <w:bCs w:val="0"/>
          <w:color w:val="auto"/>
          <w:kern w:val="2"/>
          <w:sz w:val="28"/>
          <w:szCs w:val="24"/>
          <w:highlight w:val="none"/>
          <w:lang w:val="en-US" w:eastAsia="zh-CN" w:bidi="ar-SA"/>
        </w:rPr>
        <w:t>大于等于</w:t>
      </w:r>
      <w:r>
        <w:rPr>
          <w:rFonts w:hint="eastAsia" w:ascii="Times New Roman" w:hAnsi="Times New Roman" w:eastAsia="仿宋_GB2312" w:cs="Times New Roman"/>
          <w:b w:val="0"/>
          <w:bCs w:val="0"/>
          <w:color w:val="auto"/>
          <w:kern w:val="2"/>
          <w:sz w:val="28"/>
          <w:szCs w:val="24"/>
          <w:highlight w:val="none"/>
          <w:lang w:val="en-US" w:eastAsia="zh-CN" w:bidi="ar-SA"/>
        </w:rPr>
        <w:t>3000单</w:t>
      </w:r>
      <w:r>
        <w:rPr>
          <w:rFonts w:hint="eastAsia" w:cs="Times New Roman"/>
          <w:b w:val="0"/>
          <w:bCs w:val="0"/>
          <w:color w:val="auto"/>
          <w:kern w:val="2"/>
          <w:sz w:val="28"/>
          <w:szCs w:val="24"/>
          <w:highlight w:val="none"/>
          <w:lang w:val="en-US" w:eastAsia="zh-CN" w:bidi="ar-SA"/>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73.53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0.88</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原因是该指标预测难度较大，年初设置指标时已结合往年数据上调目标值，实际完成值仍与目标值存在偏离，今后将加强绩效目标设置的科学性。</w:t>
      </w:r>
    </w:p>
    <w:p>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rFonts w:hint="eastAsia"/>
          <w:color w:val="auto"/>
          <w:highlight w:val="none"/>
        </w:rPr>
      </w:pPr>
      <w:r>
        <w:rPr>
          <w:rFonts w:hint="eastAsia"/>
          <w:color w:val="auto"/>
          <w:highlight w:val="none"/>
        </w:rPr>
        <w:t>“设备验收合格率”指标，预期指标值</w:t>
      </w:r>
      <w:bookmarkStart w:id="18" w:name="_GoBack"/>
      <w:bookmarkEnd w:id="18"/>
      <w:r>
        <w:rPr>
          <w:rFonts w:hint="eastAsia"/>
          <w:color w:val="auto"/>
          <w:highlight w:val="none"/>
          <w:lang w:eastAsia="zh-CN"/>
        </w:rPr>
        <w:t>为</w:t>
      </w:r>
      <w:r>
        <w:rPr>
          <w:rFonts w:hint="eastAsia"/>
          <w:color w:val="auto"/>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ind w:firstLine="560"/>
        <w:rPr>
          <w:color w:val="auto"/>
          <w:highlight w:val="none"/>
        </w:rPr>
      </w:pPr>
      <w:r>
        <w:rPr>
          <w:rFonts w:hint="eastAsia"/>
          <w:color w:val="auto"/>
          <w:highlight w:val="none"/>
        </w:rPr>
        <w:t>“政府采购率”指标，预期指标值</w:t>
      </w:r>
      <w:r>
        <w:rPr>
          <w:rFonts w:hint="eastAsia"/>
          <w:color w:val="auto"/>
          <w:highlight w:val="none"/>
          <w:lang w:eastAsia="zh-CN"/>
        </w:rPr>
        <w:t>为</w:t>
      </w:r>
      <w:r>
        <w:rPr>
          <w:rFonts w:hint="eastAsia"/>
          <w:color w:val="auto"/>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ind w:firstLine="560"/>
        <w:rPr>
          <w:color w:val="auto"/>
          <w:highlight w:val="none"/>
        </w:rPr>
      </w:pPr>
      <w:r>
        <w:rPr>
          <w:rFonts w:hint="eastAsia"/>
          <w:color w:val="auto"/>
          <w:highlight w:val="none"/>
        </w:rPr>
        <w:t>“设施设备维护率”指标，预期指标值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2"/>
        <w:bidi w:val="0"/>
        <w:rPr>
          <w:rFonts w:hint="eastAsia"/>
          <w:color w:val="auto"/>
          <w:highlight w:val="none"/>
        </w:rPr>
      </w:pPr>
      <w:r>
        <w:rPr>
          <w:rFonts w:hint="eastAsia"/>
          <w:color w:val="auto"/>
          <w:highlight w:val="none"/>
          <w:lang w:val="en-US" w:eastAsia="zh-CN"/>
        </w:rPr>
        <w:t>3.时效指标完成情况分析</w:t>
      </w:r>
    </w:p>
    <w:p>
      <w:pPr>
        <w:ind w:firstLine="560"/>
        <w:rPr>
          <w:rFonts w:hint="default" w:ascii="仿宋_GB2312" w:hAnsi="仿宋_GB2312" w:cs="仿宋_GB2312"/>
          <w:color w:val="auto"/>
          <w:sz w:val="28"/>
          <w:szCs w:val="28"/>
          <w:highlight w:val="none"/>
          <w:lang w:val="en-US" w:eastAsia="zh-CN"/>
        </w:rPr>
      </w:pPr>
      <w:r>
        <w:rPr>
          <w:rFonts w:hint="eastAsia"/>
          <w:color w:val="auto"/>
          <w:highlight w:val="none"/>
        </w:rPr>
        <w:t>“资金及时支付率”指标</w:t>
      </w:r>
      <w:r>
        <w:rPr>
          <w:rFonts w:hint="eastAsia" w:ascii="仿宋_GB2312" w:hAnsi="仿宋_GB2312" w:cs="仿宋_GB2312"/>
          <w:color w:val="auto"/>
          <w:sz w:val="28"/>
          <w:szCs w:val="28"/>
          <w:highlight w:val="none"/>
        </w:rPr>
        <w:t>：预期指标值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2"/>
        <w:bidi w:val="0"/>
        <w:rPr>
          <w:rFonts w:hint="eastAsia"/>
          <w:color w:val="auto"/>
          <w:highlight w:val="none"/>
        </w:rPr>
      </w:pPr>
      <w:r>
        <w:rPr>
          <w:rFonts w:hint="eastAsia"/>
          <w:color w:val="auto"/>
          <w:highlight w:val="none"/>
          <w:lang w:val="en-US" w:eastAsia="zh-CN"/>
        </w:rPr>
        <w:t>4.成本指标完成情况分析</w:t>
      </w:r>
    </w:p>
    <w:p>
      <w:pPr>
        <w:ind w:firstLine="560"/>
        <w:rPr>
          <w:rFonts w:hint="default" w:eastAsia="仿宋_GB2312"/>
          <w:color w:val="auto"/>
          <w:highlight w:val="none"/>
          <w:lang w:val="en-US" w:eastAsia="zh-CN"/>
        </w:rPr>
      </w:pPr>
      <w:r>
        <w:rPr>
          <w:rFonts w:hint="eastAsia"/>
          <w:color w:val="auto"/>
          <w:highlight w:val="none"/>
        </w:rPr>
        <w:t>“其他商品和服务支出”指标，预期指标值为</w:t>
      </w:r>
      <w:r>
        <w:rPr>
          <w:rFonts w:hint="eastAsia"/>
          <w:color w:val="auto"/>
          <w:highlight w:val="none"/>
          <w:lang w:eastAsia="zh-CN"/>
        </w:rPr>
        <w:t>小于等于</w:t>
      </w:r>
      <w:r>
        <w:rPr>
          <w:rFonts w:hint="eastAsia"/>
          <w:color w:val="auto"/>
          <w:highlight w:val="none"/>
        </w:rPr>
        <w:t>108664元；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20100元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18.50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0.336</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原因是年初计划于实施计划有所变动。</w:t>
      </w:r>
    </w:p>
    <w:p>
      <w:pPr>
        <w:ind w:firstLine="560"/>
        <w:rPr>
          <w:rFonts w:hint="default" w:eastAsia="仿宋_GB2312"/>
          <w:color w:val="auto"/>
          <w:highlight w:val="none"/>
          <w:lang w:val="en-US" w:eastAsia="zh-CN"/>
        </w:rPr>
      </w:pPr>
      <w:r>
        <w:rPr>
          <w:rFonts w:hint="eastAsia"/>
          <w:color w:val="auto"/>
          <w:highlight w:val="none"/>
        </w:rPr>
        <w:t>“采购空调、打印机、电脑、热水器及饮水机费用”指标，预期指标值为</w:t>
      </w:r>
      <w:r>
        <w:rPr>
          <w:rFonts w:hint="eastAsia"/>
          <w:color w:val="auto"/>
          <w:highlight w:val="none"/>
          <w:lang w:eastAsia="zh-CN"/>
        </w:rPr>
        <w:t>小于等于</w:t>
      </w:r>
      <w:r>
        <w:rPr>
          <w:rFonts w:hint="eastAsia"/>
          <w:color w:val="auto"/>
          <w:highlight w:val="none"/>
        </w:rPr>
        <w:t>39000元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37390元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1.728</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原因是年初预算价格与实际支出价格有偏差。</w:t>
      </w:r>
    </w:p>
    <w:p>
      <w:pPr>
        <w:ind w:firstLine="560"/>
        <w:rPr>
          <w:rFonts w:hint="default" w:eastAsia="仿宋_GB2312"/>
          <w:color w:val="auto"/>
          <w:highlight w:val="none"/>
          <w:lang w:val="en-US" w:eastAsia="zh-CN"/>
        </w:rPr>
      </w:pPr>
      <w:r>
        <w:rPr>
          <w:rFonts w:hint="eastAsia"/>
          <w:color w:val="auto"/>
          <w:highlight w:val="none"/>
        </w:rPr>
        <w:t>“大厅设施维护维修费用”指标，预期指标值为</w:t>
      </w:r>
      <w:r>
        <w:rPr>
          <w:rFonts w:hint="eastAsia"/>
          <w:color w:val="auto"/>
          <w:highlight w:val="none"/>
          <w:lang w:eastAsia="zh-CN"/>
        </w:rPr>
        <w:t>小于等于</w:t>
      </w:r>
      <w:r>
        <w:rPr>
          <w:rFonts w:hint="eastAsia"/>
          <w:color w:val="auto"/>
          <w:highlight w:val="none"/>
        </w:rPr>
        <w:t>50000元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24256元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48.67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0.876</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原因是年初预算价格与实际支出价格有偏差</w:t>
      </w:r>
    </w:p>
    <w:p>
      <w:pPr>
        <w:ind w:firstLine="560"/>
        <w:rPr>
          <w:rFonts w:hint="eastAsia" w:eastAsia="仿宋_GB2312"/>
          <w:color w:val="auto"/>
          <w:highlight w:val="none"/>
          <w:lang w:eastAsia="zh-CN"/>
        </w:rPr>
      </w:pPr>
      <w:r>
        <w:rPr>
          <w:rFonts w:hint="eastAsia"/>
          <w:color w:val="auto"/>
          <w:highlight w:val="none"/>
        </w:rPr>
        <w:t>“宣传版面制作费用”指标，预期指标值为</w:t>
      </w:r>
      <w:r>
        <w:rPr>
          <w:rFonts w:hint="eastAsia"/>
          <w:color w:val="auto"/>
          <w:highlight w:val="none"/>
          <w:lang w:eastAsia="zh-CN"/>
        </w:rPr>
        <w:t>小于等于</w:t>
      </w:r>
      <w:r>
        <w:rPr>
          <w:rFonts w:hint="eastAsia"/>
          <w:color w:val="auto"/>
          <w:highlight w:val="none"/>
        </w:rPr>
        <w:t>50000元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50000元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ind w:firstLine="560"/>
        <w:rPr>
          <w:rFonts w:hint="default" w:eastAsia="仿宋_GB2312"/>
          <w:color w:val="auto"/>
          <w:highlight w:val="none"/>
          <w:lang w:val="en-US" w:eastAsia="zh-CN"/>
        </w:rPr>
      </w:pPr>
      <w:r>
        <w:rPr>
          <w:rFonts w:hint="eastAsia"/>
          <w:color w:val="auto"/>
          <w:highlight w:val="none"/>
        </w:rPr>
        <w:t>“大学生志愿者、三支一扶、见习岗生活补贴/月”指标，预期指标值为</w:t>
      </w:r>
      <w:r>
        <w:rPr>
          <w:rFonts w:hint="eastAsia"/>
          <w:color w:val="auto"/>
          <w:highlight w:val="none"/>
          <w:lang w:eastAsia="zh-CN"/>
        </w:rPr>
        <w:t>小于等于</w:t>
      </w:r>
      <w:r>
        <w:rPr>
          <w:rFonts w:hint="eastAsia"/>
          <w:color w:val="auto"/>
          <w:highlight w:val="none"/>
        </w:rPr>
        <w:t>5170元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4937元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95.5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2.292</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原因是见习生人员中途有调出、离岗，导致实际值与目标值出现偏离。</w:t>
      </w:r>
    </w:p>
    <w:p>
      <w:pPr>
        <w:ind w:firstLine="560"/>
        <w:rPr>
          <w:rFonts w:hint="default" w:eastAsia="仿宋_GB2312"/>
          <w:color w:val="auto"/>
          <w:highlight w:val="none"/>
          <w:lang w:val="en-US" w:eastAsia="zh-CN"/>
        </w:rPr>
      </w:pPr>
      <w:r>
        <w:rPr>
          <w:rFonts w:hint="eastAsia"/>
          <w:color w:val="auto"/>
          <w:highlight w:val="none"/>
        </w:rPr>
        <w:t>“平均每月办公用品、用水、用电、网络通信及委托业务费用缴纳”指标，预期指标值为</w:t>
      </w:r>
      <w:r>
        <w:rPr>
          <w:rFonts w:hint="eastAsia"/>
          <w:color w:val="auto"/>
          <w:highlight w:val="none"/>
          <w:lang w:eastAsia="zh-CN"/>
        </w:rPr>
        <w:t>小于等于</w:t>
      </w:r>
      <w:r>
        <w:rPr>
          <w:rFonts w:hint="eastAsia"/>
          <w:color w:val="auto"/>
          <w:highlight w:val="none"/>
        </w:rPr>
        <w:t>15858元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12146.3元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76.5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1.836</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原因是年初预算价格与实际支出价格有偏差。</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color w:val="auto"/>
          <w:highlight w:val="none"/>
          <w:lang w:val="en-US" w:eastAsia="zh-CN"/>
        </w:rPr>
        <w:t>4</w:t>
      </w:r>
      <w:r>
        <w:rPr>
          <w:rFonts w:hint="eastAsia"/>
          <w:color w:val="auto"/>
          <w:highlight w:val="none"/>
          <w:lang w:eastAsia="zh-CN"/>
        </w:rPr>
        <w:t>个二级指标</w:t>
      </w:r>
      <w:r>
        <w:rPr>
          <w:rFonts w:hint="eastAsia" w:ascii="仿宋_GB2312" w:cs="仿宋_GB2312"/>
          <w:color w:val="auto"/>
          <w:sz w:val="28"/>
          <w:szCs w:val="28"/>
          <w:highlight w:val="none"/>
          <w:lang w:eastAsia="zh-CN"/>
        </w:rPr>
        <w:t>和</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2"/>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rPr>
          <w:rFonts w:hint="eastAsia"/>
          <w:color w:val="auto"/>
          <w:highlight w:val="none"/>
          <w:lang w:val="en-US" w:eastAsia="zh-CN"/>
        </w:rPr>
      </w:pPr>
      <w:r>
        <w:rPr>
          <w:rFonts w:hint="eastAsia"/>
          <w:color w:val="auto"/>
          <w:highlight w:val="none"/>
          <w:lang w:val="en-US" w:eastAsia="zh-CN"/>
        </w:rPr>
        <w:t>无</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ind w:firstLine="560"/>
        <w:rPr>
          <w:rFonts w:hint="eastAsia"/>
          <w:color w:val="auto"/>
          <w:highlight w:val="none"/>
        </w:rPr>
      </w:pPr>
      <w:r>
        <w:rPr>
          <w:rFonts w:hint="eastAsia"/>
          <w:color w:val="auto"/>
          <w:highlight w:val="none"/>
        </w:rPr>
        <w:t>“提高政务服务能力和水平”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持续提升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ind w:firstLine="560"/>
        <w:rPr>
          <w:rFonts w:hint="default" w:ascii="仿宋_GB2312" w:hAnsi="仿宋_GB2312" w:cs="仿宋_GB2312"/>
          <w:color w:val="auto"/>
          <w:sz w:val="28"/>
          <w:szCs w:val="28"/>
          <w:highlight w:val="none"/>
          <w:lang w:val="en-US" w:eastAsia="zh-CN"/>
        </w:rPr>
      </w:pPr>
      <w:r>
        <w:rPr>
          <w:rFonts w:hint="eastAsia"/>
          <w:color w:val="auto"/>
          <w:highlight w:val="none"/>
        </w:rPr>
        <w:t>“增强窗口工作人员服务意识”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持续稳定</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3.生态效益指标完成情况分析</w:t>
      </w:r>
    </w:p>
    <w:p>
      <w:pPr>
        <w:rPr>
          <w:rFonts w:hint="eastAsia"/>
          <w:color w:val="auto"/>
          <w:highlight w:val="none"/>
          <w:lang w:val="en-US" w:eastAsia="zh-CN"/>
        </w:rPr>
      </w:pPr>
      <w:r>
        <w:rPr>
          <w:rFonts w:hint="eastAsia"/>
          <w:color w:val="auto"/>
          <w:highlight w:val="none"/>
          <w:lang w:val="en-US" w:eastAsia="zh-CN"/>
        </w:rPr>
        <w:t>无</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eastAsia="仿宋_GB2312" w:cs="Times New Roman"/>
          <w:b/>
          <w:bCs/>
          <w:color w:val="auto"/>
          <w:kern w:val="0"/>
          <w:sz w:val="28"/>
          <w:szCs w:val="32"/>
          <w:highlight w:val="none"/>
          <w:lang w:val="en-US" w:eastAsia="zh-CN" w:bidi="ar-SA"/>
        </w:rPr>
        <w:t>5.满意度指标完成情况分析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转变政府服务职能进一步，提高行政审批效率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持续提升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bookmarkEnd w:id="15"/>
    </w:p>
    <w:p>
      <w:pPr>
        <w:bidi w:val="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企业和群众对政务服务中心的满意度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持续稳定</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若无偏差：</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资金50万元，到位资金50万元，实际支出50万元，预算执行率为72.5%，项目绩效指标总体完成率为85.06%，项目预算执行进度与绩效指标完成进度偏差为：12.56%。</w:t>
      </w:r>
    </w:p>
    <w:p>
      <w:pPr>
        <w:pStyle w:val="3"/>
        <w:ind w:left="0" w:leftChars="0" w:firstLine="0" w:firstLineChars="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w:t>
      </w:r>
      <w:r>
        <w:rPr>
          <w:rFonts w:hint="default" w:ascii="仿宋_GB2312" w:hAnsi="仿宋_GB2312" w:eastAsia="仿宋_GB2312" w:cs="仿宋_GB2312"/>
          <w:color w:val="auto"/>
          <w:kern w:val="2"/>
          <w:sz w:val="28"/>
          <w:szCs w:val="28"/>
          <w:highlight w:val="none"/>
          <w:lang w:val="en-US" w:eastAsia="zh-CN" w:bidi="ar-SA"/>
        </w:rPr>
        <w:t>符合国家法律法规、国民经济发展规划和相关政策；</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w:t>
      </w:r>
      <w:r>
        <w:rPr>
          <w:rFonts w:hint="default" w:ascii="仿宋_GB2312" w:hAnsi="仿宋_GB2312" w:eastAsia="仿宋_GB2312" w:cs="仿宋_GB2312"/>
          <w:color w:val="auto"/>
          <w:kern w:val="2"/>
          <w:sz w:val="28"/>
          <w:szCs w:val="28"/>
          <w:highlight w:val="none"/>
          <w:lang w:val="en-US" w:eastAsia="zh-CN" w:bidi="ar-SA"/>
        </w:rPr>
        <w:t>符合</w:t>
      </w:r>
      <w:r>
        <w:rPr>
          <w:rFonts w:hint="eastAsia" w:ascii="仿宋_GB2312" w:hAnsi="仿宋_GB2312" w:cs="仿宋_GB2312"/>
          <w:color w:val="auto"/>
          <w:kern w:val="2"/>
          <w:sz w:val="28"/>
          <w:szCs w:val="28"/>
          <w:highlight w:val="none"/>
          <w:lang w:val="en-US" w:eastAsia="zh-CN" w:bidi="ar-SA"/>
        </w:rPr>
        <w:t>政务服务中心</w:t>
      </w:r>
      <w:r>
        <w:rPr>
          <w:rFonts w:hint="default" w:ascii="仿宋_GB2312" w:hAnsi="仿宋_GB2312" w:eastAsia="仿宋_GB2312" w:cs="仿宋_GB2312"/>
          <w:color w:val="auto"/>
          <w:kern w:val="2"/>
          <w:sz w:val="28"/>
          <w:szCs w:val="28"/>
          <w:highlight w:val="none"/>
          <w:lang w:val="en-US" w:eastAsia="zh-CN" w:bidi="ar-SA"/>
        </w:rPr>
        <w:t>发展规划和政策要求；</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（3）</w:t>
      </w:r>
      <w:r>
        <w:rPr>
          <w:rFonts w:hint="default" w:ascii="仿宋_GB2312" w:hAnsi="仿宋_GB2312" w:eastAsia="仿宋_GB2312" w:cs="仿宋_GB2312"/>
          <w:color w:val="auto"/>
          <w:kern w:val="2"/>
          <w:sz w:val="28"/>
          <w:szCs w:val="28"/>
          <w:highlight w:val="none"/>
          <w:lang w:val="en-US" w:eastAsia="zh-CN" w:bidi="ar-SA"/>
        </w:rPr>
        <w:t>项目立项与部门职责范围相符，属于部门履职所需；</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（4）</w:t>
      </w:r>
      <w:r>
        <w:rPr>
          <w:rFonts w:hint="default" w:ascii="仿宋_GB2312" w:hAnsi="仿宋_GB2312" w:eastAsia="仿宋_GB2312" w:cs="仿宋_GB2312"/>
          <w:color w:val="auto"/>
          <w:kern w:val="2"/>
          <w:sz w:val="28"/>
          <w:szCs w:val="28"/>
          <w:highlight w:val="none"/>
          <w:lang w:val="en-US" w:eastAsia="zh-CN" w:bidi="ar-SA"/>
        </w:rPr>
        <w:t>资金分配额度合理</w:t>
      </w:r>
      <w:r>
        <w:rPr>
          <w:rFonts w:hint="eastAsia" w:ascii="仿宋_GB2312" w:hAnsi="仿宋_GB2312" w:eastAsia="仿宋_GB2312" w:cs="仿宋_GB2312"/>
          <w:color w:val="auto"/>
          <w:kern w:val="2"/>
          <w:sz w:val="28"/>
          <w:szCs w:val="28"/>
          <w:highlight w:val="none"/>
          <w:lang w:val="en-US" w:eastAsia="zh-CN" w:bidi="ar-SA"/>
        </w:rPr>
        <w:t>；</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（5）</w:t>
      </w:r>
      <w:r>
        <w:rPr>
          <w:rFonts w:hint="default" w:ascii="仿宋_GB2312" w:hAnsi="仿宋_GB2312" w:eastAsia="仿宋_GB2312" w:cs="仿宋_GB2312"/>
          <w:color w:val="auto"/>
          <w:kern w:val="2"/>
          <w:sz w:val="28"/>
          <w:szCs w:val="28"/>
          <w:highlight w:val="none"/>
          <w:lang w:val="en-US" w:eastAsia="zh-CN" w:bidi="ar-SA"/>
        </w:rPr>
        <w:t>项目实施所产生的可持续影响达到持续优化营商环境，为企业和群众提供便捷高效服务的效益目标</w:t>
      </w:r>
      <w:r>
        <w:rPr>
          <w:rFonts w:hint="eastAsia" w:ascii="仿宋_GB2312" w:hAnsi="仿宋_GB2312" w:eastAsia="仿宋_GB2312" w:cs="仿宋_GB2312"/>
          <w:color w:val="auto"/>
          <w:kern w:val="2"/>
          <w:sz w:val="28"/>
          <w:szCs w:val="28"/>
          <w:highlight w:val="none"/>
          <w:lang w:val="en-US" w:eastAsia="zh-CN" w:bidi="ar-SA"/>
        </w:rPr>
        <w:t>；</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color w:val="auto"/>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（6）</w:t>
      </w:r>
      <w:r>
        <w:rPr>
          <w:rFonts w:hint="default" w:ascii="仿宋_GB2312" w:hAnsi="仿宋_GB2312" w:eastAsia="仿宋_GB2312" w:cs="仿宋_GB2312"/>
          <w:color w:val="auto"/>
          <w:kern w:val="2"/>
          <w:sz w:val="28"/>
          <w:szCs w:val="28"/>
          <w:highlight w:val="none"/>
          <w:lang w:val="en-US" w:eastAsia="zh-CN" w:bidi="ar-SA"/>
        </w:rPr>
        <w:t>项目实施所产生的可持续影响达到转变政府职能，政务服务效能得到进一步优化的效益目标</w:t>
      </w:r>
      <w:r>
        <w:rPr>
          <w:rFonts w:hint="eastAsia" w:ascii="仿宋_GB2312" w:hAnsi="仿宋_GB2312" w:eastAsia="仿宋_GB2312" w:cs="仿宋_GB2312"/>
          <w:color w:val="auto"/>
          <w:kern w:val="2"/>
          <w:sz w:val="28"/>
          <w:szCs w:val="28"/>
          <w:highlight w:val="none"/>
          <w:lang w:val="en-US" w:eastAsia="zh-CN" w:bidi="ar-SA"/>
        </w:rPr>
        <w:t>；</w:t>
      </w:r>
    </w:p>
    <w:bookmarkEnd w:id="16"/>
    <w:bookmarkEnd w:id="17"/>
    <w:p>
      <w:pPr>
        <w:pStyle w:val="4"/>
        <w:numPr>
          <w:ilvl w:val="0"/>
          <w:numId w:val="4"/>
        </w:numPr>
        <w:ind w:firstLine="643"/>
        <w:rPr>
          <w:color w:val="auto"/>
          <w:highlight w:val="none"/>
        </w:rPr>
      </w:pPr>
      <w:r>
        <w:rPr>
          <w:rFonts w:hint="eastAsia"/>
          <w:color w:val="auto"/>
          <w:highlight w:val="none"/>
        </w:rPr>
        <w:t>存在的问题及原因分析</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cs="仿宋_GB2312"/>
          <w:color w:val="auto"/>
          <w:kern w:val="2"/>
          <w:sz w:val="28"/>
          <w:szCs w:val="28"/>
          <w:highlight w:val="none"/>
          <w:lang w:val="en-US" w:eastAsia="zh-CN" w:bidi="ar-SA"/>
        </w:rPr>
        <w:t>（1）</w:t>
      </w:r>
      <w:r>
        <w:rPr>
          <w:rFonts w:hint="eastAsia" w:ascii="仿宋_GB2312" w:hAnsi="仿宋_GB2312" w:eastAsia="仿宋_GB2312" w:cs="仿宋_GB2312"/>
          <w:color w:val="auto"/>
          <w:kern w:val="2"/>
          <w:sz w:val="28"/>
          <w:szCs w:val="28"/>
          <w:highlight w:val="none"/>
          <w:lang w:val="en-US" w:eastAsia="zh-CN" w:bidi="ar-SA"/>
        </w:rPr>
        <w:t>财务人员的财务专业水平有待提高。</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cs="仿宋_GB2312"/>
          <w:color w:val="auto"/>
          <w:kern w:val="2"/>
          <w:sz w:val="28"/>
          <w:szCs w:val="28"/>
          <w:highlight w:val="none"/>
          <w:lang w:val="en-US" w:eastAsia="zh-CN" w:bidi="ar-SA"/>
        </w:rPr>
        <w:t>（2）</w:t>
      </w:r>
      <w:r>
        <w:rPr>
          <w:rFonts w:hint="eastAsia" w:ascii="仿宋_GB2312" w:hAnsi="仿宋_GB2312" w:eastAsia="仿宋_GB2312" w:cs="仿宋_GB2312"/>
          <w:color w:val="auto"/>
          <w:kern w:val="2"/>
          <w:sz w:val="28"/>
          <w:szCs w:val="28"/>
          <w:highlight w:val="none"/>
          <w:lang w:val="en-US" w:eastAsia="zh-CN" w:bidi="ar-SA"/>
        </w:rPr>
        <w:t>开展绩效的评估工作具体实施有待进一步加强。</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ascii="仿宋_GB2312" w:hAnsi="仿宋_GB2312" w:eastAsia="仿宋_GB2312" w:cs="仿宋_GB2312"/>
          <w:color w:val="auto"/>
          <w:kern w:val="2"/>
          <w:sz w:val="28"/>
          <w:szCs w:val="28"/>
          <w:highlight w:val="none"/>
          <w:lang w:val="en-US" w:eastAsia="zh-CN" w:bidi="ar-SA"/>
        </w:rPr>
        <w:t>（3）资产预算管理、项目管理有待提高。</w:t>
      </w:r>
    </w:p>
    <w:p>
      <w:pPr>
        <w:pStyle w:val="3"/>
        <w:ind w:firstLine="640"/>
        <w:rPr>
          <w:rFonts w:hint="eastAsia"/>
          <w:color w:val="auto"/>
          <w:highlight w:val="none"/>
          <w:lang w:eastAsia="zh-CN"/>
        </w:rPr>
      </w:pPr>
      <w:r>
        <w:rPr>
          <w:rFonts w:hint="eastAsia"/>
          <w:color w:val="auto"/>
          <w:highlight w:val="none"/>
          <w:lang w:eastAsia="zh-CN"/>
        </w:rPr>
        <w:t>七</w:t>
      </w:r>
      <w:r>
        <w:rPr>
          <w:rFonts w:hint="eastAsia"/>
          <w:color w:val="auto"/>
          <w:highlight w:val="none"/>
        </w:rPr>
        <w:t>、有关建议</w:t>
      </w:r>
    </w:p>
    <w:p>
      <w:pPr>
        <w:bidi w:val="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w:t>
      </w:r>
      <w:r>
        <w:rPr>
          <w:rFonts w:hint="eastAsia" w:ascii="仿宋_GB2312" w:hAnsi="仿宋_GB2312" w:cs="仿宋_GB2312"/>
          <w:color w:val="auto"/>
          <w:kern w:val="2"/>
          <w:sz w:val="28"/>
          <w:szCs w:val="28"/>
          <w:highlight w:val="none"/>
          <w:lang w:val="en-US" w:eastAsia="zh-CN" w:bidi="ar-SA"/>
        </w:rPr>
        <w:t>1</w:t>
      </w:r>
      <w:r>
        <w:rPr>
          <w:rFonts w:hint="eastAsia" w:ascii="仿宋_GB2312" w:hAnsi="仿宋_GB2312" w:eastAsia="仿宋_GB2312" w:cs="仿宋_GB2312"/>
          <w:color w:val="auto"/>
          <w:kern w:val="2"/>
          <w:sz w:val="28"/>
          <w:szCs w:val="28"/>
          <w:highlight w:val="none"/>
          <w:lang w:val="en-US" w:eastAsia="zh-CN" w:bidi="ar-SA"/>
        </w:rPr>
        <w:t>）加强财务工作人员培训力度，加强人员培训。加强对预算绩效管理工作人员培训，提高财务工作人员的专业能力和水平，提高精细化管理水平，推动绩效工作全面发展。</w:t>
      </w:r>
    </w:p>
    <w:p>
      <w:pPr>
        <w:bidi w:val="0"/>
        <w:ind w:left="0" w:leftChars="0"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w:t>
      </w:r>
      <w:r>
        <w:rPr>
          <w:rFonts w:hint="eastAsia" w:ascii="仿宋_GB2312" w:hAnsi="仿宋_GB2312" w:cs="仿宋_GB2312"/>
          <w:color w:val="auto"/>
          <w:kern w:val="2"/>
          <w:sz w:val="28"/>
          <w:szCs w:val="28"/>
          <w:highlight w:val="none"/>
          <w:lang w:val="en-US" w:eastAsia="zh-CN" w:bidi="ar-SA"/>
        </w:rPr>
        <w:t>2</w:t>
      </w:r>
      <w:r>
        <w:rPr>
          <w:rFonts w:hint="eastAsia" w:ascii="仿宋_GB2312" w:hAnsi="仿宋_GB2312" w:eastAsia="仿宋_GB2312" w:cs="仿宋_GB2312"/>
          <w:color w:val="auto"/>
          <w:kern w:val="2"/>
          <w:sz w:val="28"/>
          <w:szCs w:val="28"/>
          <w:highlight w:val="none"/>
          <w:lang w:val="en-US" w:eastAsia="zh-CN" w:bidi="ar-SA"/>
        </w:rPr>
        <w:t>）加强业务指导。进一步加强绩效评价目标的制定、整体绩效监控、整体绩效自评的指导力度。</w:t>
      </w:r>
    </w:p>
    <w:p>
      <w:pPr>
        <w:bidi w:val="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cs="仿宋_GB2312"/>
          <w:color w:val="auto"/>
          <w:kern w:val="2"/>
          <w:sz w:val="28"/>
          <w:szCs w:val="28"/>
          <w:highlight w:val="none"/>
          <w:lang w:val="en-US" w:eastAsia="zh-CN" w:bidi="ar-SA"/>
        </w:rPr>
        <w:t>（3）</w:t>
      </w:r>
      <w:r>
        <w:rPr>
          <w:rFonts w:hint="eastAsia" w:ascii="仿宋_GB2312" w:hAnsi="仿宋_GB2312" w:eastAsia="仿宋_GB2312" w:cs="仿宋_GB2312"/>
          <w:color w:val="auto"/>
          <w:kern w:val="2"/>
          <w:sz w:val="28"/>
          <w:szCs w:val="28"/>
          <w:highlight w:val="none"/>
          <w:lang w:val="en-US" w:eastAsia="zh-CN" w:bidi="ar-SA"/>
        </w:rPr>
        <w:t>加强资产管理、预算管理学习，定期组织培训指导，同时根据工作实际和出现的问题不断完善内部控制制度，确保部门预算及相关制度有效执行。</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rFonts w:hint="default"/>
          <w:color w:val="auto"/>
          <w:highlight w:val="none"/>
          <w:lang w:val="en-US" w:eastAsia="zh-CN"/>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color w:val="auto"/>
          <w:highlight w:val="none"/>
        </w:rPr>
      </w:pPr>
    </w:p>
    <w:sectPr>
      <w:headerReference r:id="rId9" w:type="default"/>
      <w:footerReference r:id="rId10"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2081E1"/>
    <w:multiLevelType w:val="singleLevel"/>
    <w:tmpl w:val="B42081E1"/>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xZDg5MDBjYjAwYmI5MDkzMjQ2MjQxY2FkMzBlYzIifQ=="/>
  </w:docVars>
  <w:rsids>
    <w:rsidRoot w:val="00000000"/>
    <w:rsid w:val="00247343"/>
    <w:rsid w:val="002537B3"/>
    <w:rsid w:val="00337586"/>
    <w:rsid w:val="00B2173D"/>
    <w:rsid w:val="00D26D9F"/>
    <w:rsid w:val="00FC6BEE"/>
    <w:rsid w:val="01973B44"/>
    <w:rsid w:val="01C25065"/>
    <w:rsid w:val="01DA23AF"/>
    <w:rsid w:val="01F3521E"/>
    <w:rsid w:val="02344079"/>
    <w:rsid w:val="027F6AB2"/>
    <w:rsid w:val="02B726F0"/>
    <w:rsid w:val="0313544C"/>
    <w:rsid w:val="03393105"/>
    <w:rsid w:val="034321D6"/>
    <w:rsid w:val="03653EFA"/>
    <w:rsid w:val="03A34A22"/>
    <w:rsid w:val="03C74BB5"/>
    <w:rsid w:val="03E272F9"/>
    <w:rsid w:val="03FB660C"/>
    <w:rsid w:val="040E6340"/>
    <w:rsid w:val="043B10FF"/>
    <w:rsid w:val="04545D1C"/>
    <w:rsid w:val="0458529A"/>
    <w:rsid w:val="0466617C"/>
    <w:rsid w:val="04702B56"/>
    <w:rsid w:val="04DC643E"/>
    <w:rsid w:val="04E6106A"/>
    <w:rsid w:val="04F27A0F"/>
    <w:rsid w:val="051200B1"/>
    <w:rsid w:val="05137986"/>
    <w:rsid w:val="052120A3"/>
    <w:rsid w:val="05544226"/>
    <w:rsid w:val="05663F59"/>
    <w:rsid w:val="056D52E8"/>
    <w:rsid w:val="057F6DC9"/>
    <w:rsid w:val="05962A91"/>
    <w:rsid w:val="05A827C4"/>
    <w:rsid w:val="05AB5E10"/>
    <w:rsid w:val="05B2719F"/>
    <w:rsid w:val="05C7351F"/>
    <w:rsid w:val="060A6FDB"/>
    <w:rsid w:val="060B7A3B"/>
    <w:rsid w:val="060C2D53"/>
    <w:rsid w:val="0659586C"/>
    <w:rsid w:val="06DD649D"/>
    <w:rsid w:val="07433680"/>
    <w:rsid w:val="07651618"/>
    <w:rsid w:val="077010BF"/>
    <w:rsid w:val="07BC2556"/>
    <w:rsid w:val="07E96D56"/>
    <w:rsid w:val="07FE25A7"/>
    <w:rsid w:val="080F6B2A"/>
    <w:rsid w:val="086A5B0F"/>
    <w:rsid w:val="087370B9"/>
    <w:rsid w:val="087921F6"/>
    <w:rsid w:val="087D5842"/>
    <w:rsid w:val="08DA2C94"/>
    <w:rsid w:val="091A7535"/>
    <w:rsid w:val="091D7025"/>
    <w:rsid w:val="09371DA7"/>
    <w:rsid w:val="097A4477"/>
    <w:rsid w:val="09ED2377"/>
    <w:rsid w:val="09F02651"/>
    <w:rsid w:val="09F9539C"/>
    <w:rsid w:val="09FE6E56"/>
    <w:rsid w:val="0A2148F3"/>
    <w:rsid w:val="0A5B0872"/>
    <w:rsid w:val="0A7D7D7B"/>
    <w:rsid w:val="0AD83203"/>
    <w:rsid w:val="0B224DC6"/>
    <w:rsid w:val="0B3B3792"/>
    <w:rsid w:val="0BA650B0"/>
    <w:rsid w:val="0BEF4CA9"/>
    <w:rsid w:val="0BF74EEC"/>
    <w:rsid w:val="0C3C77C2"/>
    <w:rsid w:val="0C692CAD"/>
    <w:rsid w:val="0C851169"/>
    <w:rsid w:val="0C937D2A"/>
    <w:rsid w:val="0CFE2CC9"/>
    <w:rsid w:val="0D06122F"/>
    <w:rsid w:val="0D0B3D64"/>
    <w:rsid w:val="0D152494"/>
    <w:rsid w:val="0D5D5C42"/>
    <w:rsid w:val="0DA25D4B"/>
    <w:rsid w:val="0DDA1988"/>
    <w:rsid w:val="0E214EC1"/>
    <w:rsid w:val="0E2826F4"/>
    <w:rsid w:val="0E545297"/>
    <w:rsid w:val="0ED2440E"/>
    <w:rsid w:val="0F4009C6"/>
    <w:rsid w:val="0F7B4AA5"/>
    <w:rsid w:val="0F87344A"/>
    <w:rsid w:val="0F9B75C7"/>
    <w:rsid w:val="0FCE0CDD"/>
    <w:rsid w:val="0FDA17CC"/>
    <w:rsid w:val="0FFE370C"/>
    <w:rsid w:val="102B2027"/>
    <w:rsid w:val="105C5AA0"/>
    <w:rsid w:val="106D2640"/>
    <w:rsid w:val="107240FA"/>
    <w:rsid w:val="10EA3C90"/>
    <w:rsid w:val="1133042F"/>
    <w:rsid w:val="11531836"/>
    <w:rsid w:val="115D52BA"/>
    <w:rsid w:val="11613351"/>
    <w:rsid w:val="118F18B9"/>
    <w:rsid w:val="12374CB3"/>
    <w:rsid w:val="12CC73A0"/>
    <w:rsid w:val="12D746E8"/>
    <w:rsid w:val="130D0B14"/>
    <w:rsid w:val="131274CE"/>
    <w:rsid w:val="131C20FB"/>
    <w:rsid w:val="13370CE3"/>
    <w:rsid w:val="134A310C"/>
    <w:rsid w:val="137F2DB6"/>
    <w:rsid w:val="139573DA"/>
    <w:rsid w:val="1399016C"/>
    <w:rsid w:val="13FA243C"/>
    <w:rsid w:val="144C07BE"/>
    <w:rsid w:val="145002AE"/>
    <w:rsid w:val="14730BD5"/>
    <w:rsid w:val="14940620"/>
    <w:rsid w:val="14B05B25"/>
    <w:rsid w:val="14B7032D"/>
    <w:rsid w:val="14DC7D94"/>
    <w:rsid w:val="14DE58BA"/>
    <w:rsid w:val="14E62C23"/>
    <w:rsid w:val="15003A82"/>
    <w:rsid w:val="15051099"/>
    <w:rsid w:val="150B4A59"/>
    <w:rsid w:val="15127C5A"/>
    <w:rsid w:val="154047C7"/>
    <w:rsid w:val="154716B1"/>
    <w:rsid w:val="15475B55"/>
    <w:rsid w:val="15567B46"/>
    <w:rsid w:val="16026A2A"/>
    <w:rsid w:val="16331C36"/>
    <w:rsid w:val="163836F0"/>
    <w:rsid w:val="164F6FA2"/>
    <w:rsid w:val="168B3820"/>
    <w:rsid w:val="16985592"/>
    <w:rsid w:val="16C055C6"/>
    <w:rsid w:val="16C62AAA"/>
    <w:rsid w:val="1700420E"/>
    <w:rsid w:val="17177A7C"/>
    <w:rsid w:val="171B387F"/>
    <w:rsid w:val="173D173B"/>
    <w:rsid w:val="17710C68"/>
    <w:rsid w:val="17773DA4"/>
    <w:rsid w:val="177B3894"/>
    <w:rsid w:val="178169D1"/>
    <w:rsid w:val="17B35DB7"/>
    <w:rsid w:val="17B40B34"/>
    <w:rsid w:val="183D7A6C"/>
    <w:rsid w:val="185145F5"/>
    <w:rsid w:val="18822A00"/>
    <w:rsid w:val="18860743"/>
    <w:rsid w:val="18DA6497"/>
    <w:rsid w:val="190855FC"/>
    <w:rsid w:val="190D49C0"/>
    <w:rsid w:val="193208CA"/>
    <w:rsid w:val="193B777F"/>
    <w:rsid w:val="19921062"/>
    <w:rsid w:val="19BD354E"/>
    <w:rsid w:val="1A3E3E4D"/>
    <w:rsid w:val="1A69788E"/>
    <w:rsid w:val="1A747573"/>
    <w:rsid w:val="1A9829AF"/>
    <w:rsid w:val="1AEE25CF"/>
    <w:rsid w:val="1B03607B"/>
    <w:rsid w:val="1B367857"/>
    <w:rsid w:val="1B762CF0"/>
    <w:rsid w:val="1BBB4BA7"/>
    <w:rsid w:val="1C170867"/>
    <w:rsid w:val="1C1F1C4E"/>
    <w:rsid w:val="1C406A69"/>
    <w:rsid w:val="1C427076"/>
    <w:rsid w:val="1C76287C"/>
    <w:rsid w:val="1C84035C"/>
    <w:rsid w:val="1CFD4D4B"/>
    <w:rsid w:val="1D083E1C"/>
    <w:rsid w:val="1D3A1AFC"/>
    <w:rsid w:val="1D7B0631"/>
    <w:rsid w:val="1DF0665E"/>
    <w:rsid w:val="1ED41ADC"/>
    <w:rsid w:val="1EF46602"/>
    <w:rsid w:val="1F5F1CED"/>
    <w:rsid w:val="1F7F7C9A"/>
    <w:rsid w:val="1FAF0CF5"/>
    <w:rsid w:val="1FD55B0C"/>
    <w:rsid w:val="1FF24910"/>
    <w:rsid w:val="20474C5B"/>
    <w:rsid w:val="20612D67"/>
    <w:rsid w:val="2061413D"/>
    <w:rsid w:val="20686980"/>
    <w:rsid w:val="206C021E"/>
    <w:rsid w:val="206C6470"/>
    <w:rsid w:val="208C5A94"/>
    <w:rsid w:val="20B35E4D"/>
    <w:rsid w:val="20DD736E"/>
    <w:rsid w:val="2114265C"/>
    <w:rsid w:val="215F4227"/>
    <w:rsid w:val="21BA76AF"/>
    <w:rsid w:val="220628F4"/>
    <w:rsid w:val="225241A2"/>
    <w:rsid w:val="228201CD"/>
    <w:rsid w:val="2297354C"/>
    <w:rsid w:val="22BC5584"/>
    <w:rsid w:val="22C75BE0"/>
    <w:rsid w:val="22D403B3"/>
    <w:rsid w:val="231221FE"/>
    <w:rsid w:val="239913B5"/>
    <w:rsid w:val="23D22A8E"/>
    <w:rsid w:val="23DA7B95"/>
    <w:rsid w:val="23FC5D5D"/>
    <w:rsid w:val="240B2444"/>
    <w:rsid w:val="24704055"/>
    <w:rsid w:val="24AF4AA1"/>
    <w:rsid w:val="2560231B"/>
    <w:rsid w:val="25A95A70"/>
    <w:rsid w:val="25F807A6"/>
    <w:rsid w:val="25FC2044"/>
    <w:rsid w:val="262E41C8"/>
    <w:rsid w:val="265708EF"/>
    <w:rsid w:val="26F40F6D"/>
    <w:rsid w:val="27084A19"/>
    <w:rsid w:val="271635D9"/>
    <w:rsid w:val="27212159"/>
    <w:rsid w:val="274F0899"/>
    <w:rsid w:val="275814FC"/>
    <w:rsid w:val="27B74D47"/>
    <w:rsid w:val="28754330"/>
    <w:rsid w:val="28893937"/>
    <w:rsid w:val="28A94B47"/>
    <w:rsid w:val="28CC03F4"/>
    <w:rsid w:val="28F9286B"/>
    <w:rsid w:val="290E2635"/>
    <w:rsid w:val="298760C9"/>
    <w:rsid w:val="29B03871"/>
    <w:rsid w:val="29E654E5"/>
    <w:rsid w:val="29EB48A9"/>
    <w:rsid w:val="29F86518"/>
    <w:rsid w:val="2A7423E6"/>
    <w:rsid w:val="2A7C3754"/>
    <w:rsid w:val="2AD0584D"/>
    <w:rsid w:val="2B7F69F3"/>
    <w:rsid w:val="2B8054C5"/>
    <w:rsid w:val="2B8A00F2"/>
    <w:rsid w:val="2BC86CFF"/>
    <w:rsid w:val="2BFE6050"/>
    <w:rsid w:val="2BFF463C"/>
    <w:rsid w:val="2C054667"/>
    <w:rsid w:val="2C0E2AD1"/>
    <w:rsid w:val="2C161986"/>
    <w:rsid w:val="2C293467"/>
    <w:rsid w:val="2C503F74"/>
    <w:rsid w:val="2C7F752B"/>
    <w:rsid w:val="2CFB2923"/>
    <w:rsid w:val="2D1E0AF2"/>
    <w:rsid w:val="2D8748E9"/>
    <w:rsid w:val="2D9467C9"/>
    <w:rsid w:val="2DF301D1"/>
    <w:rsid w:val="2DF9330D"/>
    <w:rsid w:val="2E4055EF"/>
    <w:rsid w:val="2E976DAE"/>
    <w:rsid w:val="2E9C5F45"/>
    <w:rsid w:val="2EA339A5"/>
    <w:rsid w:val="2F2D7712"/>
    <w:rsid w:val="2F9D2B03"/>
    <w:rsid w:val="2FC11C09"/>
    <w:rsid w:val="305667F5"/>
    <w:rsid w:val="305B205D"/>
    <w:rsid w:val="306141D7"/>
    <w:rsid w:val="306B6744"/>
    <w:rsid w:val="307325D9"/>
    <w:rsid w:val="30A94BDE"/>
    <w:rsid w:val="311346E6"/>
    <w:rsid w:val="31181CFC"/>
    <w:rsid w:val="311956BC"/>
    <w:rsid w:val="31295CB7"/>
    <w:rsid w:val="31336B36"/>
    <w:rsid w:val="313A7EC4"/>
    <w:rsid w:val="31BD0959"/>
    <w:rsid w:val="32081D71"/>
    <w:rsid w:val="32214C3B"/>
    <w:rsid w:val="326351F9"/>
    <w:rsid w:val="32674CE9"/>
    <w:rsid w:val="32891103"/>
    <w:rsid w:val="32AC6BA0"/>
    <w:rsid w:val="32AF043E"/>
    <w:rsid w:val="32BD2B5B"/>
    <w:rsid w:val="32C91500"/>
    <w:rsid w:val="32FD73FC"/>
    <w:rsid w:val="33102949"/>
    <w:rsid w:val="33792F26"/>
    <w:rsid w:val="33A53D1B"/>
    <w:rsid w:val="34126ED7"/>
    <w:rsid w:val="34264730"/>
    <w:rsid w:val="345D2848"/>
    <w:rsid w:val="34F36CD6"/>
    <w:rsid w:val="35226751"/>
    <w:rsid w:val="35411630"/>
    <w:rsid w:val="35415CC5"/>
    <w:rsid w:val="35576F32"/>
    <w:rsid w:val="35BA15D4"/>
    <w:rsid w:val="35C1169B"/>
    <w:rsid w:val="36010FB1"/>
    <w:rsid w:val="36260A17"/>
    <w:rsid w:val="362B4280"/>
    <w:rsid w:val="362F3A74"/>
    <w:rsid w:val="366D5927"/>
    <w:rsid w:val="368635FB"/>
    <w:rsid w:val="368A369C"/>
    <w:rsid w:val="36A966C9"/>
    <w:rsid w:val="36B24676"/>
    <w:rsid w:val="3724764D"/>
    <w:rsid w:val="37377380"/>
    <w:rsid w:val="37465815"/>
    <w:rsid w:val="37677539"/>
    <w:rsid w:val="379D2F5B"/>
    <w:rsid w:val="37A91900"/>
    <w:rsid w:val="37B74526"/>
    <w:rsid w:val="37C52BDE"/>
    <w:rsid w:val="37CB1876"/>
    <w:rsid w:val="37FC4126"/>
    <w:rsid w:val="38353194"/>
    <w:rsid w:val="38452C43"/>
    <w:rsid w:val="38A8605B"/>
    <w:rsid w:val="38D30D48"/>
    <w:rsid w:val="38EF77E6"/>
    <w:rsid w:val="39292CF8"/>
    <w:rsid w:val="39330366"/>
    <w:rsid w:val="39783C80"/>
    <w:rsid w:val="398B456D"/>
    <w:rsid w:val="39AC1B82"/>
    <w:rsid w:val="3A03179B"/>
    <w:rsid w:val="3A443B62"/>
    <w:rsid w:val="3A7461F5"/>
    <w:rsid w:val="3AB605BC"/>
    <w:rsid w:val="3AC151B3"/>
    <w:rsid w:val="3AE3337B"/>
    <w:rsid w:val="3B1A3241"/>
    <w:rsid w:val="3B1B7C84"/>
    <w:rsid w:val="3B2938B7"/>
    <w:rsid w:val="3B2A0FAA"/>
    <w:rsid w:val="3B6B264B"/>
    <w:rsid w:val="3B7D732B"/>
    <w:rsid w:val="3C08753D"/>
    <w:rsid w:val="3C3F5B21"/>
    <w:rsid w:val="3C44609B"/>
    <w:rsid w:val="3C8C1F1C"/>
    <w:rsid w:val="3CD72A6B"/>
    <w:rsid w:val="3CF83D78"/>
    <w:rsid w:val="3D7E738B"/>
    <w:rsid w:val="3D934BE4"/>
    <w:rsid w:val="3DC91787"/>
    <w:rsid w:val="3E104487"/>
    <w:rsid w:val="3E3A59A8"/>
    <w:rsid w:val="3E4D49D4"/>
    <w:rsid w:val="3E894239"/>
    <w:rsid w:val="3EB56DDC"/>
    <w:rsid w:val="3EDA1A7B"/>
    <w:rsid w:val="3EDF3D20"/>
    <w:rsid w:val="3F067638"/>
    <w:rsid w:val="3F870779"/>
    <w:rsid w:val="3FD80FD4"/>
    <w:rsid w:val="3FD87226"/>
    <w:rsid w:val="3FF3471D"/>
    <w:rsid w:val="40084348"/>
    <w:rsid w:val="403C5A07"/>
    <w:rsid w:val="407E39C4"/>
    <w:rsid w:val="40835C97"/>
    <w:rsid w:val="409C0254"/>
    <w:rsid w:val="40E13EB9"/>
    <w:rsid w:val="41207ADD"/>
    <w:rsid w:val="4125649B"/>
    <w:rsid w:val="413422D5"/>
    <w:rsid w:val="41465BDD"/>
    <w:rsid w:val="419158DF"/>
    <w:rsid w:val="41D35EF7"/>
    <w:rsid w:val="41DF489C"/>
    <w:rsid w:val="420460B1"/>
    <w:rsid w:val="42291FBB"/>
    <w:rsid w:val="423B3A9C"/>
    <w:rsid w:val="42415484"/>
    <w:rsid w:val="42984A4B"/>
    <w:rsid w:val="429A4C67"/>
    <w:rsid w:val="42AA3407"/>
    <w:rsid w:val="42BA2C13"/>
    <w:rsid w:val="43252782"/>
    <w:rsid w:val="432667E5"/>
    <w:rsid w:val="434626F9"/>
    <w:rsid w:val="43CC2BFE"/>
    <w:rsid w:val="43E837B0"/>
    <w:rsid w:val="44101018"/>
    <w:rsid w:val="442B68C5"/>
    <w:rsid w:val="44564BBE"/>
    <w:rsid w:val="44E623E5"/>
    <w:rsid w:val="44F52628"/>
    <w:rsid w:val="45154EF5"/>
    <w:rsid w:val="45763769"/>
    <w:rsid w:val="45EF09D6"/>
    <w:rsid w:val="45F75F2C"/>
    <w:rsid w:val="46357180"/>
    <w:rsid w:val="46500354"/>
    <w:rsid w:val="467632F5"/>
    <w:rsid w:val="469D2F78"/>
    <w:rsid w:val="46F661E4"/>
    <w:rsid w:val="47240FA3"/>
    <w:rsid w:val="473D0A63"/>
    <w:rsid w:val="474D674C"/>
    <w:rsid w:val="47AB4110"/>
    <w:rsid w:val="47ED75E7"/>
    <w:rsid w:val="48427933"/>
    <w:rsid w:val="488B752C"/>
    <w:rsid w:val="489B34E7"/>
    <w:rsid w:val="4916491B"/>
    <w:rsid w:val="493059DD"/>
    <w:rsid w:val="49AD34D2"/>
    <w:rsid w:val="49CB3958"/>
    <w:rsid w:val="49F53BC8"/>
    <w:rsid w:val="4A05330E"/>
    <w:rsid w:val="4A0A0924"/>
    <w:rsid w:val="4A0B1FA6"/>
    <w:rsid w:val="4A8835F7"/>
    <w:rsid w:val="4A9B332A"/>
    <w:rsid w:val="4B271062"/>
    <w:rsid w:val="4B296B88"/>
    <w:rsid w:val="4B571947"/>
    <w:rsid w:val="4B700C5B"/>
    <w:rsid w:val="4B810772"/>
    <w:rsid w:val="4BEB208F"/>
    <w:rsid w:val="4C003D8D"/>
    <w:rsid w:val="4C050235"/>
    <w:rsid w:val="4C0C4087"/>
    <w:rsid w:val="4C321AAD"/>
    <w:rsid w:val="4CCE3E8B"/>
    <w:rsid w:val="4CEA2347"/>
    <w:rsid w:val="4D2770F7"/>
    <w:rsid w:val="4D2E0486"/>
    <w:rsid w:val="4D422AA3"/>
    <w:rsid w:val="4D5123C6"/>
    <w:rsid w:val="4D5F2D35"/>
    <w:rsid w:val="4D6646B1"/>
    <w:rsid w:val="4D8409ED"/>
    <w:rsid w:val="4D8B1D7C"/>
    <w:rsid w:val="4D8E361A"/>
    <w:rsid w:val="4DB72B71"/>
    <w:rsid w:val="4DD70B1D"/>
    <w:rsid w:val="4DED4962"/>
    <w:rsid w:val="4E197388"/>
    <w:rsid w:val="4E257ADB"/>
    <w:rsid w:val="4E276707"/>
    <w:rsid w:val="4E5263F6"/>
    <w:rsid w:val="4E6A24DF"/>
    <w:rsid w:val="4E946A0E"/>
    <w:rsid w:val="4EB26E94"/>
    <w:rsid w:val="4EE532FF"/>
    <w:rsid w:val="4EFB1773"/>
    <w:rsid w:val="4F6C1739"/>
    <w:rsid w:val="4F7A0CA9"/>
    <w:rsid w:val="4FA7451F"/>
    <w:rsid w:val="4FD5108C"/>
    <w:rsid w:val="4FE17A31"/>
    <w:rsid w:val="4FE26C6A"/>
    <w:rsid w:val="4FFA6D45"/>
    <w:rsid w:val="502B6EFE"/>
    <w:rsid w:val="506A5C79"/>
    <w:rsid w:val="50A4646B"/>
    <w:rsid w:val="51452242"/>
    <w:rsid w:val="51526D24"/>
    <w:rsid w:val="51581F75"/>
    <w:rsid w:val="515F1555"/>
    <w:rsid w:val="516B0F6F"/>
    <w:rsid w:val="51A96C75"/>
    <w:rsid w:val="51B83E65"/>
    <w:rsid w:val="51CC4711"/>
    <w:rsid w:val="51DC4954"/>
    <w:rsid w:val="521A3BA7"/>
    <w:rsid w:val="52614E59"/>
    <w:rsid w:val="52AC21E4"/>
    <w:rsid w:val="52DB4C0C"/>
    <w:rsid w:val="52DC2732"/>
    <w:rsid w:val="52E53CDC"/>
    <w:rsid w:val="52F0398A"/>
    <w:rsid w:val="537868FE"/>
    <w:rsid w:val="538232D9"/>
    <w:rsid w:val="53DD0E57"/>
    <w:rsid w:val="54501227"/>
    <w:rsid w:val="545C3B2A"/>
    <w:rsid w:val="545F186C"/>
    <w:rsid w:val="54A92AE8"/>
    <w:rsid w:val="54C872D9"/>
    <w:rsid w:val="54F40207"/>
    <w:rsid w:val="55067F3A"/>
    <w:rsid w:val="5579070C"/>
    <w:rsid w:val="55F3226C"/>
    <w:rsid w:val="56501B9C"/>
    <w:rsid w:val="56597E9B"/>
    <w:rsid w:val="56C87B9D"/>
    <w:rsid w:val="56DF0A43"/>
    <w:rsid w:val="571132F2"/>
    <w:rsid w:val="5731496E"/>
    <w:rsid w:val="574470E8"/>
    <w:rsid w:val="57560D05"/>
    <w:rsid w:val="57794F9D"/>
    <w:rsid w:val="57EA58F1"/>
    <w:rsid w:val="58450D79"/>
    <w:rsid w:val="584A4584"/>
    <w:rsid w:val="585F1E3B"/>
    <w:rsid w:val="588875E4"/>
    <w:rsid w:val="589E5122"/>
    <w:rsid w:val="58FE0F2F"/>
    <w:rsid w:val="5915699E"/>
    <w:rsid w:val="59162550"/>
    <w:rsid w:val="5921092A"/>
    <w:rsid w:val="59545718"/>
    <w:rsid w:val="59747B68"/>
    <w:rsid w:val="5980650D"/>
    <w:rsid w:val="598F49A2"/>
    <w:rsid w:val="59B77A55"/>
    <w:rsid w:val="59BD150F"/>
    <w:rsid w:val="59C7413C"/>
    <w:rsid w:val="5A64198B"/>
    <w:rsid w:val="5AC97A40"/>
    <w:rsid w:val="5ADF1011"/>
    <w:rsid w:val="5B215CFA"/>
    <w:rsid w:val="5B423835"/>
    <w:rsid w:val="5BA81D4B"/>
    <w:rsid w:val="5BBA55DA"/>
    <w:rsid w:val="5BED775E"/>
    <w:rsid w:val="5BF705DC"/>
    <w:rsid w:val="5C013209"/>
    <w:rsid w:val="5C060781"/>
    <w:rsid w:val="5C2238AB"/>
    <w:rsid w:val="5C401F83"/>
    <w:rsid w:val="5C4E068B"/>
    <w:rsid w:val="5C891B7C"/>
    <w:rsid w:val="5CAB38A1"/>
    <w:rsid w:val="5CF3349A"/>
    <w:rsid w:val="5D1C654D"/>
    <w:rsid w:val="5D62052E"/>
    <w:rsid w:val="5D7719D5"/>
    <w:rsid w:val="5D7D3410"/>
    <w:rsid w:val="5DB055F5"/>
    <w:rsid w:val="5DB06C95"/>
    <w:rsid w:val="5DCB1D21"/>
    <w:rsid w:val="5E08087F"/>
    <w:rsid w:val="5E441B2F"/>
    <w:rsid w:val="5E7F4FE5"/>
    <w:rsid w:val="5E8303FB"/>
    <w:rsid w:val="5E9B5B97"/>
    <w:rsid w:val="5EA70098"/>
    <w:rsid w:val="5EA762EA"/>
    <w:rsid w:val="5EF30A98"/>
    <w:rsid w:val="5F056D04"/>
    <w:rsid w:val="5F3B6A32"/>
    <w:rsid w:val="5FA10F8B"/>
    <w:rsid w:val="5FBF3998"/>
    <w:rsid w:val="605F6BB0"/>
    <w:rsid w:val="60911000"/>
    <w:rsid w:val="60B44CEE"/>
    <w:rsid w:val="60BF3DBF"/>
    <w:rsid w:val="60F63558"/>
    <w:rsid w:val="60F71F48"/>
    <w:rsid w:val="61093E00"/>
    <w:rsid w:val="61BD7BD2"/>
    <w:rsid w:val="61FB73CE"/>
    <w:rsid w:val="61FC23A7"/>
    <w:rsid w:val="62677822"/>
    <w:rsid w:val="628250A4"/>
    <w:rsid w:val="6299216A"/>
    <w:rsid w:val="62A72D5C"/>
    <w:rsid w:val="62BF00A6"/>
    <w:rsid w:val="62FD1102"/>
    <w:rsid w:val="63273E9D"/>
    <w:rsid w:val="63927568"/>
    <w:rsid w:val="63A6642A"/>
    <w:rsid w:val="63D12AA9"/>
    <w:rsid w:val="63EE0517"/>
    <w:rsid w:val="6401649C"/>
    <w:rsid w:val="640B731B"/>
    <w:rsid w:val="642C1FC6"/>
    <w:rsid w:val="64661F6C"/>
    <w:rsid w:val="64884DA4"/>
    <w:rsid w:val="651346D9"/>
    <w:rsid w:val="65160F38"/>
    <w:rsid w:val="652A37D1"/>
    <w:rsid w:val="65387C9C"/>
    <w:rsid w:val="65B70A4B"/>
    <w:rsid w:val="65DF6369"/>
    <w:rsid w:val="663F14FE"/>
    <w:rsid w:val="66432D9C"/>
    <w:rsid w:val="66976C44"/>
    <w:rsid w:val="66CF44D7"/>
    <w:rsid w:val="66DB1226"/>
    <w:rsid w:val="66E14363"/>
    <w:rsid w:val="66EF350F"/>
    <w:rsid w:val="671456E2"/>
    <w:rsid w:val="67430B7A"/>
    <w:rsid w:val="674F1B70"/>
    <w:rsid w:val="677C577A"/>
    <w:rsid w:val="67A07D7A"/>
    <w:rsid w:val="67A81366"/>
    <w:rsid w:val="67EA22EF"/>
    <w:rsid w:val="67F87BB6"/>
    <w:rsid w:val="68214B4B"/>
    <w:rsid w:val="68324E76"/>
    <w:rsid w:val="686139AD"/>
    <w:rsid w:val="68786269"/>
    <w:rsid w:val="68815DFE"/>
    <w:rsid w:val="68906041"/>
    <w:rsid w:val="68D34FF3"/>
    <w:rsid w:val="69DF4B8A"/>
    <w:rsid w:val="6A072332"/>
    <w:rsid w:val="6A0C16F7"/>
    <w:rsid w:val="6A287F98"/>
    <w:rsid w:val="6A8B6AC0"/>
    <w:rsid w:val="6ABB69B0"/>
    <w:rsid w:val="6AEB57B0"/>
    <w:rsid w:val="6AF01018"/>
    <w:rsid w:val="6B036F9E"/>
    <w:rsid w:val="6B2817F1"/>
    <w:rsid w:val="6B87197D"/>
    <w:rsid w:val="6B9A74A1"/>
    <w:rsid w:val="6BB32F83"/>
    <w:rsid w:val="6BCF0C2E"/>
    <w:rsid w:val="6C172D01"/>
    <w:rsid w:val="6C3A079D"/>
    <w:rsid w:val="6C403A34"/>
    <w:rsid w:val="6C44786E"/>
    <w:rsid w:val="6C9003BD"/>
    <w:rsid w:val="6CD26C28"/>
    <w:rsid w:val="6D0B038C"/>
    <w:rsid w:val="6D0E5786"/>
    <w:rsid w:val="6D21370B"/>
    <w:rsid w:val="6D433682"/>
    <w:rsid w:val="6D7970A3"/>
    <w:rsid w:val="6D884C84"/>
    <w:rsid w:val="6D997745"/>
    <w:rsid w:val="6D9A247D"/>
    <w:rsid w:val="6DA32372"/>
    <w:rsid w:val="6DA560EA"/>
    <w:rsid w:val="6DA700B4"/>
    <w:rsid w:val="6DB24518"/>
    <w:rsid w:val="6DD64B42"/>
    <w:rsid w:val="6EC407F2"/>
    <w:rsid w:val="6EDA6400"/>
    <w:rsid w:val="6F125A01"/>
    <w:rsid w:val="6F321C00"/>
    <w:rsid w:val="6F5558EE"/>
    <w:rsid w:val="6FA523D2"/>
    <w:rsid w:val="6FC30AAA"/>
    <w:rsid w:val="6FF62C2D"/>
    <w:rsid w:val="70343755"/>
    <w:rsid w:val="70657DB3"/>
    <w:rsid w:val="707D4967"/>
    <w:rsid w:val="70893AA1"/>
    <w:rsid w:val="70E64A50"/>
    <w:rsid w:val="710B2708"/>
    <w:rsid w:val="717E737E"/>
    <w:rsid w:val="71AA0173"/>
    <w:rsid w:val="71C11019"/>
    <w:rsid w:val="71E464A9"/>
    <w:rsid w:val="72127AC6"/>
    <w:rsid w:val="723637B5"/>
    <w:rsid w:val="723A1032"/>
    <w:rsid w:val="726C367A"/>
    <w:rsid w:val="727B566C"/>
    <w:rsid w:val="72B47B9D"/>
    <w:rsid w:val="72BC63B0"/>
    <w:rsid w:val="732F29F0"/>
    <w:rsid w:val="73552428"/>
    <w:rsid w:val="7384702E"/>
    <w:rsid w:val="73CD0149"/>
    <w:rsid w:val="74161AF0"/>
    <w:rsid w:val="74341F76"/>
    <w:rsid w:val="745919DD"/>
    <w:rsid w:val="746D2BDE"/>
    <w:rsid w:val="749E3893"/>
    <w:rsid w:val="74BF5CE3"/>
    <w:rsid w:val="74F3598D"/>
    <w:rsid w:val="755651FF"/>
    <w:rsid w:val="756B7C19"/>
    <w:rsid w:val="75AD1FE0"/>
    <w:rsid w:val="765441C3"/>
    <w:rsid w:val="76830F93"/>
    <w:rsid w:val="76937428"/>
    <w:rsid w:val="76A95A38"/>
    <w:rsid w:val="76B178AE"/>
    <w:rsid w:val="76EC6D39"/>
    <w:rsid w:val="76FB4FCD"/>
    <w:rsid w:val="770519A8"/>
    <w:rsid w:val="770E2F52"/>
    <w:rsid w:val="77112A42"/>
    <w:rsid w:val="7722255A"/>
    <w:rsid w:val="773C7ABF"/>
    <w:rsid w:val="774225DB"/>
    <w:rsid w:val="77552DEC"/>
    <w:rsid w:val="77562203"/>
    <w:rsid w:val="777C1B15"/>
    <w:rsid w:val="77B238DE"/>
    <w:rsid w:val="77D93560"/>
    <w:rsid w:val="77FC724F"/>
    <w:rsid w:val="78193715"/>
    <w:rsid w:val="78A13FF9"/>
    <w:rsid w:val="78E201F2"/>
    <w:rsid w:val="78F148D9"/>
    <w:rsid w:val="79126D6A"/>
    <w:rsid w:val="79393B8B"/>
    <w:rsid w:val="793A4A40"/>
    <w:rsid w:val="7940545D"/>
    <w:rsid w:val="79621333"/>
    <w:rsid w:val="796B643A"/>
    <w:rsid w:val="797A667D"/>
    <w:rsid w:val="7A0D0392"/>
    <w:rsid w:val="7A0D5743"/>
    <w:rsid w:val="7A995229"/>
    <w:rsid w:val="7AC53928"/>
    <w:rsid w:val="7ADD5115"/>
    <w:rsid w:val="7AE91D0C"/>
    <w:rsid w:val="7AEE7323"/>
    <w:rsid w:val="7B080013"/>
    <w:rsid w:val="7B560A24"/>
    <w:rsid w:val="7B6207FD"/>
    <w:rsid w:val="7B6A1FCA"/>
    <w:rsid w:val="7BD9630D"/>
    <w:rsid w:val="7BFF730D"/>
    <w:rsid w:val="7C09018C"/>
    <w:rsid w:val="7C0B3F04"/>
    <w:rsid w:val="7C572CA5"/>
    <w:rsid w:val="7C8A1153"/>
    <w:rsid w:val="7CE94EDB"/>
    <w:rsid w:val="7D07647A"/>
    <w:rsid w:val="7D252DA4"/>
    <w:rsid w:val="7D3B6123"/>
    <w:rsid w:val="7D5B0573"/>
    <w:rsid w:val="7D715FE9"/>
    <w:rsid w:val="7D7B0C16"/>
    <w:rsid w:val="7D985324"/>
    <w:rsid w:val="7DD85F9B"/>
    <w:rsid w:val="7E152E18"/>
    <w:rsid w:val="7E492AC2"/>
    <w:rsid w:val="7E9C52E7"/>
    <w:rsid w:val="7EC5039A"/>
    <w:rsid w:val="7ED4682F"/>
    <w:rsid w:val="7F060ED2"/>
    <w:rsid w:val="7F080287"/>
    <w:rsid w:val="7F2D4191"/>
    <w:rsid w:val="7F601E71"/>
    <w:rsid w:val="7F6B0F69"/>
    <w:rsid w:val="7F8C2C66"/>
    <w:rsid w:val="7FC70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10120</Words>
  <Characters>10606</Characters>
  <Lines>0</Lines>
  <Paragraphs>0</Paragraphs>
  <TotalTime>8</TotalTime>
  <ScaleCrop>false</ScaleCrop>
  <LinksUpToDate>false</LinksUpToDate>
  <CharactersWithSpaces>10610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2024-08-20T04:33:22Z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65C26A1D32A748E588748E932398B098_13</vt:lpwstr>
  </property>
</Properties>
</file>