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val="en-US" w:eastAsia="zh-CN"/>
        </w:rPr>
        <w:t>教育管理与相关运行工作（教育费附加）</w:t>
      </w:r>
      <w:r>
        <w:rPr>
          <w:rFonts w:hint="eastAsia" w:ascii="黑体" w:hAnsi="黑体" w:eastAsia="黑体" w:cs="黑体"/>
          <w:b/>
          <w:bCs/>
          <w:color w:val="auto"/>
          <w:sz w:val="40"/>
          <w:szCs w:val="40"/>
          <w:highlight w:val="none"/>
        </w:rPr>
        <w:t>绩效评价报告</w:t>
      </w:r>
    </w:p>
    <w:p>
      <w:pPr>
        <w:spacing w:line="240" w:lineRule="atLeast"/>
        <w:ind w:left="0" w:leftChars="0" w:firstLine="0" w:firstLineChars="0"/>
        <w:jc w:val="center"/>
        <w:rPr>
          <w:rFonts w:hint="eastAsia" w:ascii="黑体" w:hAnsi="黑体" w:eastAsia="黑体" w:cs="黑体"/>
          <w:b/>
          <w:bCs/>
          <w:color w:val="auto"/>
          <w:sz w:val="40"/>
          <w:szCs w:val="40"/>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6"/>
        <w:rPr>
          <w:color w:val="auto"/>
          <w:highlight w:val="none"/>
        </w:rPr>
      </w:pPr>
    </w:p>
    <w:p>
      <w:pPr>
        <w:spacing w:line="360" w:lineRule="auto"/>
        <w:ind w:left="638" w:leftChars="228" w:firstLine="0" w:firstLineChars="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项目名称：202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教育管理与相关运行工作（教育费附加）</w:t>
      </w: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托克逊县教育局</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王永生</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pPr>
        <w:pStyle w:val="4"/>
        <w:ind w:firstLine="640"/>
        <w:rPr>
          <w:color w:val="auto"/>
          <w:highlight w:val="none"/>
        </w:rPr>
      </w:pPr>
      <w:r>
        <w:rPr>
          <w:rFonts w:hint="eastAsia"/>
          <w:color w:val="auto"/>
          <w:highlight w:val="none"/>
        </w:rPr>
        <w:t>一、基本情况</w:t>
      </w:r>
    </w:p>
    <w:p>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5"/>
        <w:ind w:firstLine="643"/>
        <w:rPr>
          <w:color w:val="auto"/>
          <w:highlight w:val="none"/>
        </w:rPr>
      </w:pPr>
      <w:r>
        <w:rPr>
          <w:rFonts w:hint="eastAsia"/>
          <w:color w:val="auto"/>
          <w:highlight w:val="none"/>
          <w:lang w:val="en-US" w:eastAsia="zh-CN"/>
        </w:rPr>
        <w:t>1.</w:t>
      </w:r>
      <w:r>
        <w:rPr>
          <w:rFonts w:hint="eastAsia"/>
          <w:color w:val="auto"/>
          <w:highlight w:val="none"/>
        </w:rPr>
        <w:t>项目概况</w:t>
      </w:r>
    </w:p>
    <w:p>
      <w:pPr>
        <w:pStyle w:val="6"/>
        <w:ind w:firstLine="562"/>
        <w:rPr>
          <w:rFonts w:hint="default" w:hAnsi="Times New Roman" w:cs="Times New Roman"/>
          <w:b w:val="0"/>
          <w:bCs/>
          <w:color w:val="auto"/>
          <w:kern w:val="2"/>
          <w:sz w:val="30"/>
          <w:szCs w:val="30"/>
          <w:highlight w:val="none"/>
          <w:lang w:val="en-US" w:eastAsia="zh-CN" w:bidi="ar-SA"/>
        </w:rPr>
      </w:pPr>
      <w:r>
        <w:rPr>
          <w:rFonts w:hint="eastAsia" w:hAnsi="Times New Roman" w:cs="Times New Roman"/>
          <w:b w:val="0"/>
          <w:bCs/>
          <w:color w:val="auto"/>
          <w:kern w:val="2"/>
          <w:sz w:val="30"/>
          <w:szCs w:val="30"/>
          <w:highlight w:val="none"/>
          <w:lang w:val="en-US" w:eastAsia="zh-CN" w:bidi="ar-SA"/>
        </w:rPr>
        <w:t>为了托克逊县教育事业的发展，托克逊县人民政府2023年度安排了教育附加费专项资金，主要用于改善各级各类学校办学条件，补充完善学校教学设施与师资培训，教育系统各类考试的组织、教育督导、采购教育系统各级各类学校教学使用设备以及部分学校建设性项目等内容。根据我县《托克逊县财政局下达2023年教育费附加专项资金支出计划的通知》（托财预[2023]1号），2023年教育费附加专项资金项目共涉及资金合计800万元，项目主管部门为自治区教育厅。</w:t>
      </w:r>
    </w:p>
    <w:p>
      <w:pPr>
        <w:pStyle w:val="6"/>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default" w:ascii="仿宋_GB2312" w:hAnsi="仿宋_GB2312" w:eastAsia="仿宋_GB2312" w:cs="仿宋_GB2312"/>
          <w:b w:val="0"/>
          <w:bCs/>
          <w:color w:val="auto"/>
          <w:kern w:val="2"/>
          <w:sz w:val="30"/>
          <w:szCs w:val="30"/>
          <w:highlight w:val="none"/>
          <w:lang w:val="en-US" w:eastAsia="zh-CN" w:bidi="ar-SA"/>
        </w:rPr>
        <w:t>①</w:t>
      </w:r>
      <w:r>
        <w:rPr>
          <w:rFonts w:hint="eastAsia" w:ascii="仿宋_GB2312" w:hAnsi="Times New Roman" w:eastAsia="仿宋_GB2312" w:cs="Times New Roman"/>
          <w:b w:val="0"/>
          <w:bCs/>
          <w:color w:val="auto"/>
          <w:kern w:val="2"/>
          <w:sz w:val="30"/>
          <w:szCs w:val="30"/>
          <w:highlight w:val="none"/>
          <w:lang w:val="en-US" w:eastAsia="zh-CN" w:bidi="ar-SA"/>
        </w:rPr>
        <w:t xml:space="preserve">托克逊县教育局成立于1943年9月，位于托克逊县友好路农贸市场对面，全额事业单位。我局把特色文化建设作为规范办学、提高教育素质的一个突破口，引导学生个性的健康发展。 </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仿宋_GB2312" w:eastAsia="仿宋_GB2312" w:cs="仿宋_GB2312"/>
          <w:b w:val="0"/>
          <w:bCs/>
          <w:color w:val="auto"/>
          <w:kern w:val="2"/>
          <w:sz w:val="30"/>
          <w:szCs w:val="30"/>
          <w:highlight w:val="none"/>
          <w:lang w:val="en-US" w:eastAsia="zh-CN" w:bidi="ar-SA"/>
        </w:rPr>
        <w:t>②</w:t>
      </w:r>
      <w:r>
        <w:rPr>
          <w:rFonts w:hint="eastAsia" w:ascii="仿宋_GB2312" w:hAnsi="Times New Roman" w:eastAsia="仿宋_GB2312" w:cs="Times New Roman"/>
          <w:b w:val="0"/>
          <w:bCs/>
          <w:color w:val="auto"/>
          <w:kern w:val="2"/>
          <w:sz w:val="30"/>
          <w:szCs w:val="30"/>
          <w:highlight w:val="none"/>
          <w:lang w:val="en-US" w:eastAsia="zh-CN" w:bidi="ar-SA"/>
        </w:rPr>
        <w:t>宣传贯彻执行党和国家的教育方针、政策、法律法规等，坚持依法治教、依法治学，贯彻执行市教育局的行政规章制度。</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仿宋_GB2312" w:eastAsia="仿宋_GB2312" w:cs="仿宋_GB2312"/>
          <w:b w:val="0"/>
          <w:bCs/>
          <w:color w:val="auto"/>
          <w:kern w:val="2"/>
          <w:sz w:val="30"/>
          <w:szCs w:val="30"/>
          <w:highlight w:val="none"/>
          <w:lang w:val="en-US" w:eastAsia="zh-CN" w:bidi="ar-SA"/>
        </w:rPr>
        <w:t>③</w:t>
      </w:r>
      <w:r>
        <w:rPr>
          <w:rFonts w:hint="eastAsia" w:ascii="仿宋_GB2312" w:hAnsi="Times New Roman" w:eastAsia="仿宋_GB2312" w:cs="Times New Roman"/>
          <w:b w:val="0"/>
          <w:bCs/>
          <w:color w:val="auto"/>
          <w:kern w:val="2"/>
          <w:sz w:val="30"/>
          <w:szCs w:val="30"/>
          <w:highlight w:val="none"/>
          <w:lang w:val="en-US" w:eastAsia="zh-CN" w:bidi="ar-SA"/>
        </w:rPr>
        <w:t>配合县人民政府制定符合党的教育方针和国家教育法律法规以及本县实际的教育发展规划和学校布局调整规划，并抓好组织实施和落实工作。</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仿宋_GB2312" w:eastAsia="仿宋_GB2312" w:cs="仿宋_GB2312"/>
          <w:b w:val="0"/>
          <w:bCs/>
          <w:color w:val="auto"/>
          <w:kern w:val="2"/>
          <w:sz w:val="30"/>
          <w:szCs w:val="30"/>
          <w:highlight w:val="none"/>
          <w:lang w:val="en-US" w:eastAsia="zh-CN" w:bidi="ar-SA"/>
        </w:rPr>
        <w:t>④</w:t>
      </w:r>
      <w:r>
        <w:rPr>
          <w:rFonts w:hint="eastAsia" w:ascii="仿宋_GB2312" w:hAnsi="Times New Roman" w:eastAsia="仿宋_GB2312" w:cs="Times New Roman"/>
          <w:b w:val="0"/>
          <w:bCs/>
          <w:color w:val="auto"/>
          <w:kern w:val="2"/>
          <w:sz w:val="30"/>
          <w:szCs w:val="30"/>
          <w:highlight w:val="none"/>
          <w:lang w:val="en-US" w:eastAsia="zh-CN" w:bidi="ar-SA"/>
        </w:rPr>
        <w:t>巩固提高“均衡发展”工作成果和整体水平，配合各级人民政府依法动员工作。</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 xml:space="preserve">5.组织开展本县的教育教学科研和教育教学改革，科研兴教，科研兴校。负责对本县教育教学业务的具体管理，负责教育教学管理及教研教改工作，全力推进素质教育实施。 </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6.按照干部和教师的职数、编制和管理权限，负责本县教师人事管理、继续教育、考核考评等工作。</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7.负责本县教育系统财务和基建管理，筹措资金，改善办学条件等工作。</w:t>
      </w:r>
    </w:p>
    <w:p>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8.指导、管理、检查、评价本县的教育教学工作，提高办学质量和办学效益。全面推进素质教育，全面提高教育教学质量。</w:t>
      </w:r>
    </w:p>
    <w:p>
      <w:pPr>
        <w:shd w:val="clea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hint="eastAsia"/>
          <w:color w:val="auto"/>
          <w:highlight w:val="none"/>
          <w:lang w:val="en-US" w:eastAsia="zh-CN"/>
        </w:rPr>
      </w:pPr>
      <w:r>
        <w:rPr>
          <w:rFonts w:hint="eastAsia"/>
          <w:color w:val="auto"/>
          <w:highlight w:val="none"/>
          <w:lang w:val="en-US" w:eastAsia="zh-CN"/>
        </w:rPr>
        <w:t>托克逊县教育局共设有13个科室，主要有：13个科、办公室、财务室、教研中心，核算中心，考试中心，成教办、人事办，工会、条装办，资助中心，维稳办，基教科，党建办。托克逊县教育局人员编制数共35人，年初实有在职人员116人，退休人员29人。年末实有在职人数116人，退休人员28人。</w:t>
      </w:r>
    </w:p>
    <w:p>
      <w:pPr>
        <w:ind w:firstLine="560"/>
        <w:rPr>
          <w:rFonts w:hint="eastAsia"/>
          <w:color w:val="auto"/>
          <w:highlight w:val="none"/>
          <w:lang w:val="en-US" w:eastAsia="zh-CN"/>
        </w:rPr>
      </w:pPr>
      <w:r>
        <w:rPr>
          <w:rFonts w:hint="eastAsia"/>
          <w:color w:val="auto"/>
          <w:highlight w:val="none"/>
          <w:lang w:val="en-US" w:eastAsia="zh-CN"/>
        </w:rPr>
        <w:t>3.主要内容及实施情况</w:t>
      </w:r>
    </w:p>
    <w:p>
      <w:pPr>
        <w:ind w:firstLine="560"/>
        <w:rPr>
          <w:rFonts w:hint="eastAsia"/>
          <w:color w:val="auto"/>
          <w:highlight w:val="none"/>
          <w:lang w:val="en-US" w:eastAsia="zh-CN"/>
        </w:rPr>
      </w:pPr>
      <w:r>
        <w:rPr>
          <w:rFonts w:hint="eastAsia"/>
          <w:color w:val="auto"/>
          <w:highlight w:val="none"/>
          <w:lang w:val="en-US" w:eastAsia="zh-CN"/>
        </w:rPr>
        <w:t>项目名称：2023年教育管理与相关运行工作（教育费附加）</w:t>
      </w:r>
    </w:p>
    <w:p>
      <w:pPr>
        <w:ind w:firstLine="560"/>
        <w:rPr>
          <w:rFonts w:hint="default"/>
          <w:color w:val="auto"/>
          <w:highlight w:val="none"/>
          <w:lang w:val="en-US" w:eastAsia="zh-CN"/>
        </w:rPr>
      </w:pPr>
      <w:r>
        <w:rPr>
          <w:rFonts w:hint="eastAsia"/>
          <w:color w:val="auto"/>
          <w:highlight w:val="none"/>
          <w:lang w:val="en-US" w:eastAsia="zh-CN"/>
        </w:rPr>
        <w:t>项目主要内容：保障全县教育系统高考、中考、内初等各类考试正常进行，确保38所学校的考务工作按时、有序开展。通过各类培训提高教师队伍整体素质， 为我县80所学校及幼儿园改扩建校舍，采购教学用途的仪器设备，实现改善中小学办学条件，稳步提升学校办学能力，进一步提升学校教学质量。</w:t>
      </w:r>
    </w:p>
    <w:p>
      <w:pPr>
        <w:ind w:firstLine="560"/>
        <w:rPr>
          <w:rFonts w:hint="eastAsia"/>
          <w:color w:val="auto"/>
          <w:highlight w:val="none"/>
          <w:lang w:val="en-US" w:eastAsia="zh-CN"/>
        </w:rPr>
      </w:pPr>
      <w:r>
        <w:rPr>
          <w:rFonts w:hint="eastAsia"/>
          <w:color w:val="auto"/>
          <w:highlight w:val="none"/>
          <w:lang w:val="en-US" w:eastAsia="zh-CN"/>
        </w:rPr>
        <w:t>项目实施时间：本项目实施时间为202</w:t>
      </w:r>
      <w:r>
        <w:rPr>
          <w:rFonts w:hint="default"/>
          <w:color w:val="auto"/>
          <w:highlight w:val="none"/>
          <w:lang w:val="en-US" w:eastAsia="zh-CN"/>
        </w:rPr>
        <w:t>2</w:t>
      </w:r>
      <w:r>
        <w:rPr>
          <w:rFonts w:hint="eastAsia"/>
          <w:color w:val="auto"/>
          <w:highlight w:val="none"/>
          <w:lang w:val="en-US" w:eastAsia="zh-CN"/>
        </w:rPr>
        <w:t>年1月-2022年12月</w:t>
      </w:r>
    </w:p>
    <w:p>
      <w:pPr>
        <w:ind w:firstLine="560"/>
        <w:rPr>
          <w:rFonts w:hint="eastAsia"/>
          <w:color w:val="auto"/>
          <w:highlight w:val="none"/>
          <w:lang w:val="en-US" w:eastAsia="zh-CN"/>
        </w:rPr>
      </w:pPr>
      <w:r>
        <w:rPr>
          <w:rFonts w:hint="eastAsia"/>
          <w:color w:val="auto"/>
          <w:highlight w:val="none"/>
          <w:lang w:val="en-US" w:eastAsia="zh-CN"/>
        </w:rPr>
        <w:t>项目实施情况：2023年教育管理与相关运行工作（教育费附加）项目，教育局考试中心顺利完成我县各项考试组织管理工作，包括高考、中考、内初班考试、成人高考，学业水平测试、小升初学业水平等各类考试正常进行，教育教师工作科通过“国培计划”、“区培计划”等培训项目提升我县教师的素质水平，实施各类校园建设项目11个，教育条件装备中心为全县80所学校维修改造了校园建筑物或采购设备，工程按期完成，有效改善学校的办学条件，改善教学、科研条件与生活学习设施条件。</w:t>
      </w:r>
    </w:p>
    <w:p>
      <w:pPr>
        <w:ind w:firstLine="560"/>
        <w:rPr>
          <w:rFonts w:hint="eastAsia"/>
          <w:color w:val="auto"/>
          <w:highlight w:val="none"/>
          <w:lang w:val="en-US" w:eastAsia="zh-CN"/>
        </w:rPr>
      </w:pPr>
      <w:r>
        <w:rPr>
          <w:rFonts w:hint="eastAsia"/>
          <w:color w:val="auto"/>
          <w:highlight w:val="none"/>
          <w:lang w:val="en-US" w:eastAsia="zh-CN"/>
        </w:rPr>
        <w:t>4.资金投入和使用情况</w:t>
      </w:r>
    </w:p>
    <w:p>
      <w:pPr>
        <w:ind w:firstLine="560"/>
        <w:rPr>
          <w:rFonts w:hint="eastAsia"/>
          <w:color w:val="auto"/>
          <w:highlight w:val="none"/>
          <w:lang w:val="en-US" w:eastAsia="zh-CN"/>
        </w:rPr>
      </w:pPr>
      <w:r>
        <w:rPr>
          <w:rFonts w:hint="eastAsia"/>
          <w:color w:val="auto"/>
          <w:highlight w:val="none"/>
          <w:lang w:val="en-US" w:eastAsia="zh-CN"/>
        </w:rPr>
        <w:t>（1）项目资金安排落实、总投入等情况分析</w:t>
      </w:r>
    </w:p>
    <w:p>
      <w:pPr>
        <w:ind w:firstLine="560"/>
        <w:rPr>
          <w:rFonts w:hint="eastAsia"/>
          <w:color w:val="auto"/>
          <w:highlight w:val="none"/>
          <w:lang w:val="en-US" w:eastAsia="zh-CN"/>
        </w:rPr>
      </w:pPr>
      <w:r>
        <w:rPr>
          <w:rFonts w:hint="eastAsia"/>
          <w:color w:val="auto"/>
          <w:highlight w:val="none"/>
          <w:lang w:val="en-US" w:eastAsia="zh-CN"/>
        </w:rPr>
        <w:t>托克逊县教育局教育管理与相关运行工作（教育费附加）资金项目中县级配套资金800万元，其他资金0万元，2023年实际收到预算资金800万元，预算资金到位率为100%。</w:t>
      </w:r>
    </w:p>
    <w:p>
      <w:pPr>
        <w:ind w:firstLine="560"/>
        <w:rPr>
          <w:rFonts w:hint="eastAsia"/>
          <w:color w:val="auto"/>
          <w:highlight w:val="none"/>
          <w:lang w:val="en-US" w:eastAsia="zh-CN"/>
        </w:rPr>
      </w:pPr>
      <w:r>
        <w:rPr>
          <w:rFonts w:hint="eastAsia"/>
          <w:color w:val="auto"/>
          <w:highlight w:val="none"/>
          <w:lang w:val="en-US" w:eastAsia="zh-CN"/>
        </w:rPr>
        <w:t>（2）项目资金实际使用情况分析</w:t>
      </w:r>
    </w:p>
    <w:p>
      <w:pPr>
        <w:ind w:firstLine="560"/>
        <w:rPr>
          <w:rFonts w:hint="eastAsia"/>
          <w:color w:val="auto"/>
          <w:highlight w:val="none"/>
          <w:lang w:val="en-US" w:eastAsia="zh-CN"/>
        </w:rPr>
      </w:pPr>
      <w:r>
        <w:rPr>
          <w:rFonts w:hint="eastAsia"/>
          <w:color w:val="auto"/>
          <w:highlight w:val="none"/>
          <w:lang w:val="en-US" w:eastAsia="zh-CN"/>
        </w:rPr>
        <w:t>截止到2023年12月31日，本项目实际支付资金800万元，预算执行率100%。项目资金主要用于支付教育系统各类考试费40.93万元，教育局干部培训费4.74万元，督导相关费用3.35万元，教育系统各学校、幼儿园工程项目费426.61万元，设备342.37万元。</w:t>
      </w:r>
    </w:p>
    <w:p>
      <w:pPr>
        <w:ind w:firstLine="560"/>
        <w:rPr>
          <w:rFonts w:hint="eastAsia"/>
          <w:color w:val="auto"/>
          <w:highlight w:val="none"/>
          <w:lang w:val="en-US" w:eastAsia="zh-CN"/>
        </w:rPr>
      </w:pPr>
      <w:r>
        <w:rPr>
          <w:rFonts w:hint="eastAsia"/>
          <w:color w:val="auto"/>
          <w:highlight w:val="none"/>
          <w:lang w:val="en-US" w:eastAsia="zh-CN"/>
        </w:rPr>
        <w:t>（二）项目绩效目标</w:t>
      </w:r>
    </w:p>
    <w:p>
      <w:pPr>
        <w:ind w:firstLine="560"/>
        <w:rPr>
          <w:rFonts w:hint="eastAsia"/>
          <w:color w:val="auto"/>
          <w:highlight w:val="none"/>
          <w:lang w:val="en-US" w:eastAsia="zh-CN"/>
        </w:rPr>
      </w:pPr>
      <w:r>
        <w:rPr>
          <w:rFonts w:hint="eastAsia"/>
          <w:color w:val="auto"/>
          <w:highlight w:val="none"/>
          <w:lang w:val="en-US" w:eastAsia="zh-CN"/>
        </w:rPr>
        <w:t>1.总体目标</w:t>
      </w:r>
    </w:p>
    <w:p>
      <w:pPr>
        <w:ind w:firstLine="560"/>
        <w:rPr>
          <w:rFonts w:hint="default"/>
          <w:color w:val="auto"/>
          <w:highlight w:val="none"/>
          <w:lang w:val="en-US" w:eastAsia="zh-CN"/>
        </w:rPr>
      </w:pPr>
      <w:r>
        <w:rPr>
          <w:rFonts w:hint="eastAsia"/>
          <w:color w:val="auto"/>
          <w:highlight w:val="none"/>
          <w:lang w:val="en-US" w:eastAsia="zh-CN"/>
        </w:rPr>
        <w:t>本项目绩效总体目标为：1、保障托克逊县教育系统各学校幼儿园教学设备、宿舍设备的供应。 2、保障托克逊县教育系统各学校幼儿园绿化工程、附属工程等工程项目的完成。 3、确保教育系统高考、中考、内初、等各类考试正常进行。 4、通过各类培训提高教师队伍教育教学水平，提高教育教学质量。 5、客观高效完成各类督导工作。</w:t>
      </w:r>
    </w:p>
    <w:p>
      <w:pPr>
        <w:ind w:firstLine="560"/>
        <w:rPr>
          <w:rFonts w:hint="eastAsia"/>
          <w:color w:val="auto"/>
          <w:highlight w:val="none"/>
          <w:lang w:val="en-US" w:eastAsia="zh-CN"/>
        </w:rPr>
      </w:pPr>
      <w:r>
        <w:rPr>
          <w:rFonts w:hint="eastAsia"/>
          <w:color w:val="auto"/>
          <w:highlight w:val="none"/>
          <w:lang w:val="en-US" w:eastAsia="zh-CN"/>
        </w:rPr>
        <w:t>2.阶段性目标</w:t>
      </w:r>
    </w:p>
    <w:p>
      <w:pPr>
        <w:ind w:firstLine="560"/>
        <w:rPr>
          <w:rFonts w:hint="eastAsia" w:hAnsi="Arial" w:cs="宋体"/>
          <w:bCs/>
          <w:color w:val="auto"/>
          <w:highlight w:val="none"/>
        </w:rPr>
      </w:pPr>
      <w:r>
        <w:rPr>
          <w:rFonts w:hint="eastAsia"/>
          <w:color w:val="auto"/>
          <w:highlight w:val="none"/>
          <w:lang w:val="en-US" w:eastAsia="zh-CN"/>
        </w:rPr>
        <w:t>根据《预算法》、《财政支出绩效评价管理暂行办法》（财预〔2020〕10</w:t>
      </w:r>
      <w:r>
        <w:rPr>
          <w:rFonts w:hint="eastAsia" w:hAnsi="Arial" w:cs="宋体"/>
          <w:bCs/>
          <w:color w:val="auto"/>
          <w:highlight w:val="none"/>
        </w:rPr>
        <w:t>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“各类考试次数”指标，预期指标值为</w:t>
      </w:r>
      <w:r>
        <w:rPr>
          <w:rFonts w:hint="eastAsia"/>
          <w:color w:val="auto"/>
          <w:highlight w:val="none"/>
          <w:lang w:val="en-US" w:eastAsia="zh-CN"/>
        </w:rPr>
        <w:t>大于等于6次</w:t>
      </w:r>
      <w:r>
        <w:rPr>
          <w:rFonts w:hint="eastAsia"/>
          <w:color w:val="auto"/>
          <w:highlight w:val="none"/>
        </w:rPr>
        <w:t>；</w:t>
      </w:r>
    </w:p>
    <w:p>
      <w:pPr>
        <w:ind w:firstLine="560"/>
        <w:rPr>
          <w:rFonts w:hint="eastAsia"/>
          <w:color w:val="auto"/>
          <w:highlight w:val="none"/>
        </w:rPr>
      </w:pPr>
      <w:r>
        <w:rPr>
          <w:rFonts w:hint="eastAsia"/>
          <w:color w:val="auto"/>
          <w:highlight w:val="none"/>
        </w:rPr>
        <w:t>“培训次数”指标，预期指标值为</w:t>
      </w:r>
      <w:r>
        <w:rPr>
          <w:rFonts w:hint="eastAsia"/>
          <w:color w:val="auto"/>
          <w:highlight w:val="none"/>
          <w:lang w:val="en-US" w:eastAsia="zh-CN"/>
        </w:rPr>
        <w:t>大于等于12次</w:t>
      </w:r>
      <w:r>
        <w:rPr>
          <w:rFonts w:hint="eastAsia"/>
          <w:color w:val="auto"/>
          <w:highlight w:val="none"/>
        </w:rPr>
        <w:t>。</w:t>
      </w:r>
    </w:p>
    <w:p>
      <w:pPr>
        <w:ind w:firstLine="560"/>
        <w:rPr>
          <w:rFonts w:hint="eastAsia"/>
          <w:color w:val="auto"/>
          <w:highlight w:val="none"/>
        </w:rPr>
      </w:pPr>
      <w:r>
        <w:rPr>
          <w:rFonts w:hint="eastAsia"/>
          <w:color w:val="auto"/>
          <w:highlight w:val="none"/>
        </w:rPr>
        <w:t>“培训人数”指标，预期指标值为</w:t>
      </w:r>
      <w:r>
        <w:rPr>
          <w:rFonts w:hint="eastAsia"/>
          <w:color w:val="auto"/>
          <w:highlight w:val="none"/>
          <w:lang w:val="en-US" w:eastAsia="zh-CN"/>
        </w:rPr>
        <w:t>大于等于2100人</w:t>
      </w:r>
      <w:r>
        <w:rPr>
          <w:rFonts w:hint="eastAsia"/>
          <w:color w:val="auto"/>
          <w:highlight w:val="none"/>
        </w:rPr>
        <w:t>。</w:t>
      </w:r>
    </w:p>
    <w:p>
      <w:pPr>
        <w:ind w:firstLine="560"/>
        <w:rPr>
          <w:rFonts w:hint="eastAsia"/>
          <w:color w:val="auto"/>
          <w:highlight w:val="none"/>
        </w:rPr>
      </w:pPr>
      <w:r>
        <w:rPr>
          <w:rFonts w:hint="eastAsia"/>
          <w:color w:val="auto"/>
          <w:highlight w:val="none"/>
        </w:rPr>
        <w:t>“全年工程、设备采购受益学校数量”指标，预期指标值为</w:t>
      </w:r>
      <w:r>
        <w:rPr>
          <w:rFonts w:hint="eastAsia"/>
          <w:color w:val="auto"/>
          <w:highlight w:val="none"/>
          <w:lang w:val="en-US" w:eastAsia="zh-CN"/>
        </w:rPr>
        <w:t>大于等于80所</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“督导次数”指标，预期指标值为</w:t>
      </w:r>
      <w:r>
        <w:rPr>
          <w:rFonts w:hint="eastAsia"/>
          <w:color w:val="auto"/>
          <w:highlight w:val="none"/>
          <w:lang w:val="en-US" w:eastAsia="zh-CN"/>
        </w:rPr>
        <w:t>大于等于100次</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“培训结业率”指标，预期指标值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“按照缴费人数，安排考试场所，服务考生顺利完成考试”指标，预期指标值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“政府采购率”指标，预期指标值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rFonts w:hint="eastAsia"/>
          <w:color w:val="auto"/>
          <w:highlight w:val="none"/>
        </w:rPr>
      </w:pPr>
      <w:r>
        <w:rPr>
          <w:rFonts w:hint="eastAsia"/>
          <w:color w:val="auto"/>
          <w:highlight w:val="none"/>
        </w:rPr>
        <w:t>“设备设施验收通过率”指标，预期指标值为</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color w:val="auto"/>
          <w:highlight w:val="none"/>
        </w:rPr>
      </w:pPr>
      <w:r>
        <w:rPr>
          <w:rFonts w:hint="eastAsia"/>
          <w:color w:val="auto"/>
          <w:highlight w:val="none"/>
        </w:rPr>
        <w:t>“设备设施购置完成及时率”指标，预期指标值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“工程按期完成率”指标，预期指标值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rFonts w:hint="eastAsia"/>
          <w:color w:val="auto"/>
          <w:highlight w:val="none"/>
        </w:rPr>
      </w:pPr>
      <w:r>
        <w:rPr>
          <w:rFonts w:hint="eastAsia"/>
          <w:color w:val="auto"/>
          <w:highlight w:val="none"/>
        </w:rPr>
        <w:t>“项目资金支付及时率”指标，预期指标值为</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④成本指标</w:t>
      </w:r>
    </w:p>
    <w:p>
      <w:pPr>
        <w:ind w:firstLine="560"/>
        <w:rPr>
          <w:color w:val="auto"/>
          <w:highlight w:val="none"/>
        </w:rPr>
      </w:pPr>
      <w:r>
        <w:rPr>
          <w:rFonts w:hint="eastAsia"/>
          <w:color w:val="auto"/>
          <w:highlight w:val="none"/>
        </w:rPr>
        <w:t>“考试费用”指标，预期指标值为</w:t>
      </w:r>
      <w:r>
        <w:rPr>
          <w:rFonts w:hint="eastAsia"/>
          <w:color w:val="auto"/>
          <w:highlight w:val="none"/>
          <w:lang w:val="en-US" w:eastAsia="zh-CN"/>
        </w:rPr>
        <w:t>小于等于53万元</w:t>
      </w:r>
      <w:r>
        <w:rPr>
          <w:rFonts w:hint="eastAsia"/>
          <w:color w:val="auto"/>
          <w:highlight w:val="none"/>
        </w:rPr>
        <w:t>；</w:t>
      </w:r>
    </w:p>
    <w:p>
      <w:pPr>
        <w:ind w:firstLine="560"/>
        <w:rPr>
          <w:rFonts w:hint="eastAsia"/>
          <w:color w:val="auto"/>
          <w:highlight w:val="none"/>
        </w:rPr>
      </w:pPr>
      <w:r>
        <w:rPr>
          <w:rFonts w:hint="eastAsia"/>
          <w:color w:val="auto"/>
          <w:highlight w:val="none"/>
        </w:rPr>
        <w:t>“培训费用”指标，预期指标值为</w:t>
      </w:r>
      <w:r>
        <w:rPr>
          <w:rFonts w:hint="eastAsia"/>
          <w:color w:val="auto"/>
          <w:highlight w:val="none"/>
          <w:lang w:val="en-US" w:eastAsia="zh-CN"/>
        </w:rPr>
        <w:t>小于等于27万元</w:t>
      </w:r>
      <w:r>
        <w:rPr>
          <w:rFonts w:hint="eastAsia"/>
          <w:color w:val="auto"/>
          <w:highlight w:val="none"/>
        </w:rPr>
        <w:t>。</w:t>
      </w:r>
    </w:p>
    <w:p>
      <w:pPr>
        <w:ind w:firstLine="560"/>
        <w:rPr>
          <w:color w:val="auto"/>
          <w:highlight w:val="none"/>
        </w:rPr>
      </w:pPr>
      <w:r>
        <w:rPr>
          <w:rFonts w:hint="eastAsia"/>
          <w:color w:val="auto"/>
          <w:highlight w:val="none"/>
        </w:rPr>
        <w:t>“督导费用”指标，预期指标值为</w:t>
      </w:r>
      <w:r>
        <w:rPr>
          <w:rFonts w:hint="eastAsia"/>
          <w:color w:val="auto"/>
          <w:highlight w:val="none"/>
          <w:lang w:val="en-US" w:eastAsia="zh-CN"/>
        </w:rPr>
        <w:t>小于等于20万元</w:t>
      </w:r>
      <w:r>
        <w:rPr>
          <w:rFonts w:hint="eastAsia"/>
          <w:color w:val="auto"/>
          <w:highlight w:val="none"/>
        </w:rPr>
        <w:t>。</w:t>
      </w:r>
    </w:p>
    <w:p>
      <w:pPr>
        <w:ind w:firstLine="560"/>
        <w:rPr>
          <w:color w:val="auto"/>
          <w:highlight w:val="none"/>
        </w:rPr>
      </w:pPr>
      <w:r>
        <w:rPr>
          <w:rFonts w:hint="eastAsia"/>
          <w:color w:val="auto"/>
          <w:highlight w:val="none"/>
        </w:rPr>
        <w:t>“教育系统各学校、幼儿园工程项目费”指标，预期指标值为</w:t>
      </w:r>
      <w:r>
        <w:rPr>
          <w:rFonts w:hint="eastAsia"/>
          <w:color w:val="auto"/>
          <w:highlight w:val="none"/>
          <w:lang w:eastAsia="zh-CN"/>
        </w:rPr>
        <w:t>小于等于</w:t>
      </w:r>
      <w:r>
        <w:rPr>
          <w:rFonts w:hint="eastAsia"/>
          <w:color w:val="auto"/>
          <w:highlight w:val="none"/>
          <w:lang w:val="en-US" w:eastAsia="zh-CN"/>
        </w:rPr>
        <w:t>400万元</w:t>
      </w:r>
      <w:r>
        <w:rPr>
          <w:rFonts w:hint="eastAsia"/>
          <w:color w:val="auto"/>
          <w:highlight w:val="none"/>
        </w:rPr>
        <w:t>。</w:t>
      </w:r>
    </w:p>
    <w:p>
      <w:pPr>
        <w:ind w:firstLine="560"/>
        <w:rPr>
          <w:rFonts w:hint="eastAsia" w:ascii="仿宋" w:hAnsi="仿宋" w:eastAsia="仿宋"/>
          <w:b/>
          <w:color w:val="auto"/>
          <w:highlight w:val="none"/>
        </w:rPr>
      </w:pPr>
      <w:r>
        <w:rPr>
          <w:rFonts w:hint="eastAsia"/>
          <w:color w:val="auto"/>
          <w:highlight w:val="none"/>
        </w:rPr>
        <w:t>“设备采购费用”指标，预期指标值为</w:t>
      </w:r>
      <w:r>
        <w:rPr>
          <w:rFonts w:hint="eastAsia"/>
          <w:color w:val="auto"/>
          <w:highlight w:val="none"/>
          <w:lang w:val="en-US" w:eastAsia="zh-CN"/>
        </w:rPr>
        <w:t>小于等于300万元</w:t>
      </w:r>
      <w:r>
        <w:rPr>
          <w:rFonts w:hint="eastAsia"/>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（2）项目效益目标</w:t>
      </w:r>
    </w:p>
    <w:p>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“改善广大师生员工的教学、科研条件”指标，预期指标值为有效</w:t>
      </w:r>
      <w:r>
        <w:rPr>
          <w:rFonts w:hint="eastAsia"/>
          <w:color w:val="auto"/>
          <w:highlight w:val="none"/>
          <w:lang w:val="en-US" w:eastAsia="zh-CN"/>
        </w:rPr>
        <w:t>改善</w:t>
      </w:r>
      <w:r>
        <w:rPr>
          <w:rFonts w:hint="eastAsia"/>
          <w:color w:val="auto"/>
          <w:highlight w:val="none"/>
        </w:rPr>
        <w:t>；</w:t>
      </w:r>
    </w:p>
    <w:p>
      <w:pPr>
        <w:ind w:firstLine="560"/>
        <w:rPr>
          <w:color w:val="auto"/>
          <w:highlight w:val="none"/>
        </w:rPr>
      </w:pPr>
      <w:r>
        <w:rPr>
          <w:rFonts w:hint="eastAsia"/>
          <w:color w:val="auto"/>
          <w:highlight w:val="none"/>
        </w:rPr>
        <w:t>“改善广大师生员工的生活设施”指标，预期指标值为有效</w:t>
      </w:r>
      <w:r>
        <w:rPr>
          <w:rFonts w:hint="eastAsia"/>
          <w:color w:val="auto"/>
          <w:highlight w:val="none"/>
          <w:lang w:val="en-US" w:eastAsia="zh-CN"/>
        </w:rPr>
        <w:t>改善</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“服务学校满意度”指标，预期指标值为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480473081"/>
      <w:bookmarkStart w:id="1" w:name="_Toc26632"/>
      <w:bookmarkStart w:id="2" w:name="_Toc5258"/>
      <w:bookmarkStart w:id="3" w:name="_Toc21664"/>
      <w:bookmarkStart w:id="4" w:name="_Toc12868"/>
      <w:bookmarkStart w:id="5" w:name="_Toc5462343"/>
      <w:bookmarkStart w:id="6" w:name="_Toc22169_WPSOffice_Level2"/>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rPr>
      </w:pPr>
      <w:r>
        <w:rPr>
          <w:rFonts w:hint="eastAsia"/>
        </w:rPr>
        <w:t>1.绩效评价的目的</w:t>
      </w:r>
    </w:p>
    <w:p>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rPr>
      </w:pPr>
      <w:r>
        <w:rPr>
          <w:rFonts w:hint="eastAsia"/>
        </w:rPr>
        <w:t>2.绩效评价对象</w:t>
      </w:r>
    </w:p>
    <w:p>
      <w:pPr>
        <w:spacing w:line="600" w:lineRule="exact"/>
        <w:ind w:firstLine="560"/>
        <w:rPr>
          <w:rFonts w:hint="eastAsia" w:ascii="Times New Roman" w:hAnsi="Times New Roman" w:cs="Times New Roman"/>
        </w:rPr>
      </w:pPr>
      <w:r>
        <w:rPr>
          <w:rFonts w:hint="eastAsia" w:ascii="Times New Roman" w:hAnsi="Times New Roman" w:cs="Times New Roman"/>
        </w:rPr>
        <w:t>此次我单位根据《财政支出绩效评价管理暂行办法》（财预〔2020〕10号）文件要求实施评价工作，本次评价对象为</w:t>
      </w:r>
      <w:r>
        <w:rPr>
          <w:rFonts w:hint="default" w:ascii="Times New Roman" w:hAnsi="Times New Roman" w:cs="Times New Roman"/>
        </w:rPr>
        <w:t>教育管理及相关运行工作（教育费附加）</w:t>
      </w:r>
      <w:r>
        <w:rPr>
          <w:rFonts w:hint="eastAsia" w:ascii="Times New Roman" w:hAnsi="Times New Roman" w:cs="Times New Roman"/>
        </w:rPr>
        <w:t>，评价核心为项目</w:t>
      </w:r>
      <w:r>
        <w:rPr>
          <w:rFonts w:hint="eastAsia" w:ascii="Times New Roman" w:hAnsi="Times New Roman" w:cs="Times New Roman"/>
          <w:lang w:val="en-US" w:eastAsia="zh-CN"/>
        </w:rPr>
        <w:t>的资金投入、产出及效益</w:t>
      </w:r>
      <w:r>
        <w:rPr>
          <w:rFonts w:hint="eastAsia" w:ascii="Times New Roman" w:hAnsi="Times New Roman" w:cs="Times New Roman"/>
        </w:rPr>
        <w:t>。</w:t>
      </w:r>
    </w:p>
    <w:p>
      <w:pPr>
        <w:pStyle w:val="6"/>
        <w:ind w:firstLine="562"/>
        <w:rPr>
          <w:rFonts w:hint="eastAsia"/>
        </w:rPr>
      </w:pPr>
      <w:r>
        <w:rPr>
          <w:rFonts w:hint="eastAsia"/>
        </w:rPr>
        <w:t>3.绩效评价范围</w:t>
      </w:r>
    </w:p>
    <w:p>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pPr>
        <w:pStyle w:val="5"/>
        <w:numPr>
          <w:ilvl w:val="0"/>
          <w:numId w:val="1"/>
        </w:numPr>
        <w:ind w:firstLine="643"/>
      </w:pPr>
      <w:r>
        <w:rPr>
          <w:rFonts w:hint="eastAsia"/>
        </w:rPr>
        <w:t>绩效评价原则、评价指标体系、评价方法评价标准</w:t>
      </w:r>
    </w:p>
    <w:p>
      <w:pPr>
        <w:pStyle w:val="6"/>
        <w:ind w:firstLine="562"/>
      </w:pPr>
      <w:r>
        <w:rPr>
          <w:rFonts w:hint="eastAsia"/>
        </w:rPr>
        <w:t>1.绩效评价原则</w:t>
      </w:r>
    </w:p>
    <w:p>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pPr>
        <w:ind w:firstLine="560"/>
      </w:pPr>
      <w:r>
        <w:rPr>
          <w:rFonts w:hint="eastAsia"/>
        </w:rPr>
        <w:t>（1）科学公正。绩效评价应当运用科学合理的方法，按照规范的程序，对项目绩效进行客观、公正的反映。</w:t>
      </w:r>
    </w:p>
    <w:p>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pPr>
      <w:r>
        <w:rPr>
          <w:rFonts w:hint="eastAsia"/>
        </w:rPr>
        <w:t>（3）激励约束。绩效评价结果应与预算安排、政策调整、改进管理实质性挂钩，体现奖优罚劣和激励相容导向，有效要安排、低效要压减、无效要问责。</w:t>
      </w:r>
    </w:p>
    <w:p>
      <w:pPr>
        <w:snapToGrid w:val="0"/>
        <w:ind w:firstLine="560"/>
      </w:pPr>
      <w:r>
        <w:rPr>
          <w:rFonts w:hint="eastAsia"/>
        </w:rPr>
        <w:t>（4）公开透明。绩效评价结果应依法依规公开，并自觉接受社会监督。</w:t>
      </w:r>
    </w:p>
    <w:p>
      <w:pPr>
        <w:snapToGrid w:val="0"/>
        <w:ind w:firstLine="560"/>
      </w:pPr>
      <w:r>
        <w:rPr>
          <w:rFonts w:hint="eastAsia"/>
        </w:rPr>
        <w:t>根据以上原则</w:t>
      </w:r>
      <w:r>
        <w:rPr>
          <w:rFonts w:hint="eastAsia"/>
          <w:lang w:eastAsia="zh-CN"/>
        </w:rPr>
        <w:t>，</w:t>
      </w:r>
      <w:r>
        <w:rPr>
          <w:rFonts w:hint="eastAsia"/>
        </w:rPr>
        <w:t>绩效评价应遵循如下要求:</w:t>
      </w:r>
    </w:p>
    <w:p>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pPr>
        <w:snapToGrid w:val="0"/>
        <w:ind w:firstLine="560"/>
      </w:pPr>
      <w:r>
        <w:rPr>
          <w:rFonts w:hint="eastAsia"/>
        </w:rPr>
        <w:t>（2）保证评价结果的真实性、公正性</w:t>
      </w:r>
      <w:r>
        <w:rPr>
          <w:rFonts w:hint="eastAsia"/>
          <w:lang w:eastAsia="zh-CN"/>
        </w:rPr>
        <w:t>，</w:t>
      </w:r>
      <w:r>
        <w:rPr>
          <w:rFonts w:hint="eastAsia"/>
        </w:rPr>
        <w:t>提高评价报告的公信力。</w:t>
      </w:r>
    </w:p>
    <w:p>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pPr>
        <w:pStyle w:val="6"/>
        <w:ind w:firstLine="562"/>
      </w:pPr>
      <w:bookmarkStart w:id="8" w:name="_Toc26131"/>
      <w:bookmarkStart w:id="9" w:name="_Toc428278230"/>
      <w:bookmarkStart w:id="10" w:name="_Toc1913"/>
      <w:bookmarkStart w:id="11" w:name="_Toc419984722"/>
      <w:r>
        <w:rPr>
          <w:rFonts w:hint="eastAsia"/>
        </w:rPr>
        <w:t>2.绩效评价指标体系</w:t>
      </w:r>
      <w:bookmarkEnd w:id="8"/>
      <w:bookmarkEnd w:id="9"/>
      <w:bookmarkEnd w:id="10"/>
      <w:bookmarkEnd w:id="11"/>
    </w:p>
    <w:p>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pPr>
        <w:pStyle w:val="6"/>
        <w:ind w:firstLine="562"/>
      </w:pPr>
      <w:r>
        <w:rPr>
          <w:rFonts w:hint="eastAsia"/>
        </w:rPr>
        <w:t>3.评价方法</w:t>
      </w:r>
    </w:p>
    <w:p>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pPr>
      <w:r>
        <w:rPr>
          <w:rFonts w:hint="eastAsia"/>
        </w:rPr>
        <w:t>三级指标分析环节：总体采用比较法，同时辅以文献法、成本效益法、因素分析法以及公众评判法，根据不同三级指标类型进行逐项分析。</w:t>
      </w:r>
    </w:p>
    <w:p>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pPr>
        <w:pStyle w:val="2"/>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lang w:val="en-US" w:eastAsia="zh-CN"/>
        </w:rPr>
      </w:pPr>
      <w:r>
        <w:rPr>
          <w:rFonts w:hint="eastAsia"/>
          <w:lang w:val="en-US" w:eastAsia="zh-CN"/>
        </w:rPr>
        <w:t>绩效目标合理性：比较法，对比分析年初编制项目支出绩效目标表与项目内容的相关性、资金的匹配性等。</w:t>
      </w:r>
    </w:p>
    <w:p>
      <w:pPr>
        <w:pStyle w:val="2"/>
        <w:rPr>
          <w:rFonts w:hint="eastAsia"/>
          <w:lang w:val="en-US" w:eastAsia="zh-CN"/>
        </w:rPr>
      </w:pPr>
      <w:r>
        <w:rPr>
          <w:rFonts w:hint="eastAsia"/>
          <w:lang w:val="en-US" w:eastAsia="zh-CN"/>
        </w:rPr>
        <w:t>绩效指标明确性：比较法，比较分析年初编制项目支出绩效目标表是否符合双七原则，是否可衡量。</w:t>
      </w:r>
    </w:p>
    <w:p>
      <w:pPr>
        <w:pStyle w:val="2"/>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pPr>
        <w:pStyle w:val="2"/>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pPr>
        <w:pStyle w:val="2"/>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pPr>
        <w:pStyle w:val="2"/>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pPr>
        <w:pStyle w:val="2"/>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pPr>
        <w:pStyle w:val="2"/>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pPr>
        <w:pStyle w:val="6"/>
        <w:ind w:firstLine="562"/>
      </w:pPr>
      <w:r>
        <w:rPr>
          <w:rFonts w:hint="eastAsia"/>
        </w:rPr>
        <w:t>4.评价标准</w:t>
      </w:r>
    </w:p>
    <w:p>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pPr>
      <w:r>
        <w:rPr>
          <w:rFonts w:hint="eastAsia"/>
        </w:rPr>
        <w:t>绩效评价工作过程</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pPr>
        <w:rPr>
          <w:rFonts w:hint="eastAsia" w:ascii="Times New Roman" w:hAnsi="Times New Roman" w:cs="Times New Roman"/>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2024年3月1日，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lang w:val="en-US" w:eastAsia="zh-CN"/>
        </w:rPr>
        <w:t>成员和职责如下：</w:t>
      </w:r>
    </w:p>
    <w:p>
      <w:pPr>
        <w:ind w:firstLine="560"/>
        <w:rPr>
          <w:rFonts w:hint="default"/>
          <w:color w:val="auto"/>
          <w:highlight w:val="none"/>
          <w:lang w:val="en-US" w:eastAsia="zh-CN"/>
        </w:rPr>
      </w:pPr>
      <w:r>
        <w:rPr>
          <w:rFonts w:hint="eastAsia"/>
          <w:highlight w:val="none"/>
          <w:lang w:val="en-US" w:eastAsia="zh-CN"/>
        </w:rPr>
        <w:t>（1）评价组组长</w:t>
      </w:r>
      <w:r>
        <w:rPr>
          <w:rFonts w:hint="eastAsia"/>
          <w:color w:val="auto"/>
          <w:highlight w:val="none"/>
          <w:lang w:val="en-US" w:eastAsia="zh-CN"/>
        </w:rPr>
        <w:t>：王永生，</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（2）评价组成员：西克热木·阿布力米提，</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（3）评价组成员：王艳，</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4</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10</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15</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lang w:val="en-US" w:eastAsia="zh-CN"/>
        </w:rPr>
        <w:t>绩效评价项目小组依照整理、分析后的项目材料、数据资料，依据评价形成的初步结论，按照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pPr>
        <w:pStyle w:val="6"/>
        <w:ind w:firstLine="562"/>
        <w:rPr>
          <w:rFonts w:hint="eastAsia"/>
        </w:rPr>
      </w:pPr>
      <w:bookmarkStart w:id="12" w:name="_Toc5055"/>
      <w:r>
        <w:rPr>
          <w:rFonts w:hint="eastAsia"/>
          <w:lang w:val="en-US" w:eastAsia="zh-CN"/>
        </w:rPr>
        <w:t>4.</w:t>
      </w:r>
      <w:r>
        <w:rPr>
          <w:rFonts w:hint="eastAsia"/>
        </w:rPr>
        <w:t>问题整改</w:t>
      </w:r>
    </w:p>
    <w:p>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lang w:val="en-US" w:eastAsia="zh-CN"/>
        </w:rPr>
      </w:pPr>
      <w:r>
        <w:rPr>
          <w:rFonts w:hint="eastAsia"/>
          <w:lang w:val="en-US" w:eastAsia="zh-CN"/>
        </w:rPr>
        <w:t>5.归集档案</w:t>
      </w:r>
      <w:bookmarkEnd w:id="12"/>
    </w:p>
    <w:p>
      <w:pPr>
        <w:rPr>
          <w:color w:val="auto"/>
          <w:highlight w:val="none"/>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lang w:val="en-US" w:eastAsia="zh-CN"/>
        </w:rPr>
      </w:pPr>
      <w:bookmarkStart w:id="14" w:name="_Toc68364666"/>
      <w:r>
        <w:rPr>
          <w:rFonts w:hint="eastAsia"/>
          <w:color w:val="auto"/>
          <w:lang w:val="en-US" w:eastAsia="zh-CN"/>
        </w:rPr>
        <w:tab/>
      </w:r>
      <w:r>
        <w:rPr>
          <w:rFonts w:hint="eastAsia"/>
          <w:color w:val="auto"/>
          <w:lang w:val="en-US" w:eastAsia="zh-CN"/>
        </w:rPr>
        <w:t>经评价，本项目部分达成了年初设立的绩效目标，项目总体组织规范，完成了工作目标，在实施过程中取得了良好的成效，具体表现在以下几个方面：</w:t>
      </w:r>
    </w:p>
    <w:p>
      <w:pPr>
        <w:bidi w:val="0"/>
        <w:rPr>
          <w:rFonts w:hint="eastAsia"/>
          <w:color w:val="auto"/>
          <w:lang w:val="en-US" w:eastAsia="zh-CN"/>
        </w:rPr>
      </w:pPr>
      <w:r>
        <w:rPr>
          <w:rFonts w:hint="eastAsia"/>
          <w:color w:val="auto"/>
          <w:lang w:val="en-US" w:eastAsia="zh-CN"/>
        </w:rPr>
        <w:t>1、2023年顺利完成我县各项考试组织管理工作，包括高考、中考、内初班考试、成人高考，学业水平测试、小升初学业水平考试共计6次招生考试，实现了各项考试工作安全、有序、公正、公平的目标。</w:t>
      </w:r>
    </w:p>
    <w:p>
      <w:pPr>
        <w:bidi w:val="0"/>
        <w:rPr>
          <w:rFonts w:hint="eastAsia"/>
          <w:color w:val="auto"/>
          <w:lang w:val="en-US" w:eastAsia="zh-CN"/>
        </w:rPr>
      </w:pPr>
      <w:r>
        <w:rPr>
          <w:rFonts w:hint="eastAsia"/>
          <w:color w:val="auto"/>
          <w:lang w:val="en-US" w:eastAsia="zh-CN"/>
        </w:rPr>
        <w:t>2、2023年实施了“国培计划”、“区培计划”等培训项目，全年组织各类培训12次，其中校本培训2200人，进一步提升了我县教师的素质水平。</w:t>
      </w:r>
    </w:p>
    <w:p>
      <w:pPr>
        <w:bidi w:val="0"/>
        <w:rPr>
          <w:rFonts w:hint="eastAsia"/>
          <w:color w:val="auto"/>
          <w:lang w:val="en-US" w:eastAsia="zh-CN"/>
        </w:rPr>
      </w:pPr>
      <w:r>
        <w:rPr>
          <w:rFonts w:hint="eastAsia"/>
          <w:color w:val="auto"/>
          <w:lang w:val="en-US" w:eastAsia="zh-CN"/>
        </w:rPr>
        <w:t>3、2023年实施各类校园建设项目11个，为全县80所学校维修改造了校园建筑物或采购设备，工程按期完成，有效改善了学校的办学条件，改善了教学、科研条件与生活学习设施条件，缓解了城区学前教育学位紧张的问题。</w:t>
      </w:r>
    </w:p>
    <w:p>
      <w:pPr>
        <w:bidi w:val="0"/>
        <w:rPr>
          <w:rFonts w:hint="eastAsia"/>
          <w:color w:val="auto"/>
          <w:lang w:val="en-US" w:eastAsia="zh-CN"/>
        </w:rPr>
      </w:pPr>
      <w:r>
        <w:rPr>
          <w:rFonts w:hint="eastAsia"/>
          <w:color w:val="auto"/>
          <w:lang w:val="en-US" w:eastAsia="zh-CN"/>
        </w:rPr>
        <w:t>全年完成地我县85所中小学幼儿园100次的例行督导，对稳定教学秩序，提高教学质量起到了非常重要的作用。项目效益方面：保障学生义务教育，促进教育公平减轻学生就学经济负担，保障县域内义务教育优质均衡发展。</w:t>
      </w:r>
    </w:p>
    <w:p>
      <w:pPr>
        <w:bidi w:val="0"/>
        <w:rPr>
          <w:rFonts w:hint="eastAsia"/>
          <w:color w:val="auto"/>
          <w:lang w:val="en-US" w:eastAsia="zh-CN"/>
        </w:rPr>
      </w:pPr>
      <w:r>
        <w:rPr>
          <w:rFonts w:hint="eastAsia"/>
          <w:color w:val="auto"/>
          <w:lang w:val="en-US" w:eastAsia="zh-CN"/>
        </w:rPr>
        <w:t>本项目各项工作任务均按计划完成，但由于预算编制时资金分配不够合理，工程项目费、设备采购费资金超出计划，培训费和督导费预算编制过多，导致各项成本指标执行率较差。今后进一步加强预算编制能力，做好事前调研，制定合理的预算方案，科学评估各项资金的优先级，合理分配资金。</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89.06分，绩效评级为“良好”。综合评价结论如下：本项目决策指标共设置6个，满分20分，得分率92%；项目过程指标共设置5个，满分20分，得分率100%；项目产出指标共设置13个，满分24分，得分率100%；项目成本指标共设置5个，满分12分，得分率22.17%；项目效益指标共设置3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4</w:t>
      </w:r>
      <w:r>
        <w:rPr>
          <w:rFonts w:hint="eastAsia"/>
          <w:color w:val="auto"/>
          <w:highlight w:val="none"/>
          <w:lang w:eastAsia="zh-CN"/>
        </w:rPr>
        <w:t>个二级指标和</w:t>
      </w:r>
      <w:r>
        <w:rPr>
          <w:rFonts w:hint="eastAsia"/>
          <w:color w:val="auto"/>
          <w:highlight w:val="none"/>
          <w:lang w:val="en-US" w:eastAsia="zh-CN"/>
        </w:rPr>
        <w:t>11</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18.4</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92</w:t>
      </w:r>
      <w:r>
        <w:rPr>
          <w:rFonts w:hint="eastAsia" w:ascii="仿宋_GB2312" w:hAns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ascii="Times New Roman" w:hAnsi="Times New Roman" w:cs="Times New Roman"/>
          <w:color w:val="auto"/>
          <w:highlight w:val="none"/>
          <w:lang w:eastAsia="zh-CN"/>
        </w:rPr>
        <w:t>项目立项符合《中共中央关于教育体制改革的决定》、关于修改《新疆维吾尔自治区地方教育附加征收使用管理办法》的通知（新政发[2011]24号）等国家相关决定、通知以及国民经济发展规划和相关政策；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教育发展规划</w:t>
      </w:r>
      <w:r>
        <w:rPr>
          <w:rFonts w:hint="eastAsia" w:ascii="仿宋_GB2312" w:hAnsi="Times New Roman" w:cs="Times New Roman"/>
          <w:b w:val="0"/>
          <w:bCs/>
          <w:color w:val="auto"/>
          <w:kern w:val="2"/>
          <w:sz w:val="30"/>
          <w:szCs w:val="30"/>
          <w:highlight w:val="none"/>
          <w:lang w:val="en-US" w:eastAsia="zh-CN" w:bidi="ar-SA"/>
        </w:rPr>
        <w:t>、</w:t>
      </w:r>
      <w:r>
        <w:rPr>
          <w:rFonts w:hint="eastAsia" w:ascii="仿宋_GB2312" w:hAnsi="Times New Roman" w:eastAsia="仿宋_GB2312" w:cs="Times New Roman"/>
          <w:b w:val="0"/>
          <w:bCs/>
          <w:color w:val="auto"/>
          <w:kern w:val="2"/>
          <w:sz w:val="30"/>
          <w:szCs w:val="30"/>
          <w:highlight w:val="none"/>
          <w:lang w:val="en-US" w:eastAsia="zh-CN" w:bidi="ar-SA"/>
        </w:rPr>
        <w:t>学校</w:t>
      </w:r>
      <w:r>
        <w:rPr>
          <w:rFonts w:hint="eastAsia" w:ascii="仿宋_GB2312" w:hAnsi="Times New Roman" w:cs="Times New Roman"/>
          <w:b w:val="0"/>
          <w:bCs/>
          <w:color w:val="auto"/>
          <w:kern w:val="2"/>
          <w:sz w:val="30"/>
          <w:szCs w:val="30"/>
          <w:highlight w:val="none"/>
          <w:lang w:val="en-US" w:eastAsia="zh-CN" w:bidi="ar-SA"/>
        </w:rPr>
        <w:t>教育教学</w:t>
      </w:r>
      <w:r>
        <w:rPr>
          <w:rFonts w:hint="eastAsia" w:ascii="Times New Roman" w:hAnsi="Times New Roman" w:cs="Times New Roman"/>
          <w:color w:val="auto"/>
          <w:highlight w:val="none"/>
          <w:lang w:eastAsia="zh-CN"/>
        </w:rPr>
        <w:t>管理这一部门职责范围相符，属于部门履职所需；根据《财政资金直接支付申请书》，本项目资金性质为</w:t>
      </w:r>
      <w:r>
        <w:rPr>
          <w:rFonts w:hint="eastAsia" w:ascii="Times New Roman" w:hAnsi="Times New Roman" w:cs="Times New Roman"/>
          <w:color w:val="auto"/>
          <w:highlight w:val="none"/>
          <w:lang w:val="en-US" w:eastAsia="zh-CN"/>
        </w:rPr>
        <w:t>专项</w:t>
      </w:r>
      <w:r>
        <w:rPr>
          <w:rFonts w:hint="eastAsia" w:ascii="Times New Roman" w:hAnsi="Times New Roman" w:cs="Times New Roman"/>
          <w:color w:val="auto"/>
          <w:highlight w:val="none"/>
          <w:lang w:eastAsia="zh-CN"/>
        </w:rPr>
        <w:t>资金，功能分类</w:t>
      </w:r>
      <w:r>
        <w:rPr>
          <w:rFonts w:hint="eastAsia" w:ascii="Times New Roman" w:hAnsi="Times New Roman" w:cs="Times New Roman"/>
          <w:color w:val="auto"/>
          <w:highlight w:val="none"/>
          <w:lang w:val="en-US" w:eastAsia="zh-CN"/>
        </w:rPr>
        <w:t>分别为2050999</w:t>
      </w:r>
      <w:r>
        <w:rPr>
          <w:rFonts w:hint="eastAsia" w:ascii="Times New Roman" w:hAnsi="Times New Roman" w:cs="Times New Roman"/>
          <w:color w:val="auto"/>
          <w:highlight w:val="none"/>
          <w:lang w:eastAsia="zh-CN"/>
        </w:rPr>
        <w:t>，经济分类为</w:t>
      </w:r>
      <w:r>
        <w:rPr>
          <w:rFonts w:hint="eastAsia" w:ascii="Times New Roman" w:hAnsi="Times New Roman" w:cs="Times New Roman"/>
          <w:color w:val="auto"/>
          <w:highlight w:val="none"/>
          <w:lang w:val="en-US" w:eastAsia="zh-CN"/>
        </w:rPr>
        <w:t>商品和服务支出</w:t>
      </w:r>
      <w:r>
        <w:rPr>
          <w:rFonts w:hint="eastAsia" w:ascii="Times New Roman" w:hAnsi="Times New Roman" w:cs="Times New Roman"/>
          <w:color w:val="auto"/>
          <w:highlight w:val="none"/>
          <w:lang w:eastAsia="zh-CN"/>
        </w:rPr>
        <w:t>支出，根据《</w:t>
      </w:r>
      <w:r>
        <w:rPr>
          <w:rFonts w:hint="eastAsia" w:ascii="Times New Roman" w:hAnsi="Times New Roman" w:cs="Times New Roman"/>
          <w:color w:val="auto"/>
          <w:highlight w:val="none"/>
          <w:lang w:val="en-US" w:eastAsia="zh-CN"/>
        </w:rPr>
        <w:t>中华人民共和</w:t>
      </w:r>
      <w:r>
        <w:rPr>
          <w:rFonts w:hint="eastAsia"/>
          <w:color w:val="auto"/>
          <w:highlight w:val="none"/>
          <w:lang w:val="en-US" w:eastAsia="zh-CN"/>
        </w:rPr>
        <w:t>国</w:t>
      </w:r>
      <w:r>
        <w:rPr>
          <w:rFonts w:hint="eastAsia"/>
          <w:color w:val="auto"/>
          <w:highlight w:val="none"/>
        </w:rPr>
        <w:t>预算法》属于公共财政支持范围，符合中央、地方事权支出责任划分原则；经检查财政项目指标大平台，本项目不存在重复。</w:t>
      </w:r>
    </w:p>
    <w:p>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keepNext w:val="0"/>
        <w:keepLines w:val="0"/>
        <w:pageBreakBefore w:val="0"/>
        <w:widowControl/>
        <w:suppressLineNumbers w:val="0"/>
        <w:kinsoku/>
        <w:wordWrap/>
        <w:overflowPunct/>
        <w:topLinePunct w:val="0"/>
        <w:autoSpaceDE/>
        <w:autoSpaceDN/>
        <w:bidi w:val="0"/>
        <w:adjustRightInd/>
        <w:snapToGrid/>
        <w:ind w:right="0"/>
        <w:jc w:val="left"/>
        <w:textAlignment w:val="auto"/>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val="en-US" w:eastAsia="zh-CN"/>
        </w:rPr>
        <w:t>:保障托克逊县教育系统各学校幼儿园教学设备、宿舍设备的供应。保障托克逊县教育系统各学校幼儿园绿化工程、附属工程等工程项目的完成。确保教育系统高考、中考、内初、等各类考试正常进行。通过各类培训提高教师队伍教育教学水平，提高教育教学质量。客观高效完成各类督导工作。</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800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800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90.46%</w:t>
      </w:r>
      <w:r>
        <w:rPr>
          <w:rFonts w:hint="eastAsia"/>
          <w:color w:val="auto"/>
          <w:highlight w:val="none"/>
          <w:lang w:eastAsia="zh-CN"/>
        </w:rPr>
        <w:t>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bidi w:val="0"/>
        <w:rPr>
          <w:rFonts w:hint="eastAsia"/>
          <w:color w:val="auto"/>
          <w:highlight w:val="none"/>
          <w:lang w:eastAsia="zh-CN"/>
        </w:rPr>
      </w:pPr>
      <w:r>
        <w:rPr>
          <w:rFonts w:hint="eastAsia"/>
          <w:color w:val="auto"/>
          <w:highlight w:val="none"/>
        </w:rPr>
        <w:t>①本项目预算编制通过前期调研</w:t>
      </w:r>
      <w:r>
        <w:rPr>
          <w:rFonts w:hint="eastAsia"/>
          <w:color w:val="auto"/>
          <w:highlight w:val="none"/>
          <w:lang w:val="en-US" w:eastAsia="zh-CN"/>
        </w:rPr>
        <w:t>和类似项目对比分析</w:t>
      </w:r>
      <w:r>
        <w:rPr>
          <w:rFonts w:hint="eastAsia"/>
          <w:color w:val="auto"/>
          <w:highlight w:val="none"/>
        </w:rPr>
        <w:t>，预算编制较科学且经过论证</w:t>
      </w:r>
      <w:r>
        <w:rPr>
          <w:rFonts w:hint="eastAsia"/>
          <w:color w:val="auto"/>
          <w:highlight w:val="none"/>
          <w:lang w:eastAsia="zh-CN"/>
        </w:rPr>
        <w:t>；</w:t>
      </w:r>
    </w:p>
    <w:p>
      <w:pPr>
        <w:bidi w:val="0"/>
        <w:rPr>
          <w:rFonts w:hint="eastAsia"/>
          <w:color w:val="auto"/>
          <w:highlight w:val="none"/>
        </w:rPr>
      </w:pPr>
      <w:r>
        <w:rPr>
          <w:rFonts w:hint="eastAsia"/>
          <w:color w:val="auto"/>
          <w:highlight w:val="none"/>
        </w:rPr>
        <w:t>②</w:t>
      </w:r>
      <w:r>
        <w:rPr>
          <w:rFonts w:hint="eastAsia"/>
          <w:color w:val="auto"/>
          <w:highlight w:val="none"/>
          <w:lang w:val="en-US" w:eastAsia="zh-CN"/>
        </w:rPr>
        <w:t>项目全年预算资金</w:t>
      </w:r>
      <w:r>
        <w:rPr>
          <w:rFonts w:hint="eastAsia"/>
          <w:color w:val="auto"/>
          <w:highlight w:val="none"/>
        </w:rPr>
        <w:t>为</w:t>
      </w:r>
      <w:r>
        <w:rPr>
          <w:rFonts w:hint="eastAsia"/>
          <w:color w:val="auto"/>
          <w:highlight w:val="none"/>
          <w:lang w:val="en-US" w:eastAsia="zh-CN"/>
        </w:rPr>
        <w:t>800</w:t>
      </w:r>
      <w:r>
        <w:rPr>
          <w:rFonts w:hint="eastAsia"/>
          <w:color w:val="auto"/>
          <w:highlight w:val="none"/>
        </w:rPr>
        <w:t>万元，项目资金主要用于</w:t>
      </w:r>
      <w:r>
        <w:rPr>
          <w:rFonts w:hint="eastAsia"/>
          <w:color w:val="auto"/>
          <w:highlight w:val="none"/>
          <w:lang w:val="en-US" w:eastAsia="zh-CN"/>
        </w:rPr>
        <w:t>支付教育系统各类考试费</w:t>
      </w:r>
      <w:r>
        <w:rPr>
          <w:rFonts w:hint="eastAsia"/>
          <w:color w:val="auto"/>
          <w:highlight w:val="none"/>
          <w:lang w:eastAsia="zh-CN"/>
        </w:rPr>
        <w:t>，</w:t>
      </w:r>
      <w:r>
        <w:rPr>
          <w:rFonts w:hint="eastAsia"/>
          <w:color w:val="auto"/>
          <w:highlight w:val="none"/>
          <w:lang w:val="en-US" w:eastAsia="zh-CN"/>
        </w:rPr>
        <w:t>教育局干部培训费</w:t>
      </w:r>
      <w:r>
        <w:rPr>
          <w:rFonts w:hint="eastAsia"/>
          <w:color w:val="auto"/>
          <w:highlight w:val="none"/>
          <w:lang w:eastAsia="zh-CN"/>
        </w:rPr>
        <w:t>、</w:t>
      </w:r>
      <w:r>
        <w:rPr>
          <w:rFonts w:hint="eastAsia"/>
          <w:color w:val="auto"/>
          <w:highlight w:val="none"/>
          <w:lang w:val="en-US" w:eastAsia="zh-CN"/>
        </w:rPr>
        <w:t>督导相关费用、教育系统各学校、幼儿园工程项目费、设备采购费，</w:t>
      </w:r>
      <w:r>
        <w:rPr>
          <w:rFonts w:hint="eastAsia"/>
          <w:color w:val="auto"/>
          <w:highlight w:val="none"/>
          <w:lang w:eastAsia="zh-CN"/>
        </w:rPr>
        <w:t>预算内容与项目内容匹配</w:t>
      </w:r>
      <w:r>
        <w:rPr>
          <w:rFonts w:hint="eastAsia"/>
          <w:color w:val="auto"/>
          <w:highlight w:val="none"/>
        </w:rPr>
        <w:t>。</w:t>
      </w:r>
    </w:p>
    <w:p>
      <w:pPr>
        <w:bidi w:val="0"/>
        <w:rPr>
          <w:rFonts w:hint="eastAsia"/>
          <w:color w:val="auto"/>
          <w:highlight w:val="none"/>
          <w:lang w:eastAsia="zh-CN"/>
        </w:rPr>
      </w:pPr>
      <w:r>
        <w:rPr>
          <w:rFonts w:hint="eastAsia"/>
          <w:color w:val="auto"/>
          <w:highlight w:val="none"/>
        </w:rPr>
        <w:t>③我单位在预算申请中严格按照单位标准和数量进行核算，</w:t>
      </w:r>
      <w:r>
        <w:rPr>
          <w:rFonts w:hint="eastAsia"/>
          <w:color w:val="auto"/>
          <w:highlight w:val="none"/>
          <w:lang w:eastAsia="zh-CN"/>
        </w:rPr>
        <w:t>预算额度测算依据充分，按照标准编制；</w:t>
      </w:r>
    </w:p>
    <w:p>
      <w:pPr>
        <w:bidi w:val="0"/>
        <w:rPr>
          <w:rFonts w:hint="eastAsia"/>
          <w:color w:val="auto"/>
          <w:highlight w:val="none"/>
          <w:lang w:val="en-US" w:eastAsia="zh-CN"/>
        </w:rPr>
      </w:pPr>
      <w:r>
        <w:rPr>
          <w:rFonts w:hint="eastAsia"/>
          <w:color w:val="auto"/>
          <w:highlight w:val="none"/>
        </w:rPr>
        <w:t>④项目资金主要用于</w:t>
      </w:r>
      <w:r>
        <w:rPr>
          <w:rFonts w:hint="eastAsia"/>
          <w:color w:val="auto"/>
          <w:highlight w:val="none"/>
          <w:lang w:val="en-US" w:eastAsia="zh-CN"/>
        </w:rPr>
        <w:t>支付教育系统各类考试费40.93</w:t>
      </w:r>
      <w:r>
        <w:rPr>
          <w:rFonts w:hint="eastAsia"/>
          <w:color w:val="auto"/>
          <w:highlight w:val="none"/>
        </w:rPr>
        <w:t>万元</w:t>
      </w:r>
      <w:r>
        <w:rPr>
          <w:rFonts w:hint="eastAsia"/>
          <w:color w:val="auto"/>
          <w:highlight w:val="none"/>
          <w:lang w:val="en-US" w:eastAsia="zh-CN"/>
        </w:rPr>
        <w:t>教育局干部培训费4.74</w:t>
      </w:r>
      <w:r>
        <w:rPr>
          <w:rFonts w:hint="eastAsia"/>
          <w:color w:val="auto"/>
          <w:highlight w:val="none"/>
        </w:rPr>
        <w:t>万元</w:t>
      </w:r>
      <w:r>
        <w:rPr>
          <w:rFonts w:hint="eastAsia"/>
          <w:color w:val="auto"/>
          <w:highlight w:val="none"/>
          <w:lang w:eastAsia="zh-CN"/>
        </w:rPr>
        <w:t>、</w:t>
      </w:r>
      <w:r>
        <w:rPr>
          <w:rFonts w:hint="eastAsia"/>
          <w:color w:val="auto"/>
          <w:highlight w:val="none"/>
          <w:lang w:val="en-US" w:eastAsia="zh-CN"/>
        </w:rPr>
        <w:t>督导相关费用3.35万元、教育系统各学校、幼儿园工程项目费426.61万元、设备342.37万元。</w:t>
      </w:r>
      <w:r>
        <w:rPr>
          <w:rFonts w:hint="eastAsia"/>
          <w:color w:val="auto"/>
          <w:highlight w:val="none"/>
          <w:lang w:eastAsia="zh-CN"/>
        </w:rPr>
        <w:t>预算编制不够科学，</w:t>
      </w:r>
      <w:r>
        <w:rPr>
          <w:rFonts w:hint="eastAsia"/>
          <w:color w:val="auto"/>
          <w:highlight w:val="none"/>
          <w:lang w:val="en-US" w:eastAsia="zh-CN"/>
        </w:rPr>
        <w:t>教育系统各学校、幼儿园工程项目费</w:t>
      </w:r>
      <w:r>
        <w:rPr>
          <w:rFonts w:hint="eastAsia"/>
          <w:color w:val="auto"/>
          <w:highlight w:val="none"/>
          <w:lang w:eastAsia="zh-CN"/>
        </w:rPr>
        <w:t>目标值设置过高，</w:t>
      </w:r>
      <w:r>
        <w:rPr>
          <w:rFonts w:hint="eastAsia"/>
          <w:color w:val="auto"/>
          <w:highlight w:val="none"/>
          <w:lang w:val="en-US" w:eastAsia="zh-CN"/>
        </w:rPr>
        <w:t>预算确定的资金量与实际工作任务不匹配，根据评分要点扣0.8分。</w:t>
      </w:r>
    </w:p>
    <w:p>
      <w:pPr>
        <w:ind w:firstLine="560"/>
        <w:rPr>
          <w:rFonts w:hint="default"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改进措施：今后根据项目预算和任务变更情况及时与财政部门沟通调整预算，确保预算确定的项目资金与实际工作任务相匹配，在下年度绩效管理工作开展时要注意指标设置做到科学合理，做好事前评估，严格按照预算编制执行。</w:t>
      </w:r>
    </w:p>
    <w:p>
      <w:pPr>
        <w:ind w:firstLine="56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r>
        <w:rPr>
          <w:rFonts w:hint="eastAsia" w:ascii="仿宋_GB2312" w:cs="仿宋_GB2312"/>
          <w:color w:val="auto"/>
          <w:sz w:val="28"/>
          <w:szCs w:val="28"/>
          <w:highlight w:val="none"/>
          <w:lang w:val="en-US"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①</w:t>
      </w:r>
      <w:r>
        <w:rPr>
          <w:rFonts w:hint="eastAsia" w:ascii="仿宋_GB2312" w:hAnsi="Times New Roman" w:cs="仿宋_GB2312"/>
          <w:color w:val="auto"/>
          <w:sz w:val="28"/>
          <w:szCs w:val="28"/>
          <w:highlight w:val="none"/>
          <w:lang w:val="en-US" w:eastAsia="zh-CN"/>
        </w:rPr>
        <w:t>本项目实际分配资金以关于2023年教育管理与及相关运行工作（教育费附加）托财预[2023]1号文件为依据进行资金分配，预算资金分配依据充分。</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hAnsi="Times New Roman" w:cs="仿宋_GB2312"/>
          <w:color w:val="auto"/>
          <w:sz w:val="28"/>
          <w:szCs w:val="28"/>
          <w:highlight w:val="none"/>
        </w:rPr>
        <w:t>②本项目实际到位资金</w:t>
      </w:r>
      <w:r>
        <w:rPr>
          <w:rFonts w:hint="eastAsia" w:ascii="仿宋_GB2312" w:hAnsi="Times New Roman" w:cs="仿宋_GB2312"/>
          <w:color w:val="auto"/>
          <w:sz w:val="28"/>
          <w:szCs w:val="28"/>
          <w:highlight w:val="none"/>
          <w:lang w:val="en-US" w:eastAsia="zh-CN"/>
        </w:rPr>
        <w:t>800</w:t>
      </w:r>
      <w:r>
        <w:rPr>
          <w:rFonts w:hint="eastAsia" w:ascii="仿宋_GB2312" w:hAnsi="Times New Roman" w:cs="仿宋_GB2312"/>
          <w:color w:val="auto"/>
          <w:sz w:val="28"/>
          <w:szCs w:val="28"/>
          <w:highlight w:val="none"/>
        </w:rPr>
        <w:t>万元，</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w:t>
      </w:r>
      <w:r>
        <w:rPr>
          <w:rFonts w:hint="eastAsia" w:ascii="仿宋_GB2312" w:hAnsi="Times New Roman" w:cs="仿宋_GB2312"/>
          <w:color w:val="auto"/>
          <w:sz w:val="28"/>
          <w:szCs w:val="28"/>
          <w:highlight w:val="none"/>
          <w:lang w:eastAsia="zh-CN"/>
        </w:rPr>
        <w:t>不</w:t>
      </w:r>
      <w:r>
        <w:rPr>
          <w:rFonts w:hint="eastAsia" w:ascii="仿宋_GB2312" w:hAnsi="Times New Roman" w:cs="仿宋_GB2312"/>
          <w:color w:val="auto"/>
          <w:sz w:val="28"/>
          <w:szCs w:val="28"/>
          <w:highlight w:val="none"/>
        </w:rPr>
        <w:t>一致，</w:t>
      </w:r>
      <w:r>
        <w:rPr>
          <w:rFonts w:hint="eastAsia" w:ascii="仿宋_GB2312" w:hAnsi="Times New Roman" w:cs="仿宋_GB2312"/>
          <w:color w:val="auto"/>
          <w:sz w:val="28"/>
          <w:szCs w:val="28"/>
          <w:highlight w:val="none"/>
          <w:lang w:eastAsia="zh-CN"/>
        </w:rPr>
        <w:t>资金分配额度不够合理，工程项目费、设备采购费</w:t>
      </w:r>
      <w:r>
        <w:rPr>
          <w:rFonts w:hint="eastAsia" w:ascii="仿宋_GB2312" w:cs="仿宋_GB2312"/>
          <w:color w:val="auto"/>
          <w:sz w:val="28"/>
          <w:szCs w:val="28"/>
          <w:highlight w:val="none"/>
          <w:lang w:eastAsia="zh-CN"/>
        </w:rPr>
        <w:t>资金超出计划，培训费和督导费预算编制过多，根据评分要点扣0.8分</w:t>
      </w:r>
      <w:r>
        <w:rPr>
          <w:rFonts w:hint="eastAsia" w:cs="仿宋_GB2312"/>
          <w:color w:val="auto"/>
          <w:sz w:val="28"/>
          <w:szCs w:val="28"/>
          <w:highlight w:val="none"/>
          <w:lang w:eastAsia="zh-CN"/>
        </w:rPr>
        <w:t>。</w:t>
      </w:r>
    </w:p>
    <w:p>
      <w:pPr>
        <w:pStyle w:val="2"/>
        <w:rPr>
          <w:rFonts w:hint="eastAsia"/>
          <w:highlight w:val="none"/>
          <w:lang w:val="en-US" w:eastAsia="zh-CN"/>
        </w:rPr>
      </w:pPr>
      <w:r>
        <w:rPr>
          <w:rFonts w:hint="eastAsia" w:ascii="仿宋_GB2312" w:cs="仿宋_GB2312"/>
          <w:color w:val="auto"/>
          <w:sz w:val="28"/>
          <w:szCs w:val="28"/>
          <w:highlight w:val="none"/>
          <w:lang w:val="en-US" w:eastAsia="zh-CN"/>
        </w:rPr>
        <w:t>改进措施：今后的工作中要加强资金分配与实际需要的对接，统筹安排分配的资金，确保制定的预算目标与我单位实际情况和工作的需要。</w:t>
      </w:r>
    </w:p>
    <w:p>
      <w:pPr>
        <w:pageBreakBefore w:val="0"/>
        <w:kinsoku/>
        <w:wordWrap/>
        <w:topLinePunct w:val="0"/>
        <w:autoSpaceDE/>
        <w:autoSpaceDN/>
        <w:bidi w:val="0"/>
        <w:spacing w:line="560" w:lineRule="exact"/>
        <w:ind w:right="0" w:rightChars="0" w:firstLine="643"/>
        <w:rPr>
          <w:rFonts w:hint="eastAsia" w:ascii="仿宋_GB2312" w:hAnsi="Times New Roman" w:eastAsia="仿宋_GB2312" w:cs="仿宋_GB2312"/>
          <w:color w:val="auto"/>
          <w:sz w:val="28"/>
          <w:szCs w:val="28"/>
          <w:highlight w:val="none"/>
          <w:lang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800</w:t>
      </w:r>
      <w:r>
        <w:rPr>
          <w:rFonts w:hint="eastAsia"/>
          <w:color w:val="auto"/>
          <w:highlight w:val="none"/>
        </w:rPr>
        <w:t>万元，实际到位资金</w:t>
      </w:r>
      <w:r>
        <w:rPr>
          <w:rFonts w:hint="eastAsia"/>
          <w:color w:val="auto"/>
          <w:highlight w:val="none"/>
          <w:lang w:val="en-US" w:eastAsia="zh-CN"/>
        </w:rPr>
        <w:t>800</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800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800</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800/800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中小学校公用经费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各类考试次数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大于等于6次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6次</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包</w:t>
      </w:r>
      <w:r>
        <w:rPr>
          <w:rFonts w:hint="eastAsia" w:ascii="仿宋_GB2312" w:hAnsi="仿宋_GB2312" w:cs="仿宋_GB2312"/>
          <w:color w:val="auto"/>
          <w:sz w:val="28"/>
          <w:szCs w:val="28"/>
          <w:highlight w:val="none"/>
          <w:lang w:val="en-US" w:eastAsia="zh-CN"/>
        </w:rPr>
        <w:t>括高考、中考、内初班考试、成人高考，学业水平测试等，</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w:t>
      </w:r>
      <w:r>
        <w:rPr>
          <w:rFonts w:hint="eastAsia" w:ascii="仿宋_GB2312" w:hAnsi="仿宋_GB2312" w:cs="仿宋_GB2312"/>
          <w:color w:val="auto"/>
          <w:sz w:val="28"/>
          <w:szCs w:val="28"/>
          <w:highlight w:val="none"/>
        </w:rPr>
        <w:t>标满分为</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大于等于12次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“培训人数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大于等于2100人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2200人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“全年工程、设备采购受益学校数量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大于等于80所</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80所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highlight w:val="none"/>
        </w:rPr>
      </w:pPr>
      <w:r>
        <w:rPr>
          <w:rFonts w:hint="eastAsia" w:ascii="仿宋_GB2312" w:hAnsi="仿宋_GB2312" w:cs="仿宋_GB2312"/>
          <w:color w:val="auto"/>
          <w:sz w:val="28"/>
          <w:szCs w:val="28"/>
          <w:highlight w:val="none"/>
          <w:lang w:val="en-US" w:eastAsia="zh-CN"/>
        </w:rPr>
        <w:t>“督导次数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大于等于100次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培训结业率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按照缴费人数，安排考试场所，服务考生顺利完成考试</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政府采购率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设备设施验收通过率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“设备设施购置完成及时率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“工程按期完成率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4.成本指标完成情况分析</w:t>
      </w:r>
    </w:p>
    <w:p>
      <w:pPr>
        <w:bidi w:val="0"/>
        <w:rPr>
          <w:rFonts w:hint="eastAsia" w:ascii="仿宋_GB2312" w:cs="仿宋_GB2312"/>
          <w:sz w:val="28"/>
          <w:szCs w:val="28"/>
        </w:rPr>
      </w:pPr>
      <w:r>
        <w:rPr>
          <w:rFonts w:hint="eastAsia" w:ascii="仿宋_GB2312" w:cs="仿宋_GB2312"/>
          <w:sz w:val="28"/>
          <w:szCs w:val="28"/>
        </w:rPr>
        <w:t>项目产出类指标包括</w:t>
      </w:r>
      <w:r>
        <w:rPr>
          <w:rFonts w:hint="eastAsia" w:ascii="仿宋_GB2312" w:cs="仿宋_GB2312"/>
          <w:sz w:val="28"/>
          <w:szCs w:val="28"/>
          <w:lang w:val="en-US" w:eastAsia="zh-CN"/>
        </w:rPr>
        <w:t>经济成本、社会成本、生态环境成本三</w:t>
      </w:r>
      <w:r>
        <w:rPr>
          <w:rFonts w:hint="eastAsia" w:ascii="仿宋_GB2312" w:cs="仿宋_GB2312"/>
          <w:sz w:val="28"/>
          <w:szCs w:val="28"/>
        </w:rPr>
        <w:t>方面的内容，</w:t>
      </w:r>
      <w:r>
        <w:rPr>
          <w:rFonts w:hint="eastAsia" w:ascii="仿宋_GB2312" w:cs="仿宋_GB2312"/>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2.66</w:t>
      </w:r>
      <w:r>
        <w:rPr>
          <w:rFonts w:hint="eastAsia" w:ascii="仿宋_GB2312" w:cs="仿宋_GB2312"/>
          <w:color w:val="auto"/>
          <w:sz w:val="28"/>
          <w:szCs w:val="28"/>
        </w:rPr>
        <w:t>分</w:t>
      </w:r>
      <w:r>
        <w:rPr>
          <w:rFonts w:hint="eastAsia" w:ascii="仿宋_GB2312" w:cs="仿宋_GB2312"/>
          <w:color w:val="auto"/>
          <w:sz w:val="28"/>
          <w:szCs w:val="28"/>
          <w:lang w:eastAsia="zh-CN"/>
        </w:rPr>
        <w:t>，得分率</w:t>
      </w:r>
      <w:r>
        <w:rPr>
          <w:rFonts w:hint="eastAsia" w:ascii="仿宋_GB2312" w:cs="仿宋_GB2312"/>
          <w:sz w:val="28"/>
          <w:szCs w:val="28"/>
          <w:lang w:eastAsia="zh-CN"/>
        </w:rPr>
        <w:t>为</w:t>
      </w:r>
      <w:r>
        <w:rPr>
          <w:rFonts w:hint="eastAsia" w:ascii="仿宋_GB2312" w:cs="仿宋_GB2312"/>
          <w:sz w:val="28"/>
          <w:szCs w:val="28"/>
          <w:lang w:val="en-US" w:eastAsia="zh-CN"/>
        </w:rPr>
        <w:t>22.17%</w:t>
      </w:r>
      <w:r>
        <w:rPr>
          <w:rFonts w:hint="eastAsia" w:ascii="仿宋_GB2312" w:cs="仿宋_GB2312"/>
          <w:sz w:val="28"/>
          <w:szCs w:val="28"/>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考试费用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小于等于53万元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40.93万元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77.23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。偏差原因：教育局机关积极响应政府部门过紧日子，节约办公成本的号召，一定程度的减少了我考务成本；改进措施：严格按照预算管理，制定预算目标，避免再次出现类似问题。</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1.84</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小于等于27万元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4.74万元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17.56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。偏差原因：2023年9-12月局机关外出培训费未按时结账（年度财政扎帐等原因）；改进措施：合理安排资金支付计划，保证监控节点之前完成各类预算目标。</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0.42</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督导费用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3.35万元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16.75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。偏差原因：由于我县教育系统各乡镇与县城都有相对督学办公室，因此不会出现过多的督导费用；改进措施：年初制定预算目标进行调整，减少相应的督导费用。</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0.4</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教育系统各学校、幼儿园工程项目费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小于等于400万元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426.61万元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w:t>
      </w:r>
      <w:r>
        <w:rPr>
          <w:rFonts w:hint="eastAsia" w:ascii="仿宋_GB2312" w:hAnsi="仿宋_GB2312" w:cs="仿宋_GB2312"/>
          <w:color w:val="auto"/>
          <w:sz w:val="28"/>
          <w:szCs w:val="28"/>
          <w:highlight w:val="none"/>
        </w:rPr>
        <w:t>教育系统有前期工程款欠拨情况，因此用此项目资金进行还款；改进措施：年初合理安排项目资金支付计划，严格按照计划进行。</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pPr>
        <w:bidi w:val="0"/>
        <w:rPr>
          <w:rFonts w:hint="default"/>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设备采购费用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小于等于300万元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324.37万元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。偏差原因：教育系统有前期工程款欠拨情况，因此用此项目资金进行还款；改进措施：年初合理安排项目资金支付计划，严格按照计划进行。</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6"/>
        <w:numPr>
          <w:ilvl w:val="0"/>
          <w:numId w:val="3"/>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改善广大师生员工的教学、科研条件</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有效改善</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“改善广大师生员工的生活设施</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有效改善</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服务学校满意度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91.21%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color w:val="auto"/>
          <w:lang w:val="en-US" w:eastAsia="zh-CN"/>
        </w:rPr>
      </w:pPr>
      <w:r>
        <w:rPr>
          <w:rFonts w:hint="eastAsia"/>
          <w:lang w:eastAsia="zh-CN"/>
        </w:rPr>
        <w:t>本项目</w:t>
      </w:r>
      <w:r>
        <w:rPr>
          <w:rFonts w:hint="eastAsia"/>
          <w:lang w:val="en-US" w:eastAsia="zh-CN"/>
        </w:rPr>
        <w:t>全年预算</w:t>
      </w:r>
      <w:r>
        <w:rPr>
          <w:rFonts w:hint="eastAsia"/>
          <w:color w:val="auto"/>
          <w:lang w:val="en-US" w:eastAsia="zh-CN"/>
        </w:rPr>
        <w:t>数为800万元，全年到位数为800万元，全年执行数为800万元，预算执行率为100%。</w:t>
      </w:r>
    </w:p>
    <w:p>
      <w:pPr>
        <w:pStyle w:val="2"/>
        <w:rPr>
          <w:color w:val="auto"/>
        </w:rPr>
      </w:pP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21</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18个，扣分指标数量5个，经分析计算所有三级指标完成率得出本项目</w:t>
      </w:r>
      <w:r>
        <w:rPr>
          <w:rFonts w:hint="eastAsia"/>
          <w:color w:val="auto"/>
        </w:rPr>
        <w:t>总体完成率为</w:t>
      </w:r>
      <w:r>
        <w:rPr>
          <w:rFonts w:hint="eastAsia"/>
          <w:color w:val="auto"/>
          <w:lang w:val="en-US" w:eastAsia="zh-CN"/>
        </w:rPr>
        <w:t>81.5%</w:t>
      </w:r>
      <w:r>
        <w:rPr>
          <w:rFonts w:hint="eastAsia"/>
          <w:color w:val="auto"/>
          <w:lang w:val="zh-TW" w:eastAsia="zh-TW"/>
        </w:rPr>
        <w:t>。</w:t>
      </w:r>
    </w:p>
    <w:p>
      <w:pPr>
        <w:bidi w:val="0"/>
        <w:rPr>
          <w:rFonts w:hint="default"/>
          <w:color w:val="auto"/>
          <w:lang w:val="en-US" w:eastAsia="zh-CN"/>
        </w:rPr>
      </w:pPr>
      <w:r>
        <w:rPr>
          <w:rFonts w:hint="eastAsia"/>
          <w:color w:val="auto"/>
          <w:lang w:val="en-US" w:eastAsia="zh-CN"/>
        </w:rPr>
        <w:t>综上所述本项目预算执行率与总体完成率之间的偏差为18.5%。</w:t>
      </w:r>
    </w:p>
    <w:p>
      <w:pPr>
        <w:pStyle w:val="4"/>
        <w:ind w:firstLine="640"/>
        <w:rPr>
          <w:rFonts w:hint="eastAsia" w:eastAsia="黑体"/>
          <w:color w:val="auto"/>
          <w:highlight w:val="none"/>
          <w:lang w:val="en-US" w:eastAsia="zh-CN"/>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4"/>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仿宋_GB2312"/>
          <w:bCs/>
          <w:color w:val="auto"/>
          <w:sz w:val="32"/>
          <w:szCs w:val="32"/>
          <w:highlight w:val="none"/>
        </w:rPr>
        <w:t>一</w:t>
      </w:r>
      <w:r>
        <w:rPr>
          <w:rFonts w:hint="eastAsia" w:ascii="仿宋_GB2312" w:hAnsi="仿宋_GB2312" w:cs="仿宋_GB2312"/>
          <w:color w:val="auto"/>
          <w:sz w:val="28"/>
          <w:szCs w:val="28"/>
          <w:highlight w:val="none"/>
          <w:lang w:val="en-US" w:eastAsia="zh-CN"/>
        </w:rPr>
        <w:t>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pPr>
        <w:pStyle w:val="5"/>
        <w:numPr>
          <w:ilvl w:val="0"/>
          <w:numId w:val="4"/>
        </w:numPr>
        <w:ind w:firstLine="643"/>
        <w:rPr>
          <w:color w:val="auto"/>
          <w:highlight w:val="none"/>
        </w:rPr>
      </w:pPr>
      <w:r>
        <w:rPr>
          <w:rFonts w:hint="eastAsia"/>
          <w:color w:val="auto"/>
          <w:highlight w:val="none"/>
        </w:rPr>
        <w:t>存在的问题及原因分析</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1、预算编制不够科学，预算确定的资金量与实际工作任务不匹配。</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2、资金分配不够合理，工程项目费、设备采购费资金超出计划，培训费和督导费预算编制过多，导致执行率较差。</w:t>
      </w:r>
    </w:p>
    <w:p>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1、制定合理的预算方案，科学评估各项资金的优先级，合理分配资金，避免出现不必要的重复支出。加强预算执行管理，严格按照预算方案进行预算，确保资金的使用合规、透明。</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加强与各项目科室的事前沟通，根据上年度完成值和当年工作任务合理测算预算支出，做好资金分配；项目实施过程中加强定期监控，督促条件装备中心和相关项目科室按预算使用资金，并完善各类土建、采购台账，做到账目清晰，实施规范。</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4B54F814"/>
    <w:multiLevelType w:val="singleLevel"/>
    <w:tmpl w:val="4B54F814"/>
    <w:lvl w:ilvl="0" w:tentative="0">
      <w:start w:val="1"/>
      <w:numFmt w:val="decimal"/>
      <w:lvlText w:val="%1."/>
      <w:lvlJc w:val="left"/>
      <w:pPr>
        <w:tabs>
          <w:tab w:val="left" w:pos="312"/>
        </w:tabs>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zU3ZjAwODhkNDdhYjkxMjBkNGZkOTdiZGVjM2EifQ=="/>
  </w:docVars>
  <w:rsids>
    <w:rsidRoot w:val="00000000"/>
    <w:rsid w:val="015D2181"/>
    <w:rsid w:val="022C2BA3"/>
    <w:rsid w:val="025956BB"/>
    <w:rsid w:val="03642D73"/>
    <w:rsid w:val="081D34E8"/>
    <w:rsid w:val="09E93504"/>
    <w:rsid w:val="0AF22BF1"/>
    <w:rsid w:val="0C590374"/>
    <w:rsid w:val="0C675DD7"/>
    <w:rsid w:val="0E19359E"/>
    <w:rsid w:val="0FCC13BF"/>
    <w:rsid w:val="127F2330"/>
    <w:rsid w:val="1288063A"/>
    <w:rsid w:val="17153337"/>
    <w:rsid w:val="175353D7"/>
    <w:rsid w:val="17AD22C5"/>
    <w:rsid w:val="17B35DB7"/>
    <w:rsid w:val="18201417"/>
    <w:rsid w:val="18982224"/>
    <w:rsid w:val="18BC7BFA"/>
    <w:rsid w:val="1B4423CB"/>
    <w:rsid w:val="1D59375E"/>
    <w:rsid w:val="223905D4"/>
    <w:rsid w:val="2493704D"/>
    <w:rsid w:val="25D32AED"/>
    <w:rsid w:val="266100F9"/>
    <w:rsid w:val="279969CF"/>
    <w:rsid w:val="27D16C6A"/>
    <w:rsid w:val="28153891"/>
    <w:rsid w:val="288D1F44"/>
    <w:rsid w:val="2CD10712"/>
    <w:rsid w:val="2D4D1CCC"/>
    <w:rsid w:val="2E941121"/>
    <w:rsid w:val="2F85777D"/>
    <w:rsid w:val="31356294"/>
    <w:rsid w:val="31F1094E"/>
    <w:rsid w:val="326B0BDC"/>
    <w:rsid w:val="3406766E"/>
    <w:rsid w:val="34BA5E5C"/>
    <w:rsid w:val="35496A51"/>
    <w:rsid w:val="356E624F"/>
    <w:rsid w:val="36E617E9"/>
    <w:rsid w:val="39330366"/>
    <w:rsid w:val="3A3226C2"/>
    <w:rsid w:val="3DB905C6"/>
    <w:rsid w:val="3F0331D2"/>
    <w:rsid w:val="3FB8257E"/>
    <w:rsid w:val="408C088B"/>
    <w:rsid w:val="41C85424"/>
    <w:rsid w:val="42F139EE"/>
    <w:rsid w:val="435A2102"/>
    <w:rsid w:val="43D163CE"/>
    <w:rsid w:val="454442ED"/>
    <w:rsid w:val="45A30C35"/>
    <w:rsid w:val="468772B0"/>
    <w:rsid w:val="46DF6323"/>
    <w:rsid w:val="4B233142"/>
    <w:rsid w:val="4DBD161E"/>
    <w:rsid w:val="4DFA61C8"/>
    <w:rsid w:val="4FB651D2"/>
    <w:rsid w:val="51894824"/>
    <w:rsid w:val="52C55120"/>
    <w:rsid w:val="52E639B1"/>
    <w:rsid w:val="538E509D"/>
    <w:rsid w:val="539435F4"/>
    <w:rsid w:val="53F8370C"/>
    <w:rsid w:val="55356D22"/>
    <w:rsid w:val="558C043F"/>
    <w:rsid w:val="572D025E"/>
    <w:rsid w:val="59842D0A"/>
    <w:rsid w:val="59DF3E81"/>
    <w:rsid w:val="5ADA1C4D"/>
    <w:rsid w:val="5CDE58B4"/>
    <w:rsid w:val="5D5C3AC7"/>
    <w:rsid w:val="5E2A1B5D"/>
    <w:rsid w:val="5FB673AF"/>
    <w:rsid w:val="605E1D5A"/>
    <w:rsid w:val="641F6FF5"/>
    <w:rsid w:val="65A36562"/>
    <w:rsid w:val="65CA2800"/>
    <w:rsid w:val="671D7261"/>
    <w:rsid w:val="6B3709F5"/>
    <w:rsid w:val="6C1C4BD1"/>
    <w:rsid w:val="6E8B7C84"/>
    <w:rsid w:val="6EB05420"/>
    <w:rsid w:val="6FB870D9"/>
    <w:rsid w:val="700832F4"/>
    <w:rsid w:val="701D302F"/>
    <w:rsid w:val="714F6A99"/>
    <w:rsid w:val="77D32D51"/>
    <w:rsid w:val="78054355"/>
    <w:rsid w:val="7807667B"/>
    <w:rsid w:val="797F3308"/>
    <w:rsid w:val="79D34F76"/>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Hyperlink"/>
    <w:basedOn w:val="13"/>
    <w:qFormat/>
    <w:uiPriority w:val="0"/>
    <w:rPr>
      <w:color w:val="0000FF"/>
      <w:u w:val="single"/>
    </w:rPr>
  </w:style>
  <w:style w:type="paragraph" w:customStyle="1" w:styleId="15">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11369</Words>
  <Characters>12148</Characters>
  <Lines>0</Lines>
  <Paragraphs>0</Paragraphs>
  <TotalTime>6</TotalTime>
  <ScaleCrop>false</ScaleCrop>
  <LinksUpToDate>false</LinksUpToDate>
  <CharactersWithSpaces>12156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