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ascii="黑体" w:hAnsi="黑体" w:eastAsia="黑体" w:cs="黑体"/>
          <w:b/>
          <w:bCs/>
          <w:color w:val="auto"/>
          <w:sz w:val="36"/>
          <w:szCs w:val="36"/>
          <w:highlight w:val="none"/>
        </w:rPr>
      </w:pPr>
      <w:bookmarkStart w:id="18" w:name="_GoBack"/>
      <w:bookmarkEnd w:id="18"/>
      <w:r>
        <w:rPr>
          <w:rFonts w:hint="eastAsia" w:ascii="黑体" w:hAnsi="黑体" w:eastAsia="黑体" w:cs="黑体"/>
          <w:b/>
          <w:bCs/>
          <w:color w:val="auto"/>
          <w:sz w:val="36"/>
          <w:szCs w:val="36"/>
          <w:highlight w:val="none"/>
        </w:rPr>
        <w:t>2023年中央补助地方公共文化服务体系建设专项资金项目支出绩效评价报告</w:t>
      </w:r>
    </w:p>
    <w:p>
      <w:pPr>
        <w:pStyle w:val="4"/>
        <w:ind w:firstLine="640"/>
        <w:rPr>
          <w:color w:val="auto"/>
          <w:highlight w:val="none"/>
        </w:rPr>
      </w:pPr>
      <w:r>
        <w:rPr>
          <w:rFonts w:hint="eastAsia"/>
          <w:color w:val="auto"/>
          <w:highlight w:val="none"/>
        </w:rPr>
        <w:t>一、基本情况</w:t>
      </w:r>
    </w:p>
    <w:p>
      <w:pPr>
        <w:pStyle w:val="5"/>
        <w:ind w:firstLine="643"/>
        <w:rPr>
          <w:color w:val="auto"/>
          <w:highlight w:val="none"/>
        </w:rPr>
      </w:pPr>
      <w:r>
        <w:rPr>
          <w:rFonts w:hint="eastAsia"/>
          <w:color w:val="auto"/>
          <w:highlight w:val="none"/>
        </w:rPr>
        <w:t>（一）项目概况</w:t>
      </w:r>
    </w:p>
    <w:p>
      <w:pPr>
        <w:pStyle w:val="6"/>
        <w:ind w:firstLine="562"/>
        <w:rPr>
          <w:rFonts w:hint="eastAsia"/>
          <w:color w:val="auto"/>
          <w:highlight w:val="none"/>
        </w:rPr>
      </w:pPr>
      <w:r>
        <w:rPr>
          <w:rFonts w:hint="eastAsia"/>
          <w:color w:val="auto"/>
          <w:highlight w:val="none"/>
        </w:rPr>
        <w:t>1.项目背景</w:t>
      </w:r>
    </w:p>
    <w:p>
      <w:pPr>
        <w:rPr>
          <w:color w:val="auto"/>
          <w:highlight w:val="none"/>
        </w:rPr>
      </w:pPr>
      <w:r>
        <w:rPr>
          <w:rFonts w:eastAsia="仿宋_GB2312"/>
          <w:color w:val="auto"/>
          <w:sz w:val="32"/>
          <w:szCs w:val="32"/>
          <w:highlight w:val="none"/>
        </w:rPr>
        <w:t>2023</w:t>
      </w:r>
      <w:r>
        <w:rPr>
          <w:rFonts w:hint="eastAsia" w:eastAsia="仿宋_GB2312"/>
          <w:color w:val="auto"/>
          <w:sz w:val="32"/>
          <w:szCs w:val="32"/>
          <w:highlight w:val="none"/>
        </w:rPr>
        <w:t>年中央补助地方公共文化服务体系建设专项资金项目旨在加强地方公共文化服务体系建设，提升公共文化服务的普惠性、普及性和便利性，落实公共文化服务的发展战略和目标，提升公共文化服务的水平和效益，推动文化事业的繁荣发展和文化产业发展和文化软实力提升，进一步满足人民群众丰富多彩的文化需求。　</w:t>
      </w:r>
    </w:p>
    <w:p>
      <w:pPr>
        <w:pStyle w:val="6"/>
        <w:ind w:firstLine="562"/>
        <w:rPr>
          <w:color w:val="auto"/>
          <w:highlight w:val="none"/>
        </w:rPr>
      </w:pPr>
      <w:r>
        <w:rPr>
          <w:rFonts w:hint="eastAsia"/>
          <w:color w:val="auto"/>
          <w:highlight w:val="none"/>
        </w:rPr>
        <w:t>2.主要内容</w:t>
      </w:r>
    </w:p>
    <w:p>
      <w:pPr>
        <w:ind w:firstLine="560"/>
        <w:rPr>
          <w:rFonts w:hint="eastAsia"/>
          <w:color w:val="auto"/>
          <w:highlight w:val="none"/>
          <w:lang w:val="en-US" w:eastAsia="zh-CN"/>
        </w:rPr>
      </w:pPr>
      <w:r>
        <w:rPr>
          <w:rFonts w:hint="eastAsia"/>
          <w:color w:val="auto"/>
          <w:highlight w:val="none"/>
          <w:lang w:val="en-US" w:eastAsia="zh-CN"/>
        </w:rPr>
        <w:t>项目名称：</w:t>
      </w:r>
      <w:r>
        <w:rPr>
          <w:rFonts w:eastAsia="仿宋_GB2312"/>
          <w:color w:val="auto"/>
          <w:sz w:val="32"/>
          <w:szCs w:val="32"/>
          <w:highlight w:val="none"/>
        </w:rPr>
        <w:t>2023</w:t>
      </w:r>
      <w:r>
        <w:rPr>
          <w:rFonts w:hint="eastAsia" w:eastAsia="仿宋_GB2312"/>
          <w:color w:val="auto"/>
          <w:sz w:val="32"/>
          <w:szCs w:val="32"/>
          <w:highlight w:val="none"/>
        </w:rPr>
        <w:t>年中央补助地方公共文化服务体系建设专项资金项目</w:t>
      </w:r>
    </w:p>
    <w:p>
      <w:pPr>
        <w:ind w:firstLine="562"/>
        <w:rPr>
          <w:color w:val="auto"/>
          <w:highlight w:val="none"/>
        </w:rPr>
      </w:pPr>
      <w:r>
        <w:rPr>
          <w:rFonts w:hint="eastAsia"/>
          <w:color w:val="auto"/>
          <w:highlight w:val="none"/>
          <w:lang w:val="en-US" w:eastAsia="zh-CN"/>
        </w:rPr>
        <w:t>项目主要内容：</w:t>
      </w:r>
      <w:r>
        <w:rPr>
          <w:rFonts w:hint="eastAsia" w:ascii="仿宋_GB2312" w:hAnsi="仿宋_GB2312" w:eastAsia="仿宋_GB2312" w:cs="仿宋_GB2312"/>
          <w:color w:val="auto"/>
          <w:sz w:val="30"/>
          <w:szCs w:val="30"/>
          <w:highlight w:val="none"/>
        </w:rPr>
        <w:t>项目主要内容</w:t>
      </w:r>
      <w:r>
        <w:rPr>
          <w:rFonts w:hint="eastAsia" w:eastAsia="仿宋_GB2312"/>
          <w:color w:val="auto"/>
          <w:sz w:val="32"/>
          <w:szCs w:val="32"/>
          <w:highlight w:val="none"/>
        </w:rPr>
        <w:t>：巡查文物保护点数量</w:t>
      </w:r>
      <w:r>
        <w:rPr>
          <w:rFonts w:eastAsia="仿宋_GB2312"/>
          <w:color w:val="auto"/>
          <w:sz w:val="32"/>
          <w:szCs w:val="32"/>
          <w:highlight w:val="none"/>
        </w:rPr>
        <w:t>79</w:t>
      </w:r>
      <w:r>
        <w:rPr>
          <w:rFonts w:hint="eastAsia" w:eastAsia="仿宋_GB2312"/>
          <w:color w:val="auto"/>
          <w:sz w:val="32"/>
          <w:szCs w:val="32"/>
          <w:highlight w:val="none"/>
        </w:rPr>
        <w:t>处；文艺演出场次不少于</w:t>
      </w:r>
      <w:r>
        <w:rPr>
          <w:rFonts w:eastAsia="仿宋_GB2312"/>
          <w:color w:val="auto"/>
          <w:sz w:val="32"/>
          <w:szCs w:val="32"/>
          <w:highlight w:val="none"/>
        </w:rPr>
        <w:t>120</w:t>
      </w:r>
      <w:r>
        <w:rPr>
          <w:rFonts w:hint="eastAsia" w:eastAsia="仿宋_GB2312"/>
          <w:color w:val="auto"/>
          <w:sz w:val="32"/>
          <w:szCs w:val="32"/>
          <w:highlight w:val="none"/>
        </w:rPr>
        <w:t>场次；艺术类专业培训</w:t>
      </w:r>
      <w:r>
        <w:rPr>
          <w:rFonts w:eastAsia="仿宋_GB2312"/>
          <w:color w:val="auto"/>
          <w:sz w:val="32"/>
          <w:szCs w:val="32"/>
          <w:highlight w:val="none"/>
        </w:rPr>
        <w:t>2</w:t>
      </w:r>
      <w:r>
        <w:rPr>
          <w:rFonts w:hint="eastAsia" w:eastAsia="仿宋_GB2312"/>
          <w:color w:val="auto"/>
          <w:sz w:val="32"/>
          <w:szCs w:val="32"/>
          <w:highlight w:val="none"/>
        </w:rPr>
        <w:t>次；完成农影放映</w:t>
      </w:r>
      <w:r>
        <w:rPr>
          <w:rFonts w:eastAsia="仿宋_GB2312"/>
          <w:color w:val="auto"/>
          <w:sz w:val="32"/>
          <w:szCs w:val="32"/>
          <w:highlight w:val="none"/>
        </w:rPr>
        <w:t>528</w:t>
      </w:r>
      <w:r>
        <w:rPr>
          <w:rFonts w:hint="eastAsia" w:eastAsia="仿宋_GB2312"/>
          <w:color w:val="auto"/>
          <w:sz w:val="32"/>
          <w:szCs w:val="32"/>
          <w:highlight w:val="none"/>
        </w:rPr>
        <w:t>场次；农影放映乡村数量</w:t>
      </w:r>
      <w:r>
        <w:rPr>
          <w:rFonts w:eastAsia="仿宋_GB2312"/>
          <w:color w:val="auto"/>
          <w:sz w:val="32"/>
          <w:szCs w:val="32"/>
          <w:highlight w:val="none"/>
        </w:rPr>
        <w:t>44</w:t>
      </w:r>
      <w:r>
        <w:rPr>
          <w:rFonts w:hint="eastAsia" w:eastAsia="仿宋_GB2312"/>
          <w:color w:val="auto"/>
          <w:sz w:val="32"/>
          <w:szCs w:val="32"/>
          <w:highlight w:val="none"/>
        </w:rPr>
        <w:t>个；预算控制数不超过</w:t>
      </w:r>
      <w:r>
        <w:rPr>
          <w:rFonts w:eastAsia="仿宋_GB2312"/>
          <w:color w:val="auto"/>
          <w:sz w:val="32"/>
          <w:szCs w:val="32"/>
          <w:highlight w:val="none"/>
        </w:rPr>
        <w:t>141.2</w:t>
      </w:r>
      <w:r>
        <w:rPr>
          <w:rFonts w:hint="eastAsia" w:eastAsia="仿宋_GB2312"/>
          <w:color w:val="auto"/>
          <w:sz w:val="32"/>
          <w:szCs w:val="32"/>
          <w:highlight w:val="none"/>
        </w:rPr>
        <w:t>万元；进一步丰富群众的文化体育生活，促进托克逊县体育事业的发展，扩大托克逊县文化体育影响力，提升知名度和美誉度；通过公益电影放映，进一步丰富农牧民群众的文化生活，提高广大农牧民对文化需求的满意度和幸福感；提供基本公共文化服务项目，改善基层公共文化体育设施条件；提供基本公共文化服务项目、公共文化体育设施维修和设备购置、开展群众体育活动以及基本公共文化服务其他项目。</w:t>
      </w:r>
    </w:p>
    <w:p>
      <w:pPr>
        <w:pStyle w:val="6"/>
        <w:ind w:firstLine="562"/>
        <w:rPr>
          <w:color w:val="auto"/>
          <w:highlight w:val="none"/>
        </w:rPr>
      </w:pPr>
      <w:r>
        <w:rPr>
          <w:rFonts w:hint="eastAsia"/>
          <w:color w:val="auto"/>
          <w:highlight w:val="none"/>
          <w:lang w:val="en-US" w:eastAsia="zh-CN"/>
        </w:rPr>
        <w:t>3</w:t>
      </w:r>
      <w:r>
        <w:rPr>
          <w:rFonts w:hint="eastAsia"/>
          <w:color w:val="auto"/>
          <w:highlight w:val="none"/>
        </w:rPr>
        <w:t>.实施情况</w:t>
      </w:r>
    </w:p>
    <w:p>
      <w:pPr>
        <w:spacing w:line="700" w:lineRule="exact"/>
        <w:jc w:val="left"/>
        <w:rPr>
          <w:color w:val="auto"/>
          <w:highlight w:val="none"/>
        </w:rPr>
      </w:pPr>
      <w:r>
        <w:rPr>
          <w:rFonts w:hint="eastAsia"/>
          <w:color w:val="auto"/>
          <w:highlight w:val="none"/>
          <w:lang w:val="en-US" w:eastAsia="zh-CN"/>
        </w:rPr>
        <w:t>项目</w:t>
      </w:r>
      <w:r>
        <w:rPr>
          <w:color w:val="auto"/>
          <w:highlight w:val="none"/>
        </w:rPr>
        <w:t>实施主体：</w:t>
      </w:r>
      <w:r>
        <w:rPr>
          <w:rFonts w:hint="eastAsia"/>
          <w:color w:val="auto"/>
          <w:highlight w:val="none"/>
        </w:rPr>
        <w:t>托克逊县文化体育广播电视和旅游局</w:t>
      </w:r>
    </w:p>
    <w:p>
      <w:pPr>
        <w:ind w:firstLine="560"/>
        <w:rPr>
          <w:rFonts w:hint="eastAsia"/>
          <w:color w:val="auto"/>
          <w:highlight w:val="none"/>
        </w:rPr>
      </w:pPr>
      <w:r>
        <w:rPr>
          <w:color w:val="auto"/>
          <w:highlight w:val="none"/>
        </w:rPr>
        <w:t>实施时间：</w:t>
      </w:r>
      <w:r>
        <w:rPr>
          <w:rFonts w:hint="eastAsia"/>
          <w:color w:val="auto"/>
          <w:highlight w:val="none"/>
        </w:rPr>
        <w:t>本项目开始时间为</w:t>
      </w:r>
      <w:r>
        <w:rPr>
          <w:rFonts w:hint="eastAsia"/>
          <w:color w:val="auto"/>
          <w:highlight w:val="none"/>
          <w:lang w:eastAsia="zh-CN"/>
        </w:rPr>
        <w:t>202</w:t>
      </w:r>
      <w:r>
        <w:rPr>
          <w:rFonts w:hint="eastAsia"/>
          <w:color w:val="auto"/>
          <w:highlight w:val="none"/>
          <w:lang w:val="en-US" w:eastAsia="zh-CN"/>
        </w:rPr>
        <w:t>3</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eastAsia="zh-CN"/>
        </w:rPr>
        <w:t>202</w:t>
      </w:r>
      <w:r>
        <w:rPr>
          <w:rFonts w:hint="eastAsia"/>
          <w:color w:val="auto"/>
          <w:highlight w:val="none"/>
          <w:lang w:val="en-US" w:eastAsia="zh-CN"/>
        </w:rPr>
        <w:t>3</w:t>
      </w:r>
      <w:r>
        <w:rPr>
          <w:rFonts w:hint="eastAsia"/>
          <w:color w:val="auto"/>
          <w:highlight w:val="none"/>
          <w:lang w:eastAsia="zh-CN"/>
        </w:rPr>
        <w:t>年</w:t>
      </w:r>
      <w:r>
        <w:rPr>
          <w:rFonts w:hint="eastAsia"/>
          <w:color w:val="auto"/>
          <w:highlight w:val="none"/>
          <w:lang w:val="en-US" w:eastAsia="zh-CN"/>
        </w:rPr>
        <w:t>12</w:t>
      </w:r>
      <w:r>
        <w:rPr>
          <w:rFonts w:hint="eastAsia"/>
          <w:color w:val="auto"/>
          <w:highlight w:val="none"/>
        </w:rPr>
        <w:t>月。</w:t>
      </w:r>
    </w:p>
    <w:p>
      <w:pPr>
        <w:widowControl/>
        <w:shd w:val="clear" w:color="auto" w:fill="FFFFFF"/>
        <w:spacing w:line="560" w:lineRule="exact"/>
        <w:ind w:firstLine="560" w:firstLineChars="200"/>
        <w:rPr>
          <w:color w:val="auto"/>
          <w:highlight w:val="none"/>
        </w:rPr>
      </w:pPr>
      <w:r>
        <w:rPr>
          <w:rFonts w:hint="eastAsia"/>
          <w:color w:val="auto"/>
          <w:highlight w:val="none"/>
          <w:lang w:val="en-US" w:eastAsia="zh-CN"/>
        </w:rPr>
        <w:t>项目实施情况：</w:t>
      </w:r>
      <w:r>
        <w:rPr>
          <w:rFonts w:hint="eastAsia" w:eastAsia="仿宋_GB2312"/>
          <w:color w:val="auto"/>
          <w:sz w:val="32"/>
          <w:szCs w:val="32"/>
          <w:highlight w:val="none"/>
        </w:rPr>
        <w:t>巡查文物保护点数量</w:t>
      </w:r>
      <w:r>
        <w:rPr>
          <w:rFonts w:eastAsia="仿宋_GB2312"/>
          <w:color w:val="auto"/>
          <w:sz w:val="32"/>
          <w:szCs w:val="32"/>
          <w:highlight w:val="none"/>
        </w:rPr>
        <w:t>79</w:t>
      </w:r>
      <w:r>
        <w:rPr>
          <w:rFonts w:hint="eastAsia" w:eastAsia="仿宋_GB2312"/>
          <w:color w:val="auto"/>
          <w:sz w:val="32"/>
          <w:szCs w:val="32"/>
          <w:highlight w:val="none"/>
        </w:rPr>
        <w:t>处；文艺演出场次不少于</w:t>
      </w:r>
      <w:r>
        <w:rPr>
          <w:rFonts w:eastAsia="仿宋_GB2312"/>
          <w:color w:val="auto"/>
          <w:sz w:val="32"/>
          <w:szCs w:val="32"/>
          <w:highlight w:val="none"/>
        </w:rPr>
        <w:t>120</w:t>
      </w:r>
      <w:r>
        <w:rPr>
          <w:rFonts w:hint="eastAsia" w:eastAsia="仿宋_GB2312"/>
          <w:color w:val="auto"/>
          <w:sz w:val="32"/>
          <w:szCs w:val="32"/>
          <w:highlight w:val="none"/>
        </w:rPr>
        <w:t>场次；艺术类专业培训</w:t>
      </w:r>
      <w:r>
        <w:rPr>
          <w:rFonts w:eastAsia="仿宋_GB2312"/>
          <w:color w:val="auto"/>
          <w:sz w:val="32"/>
          <w:szCs w:val="32"/>
          <w:highlight w:val="none"/>
        </w:rPr>
        <w:t>2</w:t>
      </w:r>
      <w:r>
        <w:rPr>
          <w:rFonts w:hint="eastAsia" w:eastAsia="仿宋_GB2312"/>
          <w:color w:val="auto"/>
          <w:sz w:val="32"/>
          <w:szCs w:val="32"/>
          <w:highlight w:val="none"/>
        </w:rPr>
        <w:t>次；完成农影放映</w:t>
      </w:r>
      <w:r>
        <w:rPr>
          <w:rFonts w:eastAsia="仿宋_GB2312"/>
          <w:color w:val="auto"/>
          <w:sz w:val="32"/>
          <w:szCs w:val="32"/>
          <w:highlight w:val="none"/>
        </w:rPr>
        <w:t>528</w:t>
      </w:r>
      <w:r>
        <w:rPr>
          <w:rFonts w:hint="eastAsia" w:eastAsia="仿宋_GB2312"/>
          <w:color w:val="auto"/>
          <w:sz w:val="32"/>
          <w:szCs w:val="32"/>
          <w:highlight w:val="none"/>
        </w:rPr>
        <w:t>场次；农影放映乡村数量</w:t>
      </w:r>
      <w:r>
        <w:rPr>
          <w:rFonts w:eastAsia="仿宋_GB2312"/>
          <w:color w:val="auto"/>
          <w:sz w:val="32"/>
          <w:szCs w:val="32"/>
          <w:highlight w:val="none"/>
        </w:rPr>
        <w:t>44</w:t>
      </w:r>
      <w:r>
        <w:rPr>
          <w:rFonts w:hint="eastAsia" w:eastAsia="仿宋_GB2312"/>
          <w:color w:val="auto"/>
          <w:sz w:val="32"/>
          <w:szCs w:val="32"/>
          <w:highlight w:val="none"/>
        </w:rPr>
        <w:t>个；预算控制数不超过</w:t>
      </w:r>
      <w:r>
        <w:rPr>
          <w:rFonts w:eastAsia="仿宋_GB2312"/>
          <w:color w:val="auto"/>
          <w:sz w:val="32"/>
          <w:szCs w:val="32"/>
          <w:highlight w:val="none"/>
        </w:rPr>
        <w:t>141.2</w:t>
      </w:r>
      <w:r>
        <w:rPr>
          <w:rFonts w:hint="eastAsia" w:eastAsia="仿宋_GB2312"/>
          <w:color w:val="auto"/>
          <w:sz w:val="32"/>
          <w:szCs w:val="32"/>
          <w:highlight w:val="none"/>
        </w:rPr>
        <w:t>万元。进一步丰富群众的文化体育生活，促进托克逊县体育事业的发展，扩大托克逊县文化体育影响力，提升知名度和美誉度；通过公益电影放映，进一步丰富农牧民群众的文化生活，提高广大农牧民对文化需求的满意度和幸福感；提供基本公共文化服务项目，改善基层公共文化体育设施条件；提供基本公共文化服务项目、公共文化体育设施维修和设备购置、开展群众体育活动以及基本公共文化服务其他项目。</w:t>
      </w:r>
    </w:p>
    <w:p>
      <w:pPr>
        <w:pStyle w:val="6"/>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141.2</w:t>
      </w:r>
      <w:r>
        <w:rPr>
          <w:color w:val="auto"/>
          <w:highlight w:val="none"/>
        </w:rPr>
        <w:t>万元，其中财政资金</w:t>
      </w:r>
      <w:r>
        <w:rPr>
          <w:rFonts w:hint="eastAsia"/>
          <w:color w:val="auto"/>
          <w:highlight w:val="none"/>
          <w:lang w:val="en-US" w:eastAsia="zh-CN"/>
        </w:rPr>
        <w:t>141.2</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141.2</w:t>
      </w:r>
      <w:r>
        <w:rPr>
          <w:color w:val="auto"/>
          <w:highlight w:val="none"/>
        </w:rPr>
        <w:t>万元，预算资金到位率为</w:t>
      </w:r>
      <w:r>
        <w:rPr>
          <w:rFonts w:hint="eastAsia"/>
          <w:color w:val="auto"/>
          <w:highlight w:val="none"/>
          <w:lang w:val="en-US" w:eastAsia="zh-CN"/>
        </w:rPr>
        <w:t>100</w:t>
      </w:r>
      <w:r>
        <w:rPr>
          <w:color w:val="auto"/>
          <w:highlight w:val="none"/>
        </w:rPr>
        <w:t>%。</w:t>
      </w:r>
    </w:p>
    <w:p>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spacing w:line="560" w:lineRule="exact"/>
        <w:ind w:firstLine="560" w:firstLineChars="200"/>
        <w:outlineLvl w:val="0"/>
        <w:rPr>
          <w:b w:val="0"/>
          <w:bCs w:val="0"/>
          <w:color w:val="auto"/>
          <w:highlight w:val="none"/>
        </w:rPr>
      </w:pPr>
      <w:r>
        <w:rPr>
          <w:rFonts w:hint="eastAsia"/>
          <w:b w:val="0"/>
          <w:bCs w:val="0"/>
          <w:color w:val="auto"/>
          <w:highlight w:val="none"/>
          <w:lang w:val="en-US" w:eastAsia="zh-CN"/>
        </w:rPr>
        <w:t>截止到2023年12月31日，</w:t>
      </w:r>
      <w:r>
        <w:rPr>
          <w:rFonts w:hint="eastAsia" w:ascii="仿宋_GB2312" w:hAnsi="仿宋_GB2312" w:eastAsia="仿宋_GB2312" w:cs="仿宋_GB2312"/>
          <w:color w:val="auto"/>
          <w:sz w:val="32"/>
          <w:szCs w:val="32"/>
          <w:highlight w:val="none"/>
        </w:rPr>
        <w:t>该项目年初预算数</w:t>
      </w:r>
      <w:r>
        <w:rPr>
          <w:rFonts w:ascii="仿宋_GB2312" w:hAnsi="仿宋_GB2312" w:eastAsia="仿宋_GB2312" w:cs="仿宋_GB2312"/>
          <w:color w:val="auto"/>
          <w:sz w:val="32"/>
          <w:szCs w:val="32"/>
          <w:highlight w:val="none"/>
        </w:rPr>
        <w:t>141.2</w:t>
      </w:r>
      <w:r>
        <w:rPr>
          <w:rFonts w:hint="eastAsia" w:ascii="仿宋_GB2312" w:hAnsi="仿宋_GB2312" w:eastAsia="仿宋_GB2312" w:cs="仿宋_GB2312"/>
          <w:color w:val="auto"/>
          <w:sz w:val="32"/>
          <w:szCs w:val="32"/>
          <w:highlight w:val="none"/>
        </w:rPr>
        <w:t>万元，全年预算数</w:t>
      </w:r>
      <w:r>
        <w:rPr>
          <w:rFonts w:ascii="仿宋_GB2312" w:hAnsi="仿宋_GB2312" w:eastAsia="仿宋_GB2312" w:cs="仿宋_GB2312"/>
          <w:color w:val="auto"/>
          <w:sz w:val="32"/>
          <w:szCs w:val="32"/>
          <w:highlight w:val="none"/>
        </w:rPr>
        <w:t>141.2</w:t>
      </w:r>
      <w:r>
        <w:rPr>
          <w:rFonts w:hint="eastAsia" w:ascii="仿宋_GB2312" w:hAnsi="仿宋_GB2312" w:eastAsia="仿宋_GB2312" w:cs="仿宋_GB2312"/>
          <w:color w:val="auto"/>
          <w:sz w:val="32"/>
          <w:szCs w:val="32"/>
          <w:highlight w:val="none"/>
        </w:rPr>
        <w:t>万元</w:t>
      </w:r>
      <w:r>
        <w:rPr>
          <w:rFonts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rPr>
        <w:t>，全年执行数</w:t>
      </w:r>
      <w:r>
        <w:rPr>
          <w:rFonts w:ascii="仿宋_GB2312" w:hAnsi="仿宋_GB2312" w:eastAsia="仿宋_GB2312" w:cs="仿宋_GB2312"/>
          <w:color w:val="auto"/>
          <w:sz w:val="32"/>
          <w:szCs w:val="32"/>
          <w:highlight w:val="none"/>
        </w:rPr>
        <w:t>141.2</w:t>
      </w:r>
      <w:r>
        <w:rPr>
          <w:rFonts w:hint="eastAsia" w:ascii="仿宋_GB2312" w:hAnsi="仿宋_GB2312" w:eastAsia="仿宋_GB2312" w:cs="仿宋_GB2312"/>
          <w:color w:val="auto"/>
          <w:sz w:val="32"/>
          <w:szCs w:val="32"/>
          <w:highlight w:val="none"/>
        </w:rPr>
        <w:t>万元，预算执行率为</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，主要用于：提升公共文化服务水平，丰富群众文化生活。</w:t>
      </w:r>
      <w:r>
        <w:rPr>
          <w:rFonts w:hint="eastAsia"/>
          <w:b w:val="0"/>
          <w:bCs w:val="0"/>
          <w:color w:val="auto"/>
          <w:highlight w:val="none"/>
        </w:rPr>
        <w:t>项目资金主要用于支付举办赛事、节庆、展览、等文化活动费用</w:t>
      </w:r>
      <w:r>
        <w:rPr>
          <w:rFonts w:hint="eastAsia"/>
          <w:b w:val="0"/>
          <w:bCs w:val="0"/>
          <w:color w:val="auto"/>
          <w:highlight w:val="none"/>
          <w:lang w:val="en-US" w:eastAsia="zh-CN"/>
        </w:rPr>
        <w:t>30</w:t>
      </w:r>
      <w:r>
        <w:rPr>
          <w:rFonts w:hint="eastAsia"/>
          <w:b w:val="0"/>
          <w:bCs w:val="0"/>
          <w:color w:val="auto"/>
          <w:highlight w:val="none"/>
        </w:rPr>
        <w:t>万元，公益电影放映费用</w:t>
      </w:r>
      <w:r>
        <w:rPr>
          <w:rFonts w:hint="eastAsia"/>
          <w:b w:val="0"/>
          <w:bCs w:val="0"/>
          <w:color w:val="auto"/>
          <w:highlight w:val="none"/>
          <w:lang w:val="en-US" w:eastAsia="zh-CN"/>
        </w:rPr>
        <w:t>16.56</w:t>
      </w:r>
      <w:r>
        <w:rPr>
          <w:rFonts w:hint="eastAsia"/>
          <w:b w:val="0"/>
          <w:bCs w:val="0"/>
          <w:color w:val="auto"/>
          <w:highlight w:val="none"/>
        </w:rPr>
        <w:t>万元</w:t>
      </w:r>
      <w:r>
        <w:rPr>
          <w:rFonts w:hint="eastAsia"/>
          <w:b w:val="0"/>
          <w:bCs w:val="0"/>
          <w:color w:val="auto"/>
          <w:highlight w:val="none"/>
          <w:lang w:eastAsia="zh-CN"/>
        </w:rPr>
        <w:t>，公共文化体育设施维修和设备购置</w:t>
      </w:r>
      <w:r>
        <w:rPr>
          <w:rFonts w:hint="eastAsia"/>
          <w:b w:val="0"/>
          <w:bCs w:val="0"/>
          <w:color w:val="auto"/>
          <w:highlight w:val="none"/>
          <w:lang w:val="en-US" w:eastAsia="zh-CN"/>
        </w:rPr>
        <w:t>费用94.64万元</w:t>
      </w:r>
      <w:r>
        <w:rPr>
          <w:rFonts w:hint="eastAsia"/>
          <w:b w:val="0"/>
          <w:bCs w:val="0"/>
          <w:color w:val="auto"/>
          <w:highlight w:val="none"/>
        </w:rPr>
        <w:t>。</w:t>
      </w:r>
    </w:p>
    <w:p>
      <w:pPr>
        <w:pStyle w:val="5"/>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6"/>
        <w:bidi w:val="0"/>
        <w:rPr>
          <w:color w:val="auto"/>
          <w:highlight w:val="none"/>
        </w:rPr>
      </w:pPr>
      <w:r>
        <w:rPr>
          <w:rFonts w:hint="eastAsia"/>
          <w:color w:val="auto"/>
          <w:highlight w:val="none"/>
        </w:rPr>
        <w:t>1.总体目标</w:t>
      </w:r>
    </w:p>
    <w:p>
      <w:pPr>
        <w:pStyle w:val="6"/>
        <w:bidi w:val="0"/>
        <w:rPr>
          <w:rFonts w:hint="default"/>
          <w:b w:val="0"/>
          <w:bCs w:val="0"/>
          <w:color w:val="auto"/>
          <w:highlight w:val="none"/>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w:t>
      </w:r>
      <w:r>
        <w:rPr>
          <w:rFonts w:hint="eastAsia"/>
          <w:b w:val="0"/>
          <w:bCs w:val="0"/>
          <w:color w:val="auto"/>
          <w:highlight w:val="none"/>
          <w:lang w:val="en-US" w:eastAsia="zh-CN"/>
        </w:rPr>
        <w:t>巡查文物保护点数量79处；文艺演出场次不少于120场次；艺术类专业培训2次；完成农影放映528场次；农影放映乡村数量44个；预算控制数不超过141.2万元；进一步丰富群众的文化体育生活，促进托克逊县体育事业的发展，扩大托克逊县文化体育影响力，提升知名度和美誉度；通过公益电影放映，进一步丰富农牧民群众的文化生活，提高广大农牧民对文化需求的满意度和幸福感；提供基本公共文化服务项目，改善基层公共文化体育设施条件；提供基本公共文化服务项目、公共文化体育设施维修和设备购置、开展群众体育活动以及基本公共文化服务其他项目。</w:t>
      </w:r>
    </w:p>
    <w:p>
      <w:pPr>
        <w:pStyle w:val="6"/>
        <w:ind w:firstLine="562"/>
        <w:rPr>
          <w:color w:val="auto"/>
          <w:highlight w:val="none"/>
        </w:rPr>
      </w:pPr>
      <w:r>
        <w:rPr>
          <w:rFonts w:hint="eastAsia"/>
          <w:color w:val="auto"/>
          <w:highlight w:val="none"/>
        </w:rPr>
        <w:t>2.阶段性目标</w:t>
      </w:r>
    </w:p>
    <w:p>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（1）项目产出指标</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fldChar w:fldCharType="begin"/>
      </w:r>
      <w:r>
        <w:rPr>
          <w:rFonts w:ascii="仿宋_GB2312" w:hAnsi="仿宋_GB2312" w:eastAsia="仿宋_GB2312" w:cs="仿宋_GB2312"/>
          <w:color w:val="auto"/>
          <w:sz w:val="32"/>
          <w:szCs w:val="32"/>
          <w:highlight w:val="none"/>
        </w:rPr>
        <w:instrText xml:space="preserve"> = 1 \* GB3 </w:instrText>
      </w:r>
      <w:r>
        <w:rPr>
          <w:rFonts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①</w:t>
      </w:r>
      <w:r>
        <w:rPr>
          <w:rFonts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数量指标：</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rPr>
        <w:t>：巡查保护文物点数量，</w:t>
      </w:r>
      <w:r>
        <w:rPr>
          <w:rFonts w:hint="eastAsia" w:ascii="仿宋_GB2312" w:hAnsi="仿宋_GB2312" w:cs="仿宋_GB2312"/>
          <w:color w:val="auto"/>
          <w:sz w:val="32"/>
          <w:szCs w:val="32"/>
          <w:highlight w:val="none"/>
          <w:lang w:val="en-US" w:eastAsia="zh-CN"/>
        </w:rPr>
        <w:t>预期</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val="en-US" w:eastAsia="zh-CN"/>
        </w:rPr>
        <w:t>大于等于</w:t>
      </w:r>
      <w:r>
        <w:rPr>
          <w:rFonts w:ascii="仿宋_GB2312" w:hAnsi="仿宋_GB2312" w:eastAsia="仿宋_GB2312" w:cs="仿宋_GB2312"/>
          <w:color w:val="auto"/>
          <w:sz w:val="32"/>
          <w:szCs w:val="32"/>
          <w:highlight w:val="none"/>
        </w:rPr>
        <w:t>79</w:t>
      </w:r>
      <w:r>
        <w:rPr>
          <w:rFonts w:hint="eastAsia" w:ascii="仿宋_GB2312" w:hAnsi="仿宋_GB2312" w:eastAsia="仿宋_GB2312" w:cs="仿宋_GB2312"/>
          <w:color w:val="auto"/>
          <w:sz w:val="32"/>
          <w:szCs w:val="32"/>
          <w:highlight w:val="none"/>
        </w:rPr>
        <w:t>处。</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rPr>
        <w:t>：文艺演出场次，</w:t>
      </w:r>
      <w:r>
        <w:rPr>
          <w:rFonts w:hint="eastAsia" w:ascii="仿宋_GB2312" w:hAnsi="仿宋_GB2312" w:cs="仿宋_GB2312"/>
          <w:color w:val="auto"/>
          <w:sz w:val="32"/>
          <w:szCs w:val="32"/>
          <w:highlight w:val="none"/>
          <w:lang w:val="en-US" w:eastAsia="zh-CN"/>
        </w:rPr>
        <w:t>预期</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val="en-US" w:eastAsia="zh-CN"/>
        </w:rPr>
        <w:t>大于等于</w:t>
      </w:r>
      <w:r>
        <w:rPr>
          <w:rFonts w:ascii="仿宋_GB2312" w:hAnsi="仿宋_GB2312" w:eastAsia="仿宋_GB2312" w:cs="仿宋_GB2312"/>
          <w:color w:val="auto"/>
          <w:sz w:val="32"/>
          <w:szCs w:val="32"/>
          <w:highlight w:val="none"/>
        </w:rPr>
        <w:t>120</w:t>
      </w:r>
      <w:r>
        <w:rPr>
          <w:rFonts w:hint="eastAsia" w:ascii="仿宋_GB2312" w:hAnsi="仿宋_GB2312" w:eastAsia="仿宋_GB2312" w:cs="仿宋_GB2312"/>
          <w:color w:val="auto"/>
          <w:sz w:val="32"/>
          <w:szCs w:val="32"/>
          <w:highlight w:val="none"/>
        </w:rPr>
        <w:t>场次。</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3</w:t>
      </w:r>
      <w:r>
        <w:rPr>
          <w:rFonts w:hint="eastAsia" w:ascii="仿宋_GB2312" w:hAnsi="仿宋_GB2312" w:eastAsia="仿宋_GB2312" w:cs="仿宋_GB2312"/>
          <w:color w:val="auto"/>
          <w:sz w:val="32"/>
          <w:szCs w:val="32"/>
          <w:highlight w:val="none"/>
        </w:rPr>
        <w:t>：艺术类专业培训场次，</w:t>
      </w:r>
      <w:r>
        <w:rPr>
          <w:rFonts w:hint="eastAsia" w:ascii="仿宋_GB2312" w:hAnsi="仿宋_GB2312" w:cs="仿宋_GB2312"/>
          <w:color w:val="auto"/>
          <w:sz w:val="32"/>
          <w:szCs w:val="32"/>
          <w:highlight w:val="none"/>
          <w:lang w:val="en-US" w:eastAsia="zh-CN"/>
        </w:rPr>
        <w:t>预期</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eastAsia="zh-CN"/>
        </w:rPr>
        <w:t>大于等于</w:t>
      </w:r>
      <w:r>
        <w:rPr>
          <w:rFonts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rPr>
        <w:t>次</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4</w:t>
      </w:r>
      <w:r>
        <w:rPr>
          <w:rFonts w:hint="eastAsia" w:ascii="仿宋_GB2312" w:hAnsi="仿宋_GB2312" w:eastAsia="仿宋_GB2312" w:cs="仿宋_GB2312"/>
          <w:color w:val="auto"/>
          <w:sz w:val="32"/>
          <w:szCs w:val="32"/>
          <w:highlight w:val="none"/>
        </w:rPr>
        <w:t>：基建设备维修维护次数，</w:t>
      </w:r>
      <w:r>
        <w:rPr>
          <w:rFonts w:hint="eastAsia" w:ascii="仿宋_GB2312" w:hAnsi="仿宋_GB2312" w:cs="仿宋_GB2312"/>
          <w:color w:val="auto"/>
          <w:sz w:val="32"/>
          <w:szCs w:val="32"/>
          <w:highlight w:val="none"/>
          <w:lang w:val="en-US" w:eastAsia="zh-CN"/>
        </w:rPr>
        <w:t>预期</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eastAsia="zh-CN"/>
        </w:rPr>
        <w:t>大于等于</w:t>
      </w:r>
      <w:r>
        <w:rPr>
          <w:rFonts w:ascii="仿宋_GB2312" w:hAnsi="仿宋_GB2312" w:eastAsia="仿宋_GB2312" w:cs="仿宋_GB2312"/>
          <w:color w:val="auto"/>
          <w:sz w:val="32"/>
          <w:szCs w:val="32"/>
          <w:highlight w:val="none"/>
        </w:rPr>
        <w:t>8</w:t>
      </w:r>
      <w:r>
        <w:rPr>
          <w:rFonts w:hint="eastAsia" w:ascii="仿宋_GB2312" w:hAnsi="仿宋_GB2312" w:eastAsia="仿宋_GB2312" w:cs="仿宋_GB2312"/>
          <w:color w:val="auto"/>
          <w:sz w:val="32"/>
          <w:szCs w:val="32"/>
          <w:highlight w:val="none"/>
        </w:rPr>
        <w:t>次。</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5</w:t>
      </w:r>
      <w:r>
        <w:rPr>
          <w:rFonts w:hint="eastAsia" w:ascii="仿宋_GB2312" w:hAnsi="仿宋_GB2312" w:eastAsia="仿宋_GB2312" w:cs="仿宋_GB2312"/>
          <w:color w:val="auto"/>
          <w:sz w:val="32"/>
          <w:szCs w:val="32"/>
          <w:highlight w:val="none"/>
        </w:rPr>
        <w:t>：开展体育活动次数，</w:t>
      </w:r>
      <w:r>
        <w:rPr>
          <w:rFonts w:hint="eastAsia" w:ascii="仿宋_GB2312" w:hAnsi="仿宋_GB2312" w:cs="仿宋_GB2312"/>
          <w:color w:val="auto"/>
          <w:sz w:val="32"/>
          <w:szCs w:val="32"/>
          <w:highlight w:val="none"/>
          <w:lang w:val="en-US" w:eastAsia="zh-CN"/>
        </w:rPr>
        <w:t>预期</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eastAsia="zh-CN"/>
        </w:rPr>
        <w:t>大于等于</w:t>
      </w:r>
      <w:r>
        <w:rPr>
          <w:rFonts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rPr>
        <w:t>次。</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6</w:t>
      </w:r>
      <w:r>
        <w:rPr>
          <w:rFonts w:hint="eastAsia" w:ascii="仿宋_GB2312" w:hAnsi="仿宋_GB2312" w:eastAsia="仿宋_GB2312" w:cs="仿宋_GB2312"/>
          <w:color w:val="auto"/>
          <w:sz w:val="32"/>
          <w:szCs w:val="32"/>
          <w:highlight w:val="none"/>
        </w:rPr>
        <w:t>：完成农影放映场次，</w:t>
      </w:r>
      <w:r>
        <w:rPr>
          <w:rFonts w:hint="eastAsia" w:ascii="仿宋_GB2312" w:hAnsi="仿宋_GB2312" w:cs="仿宋_GB2312"/>
          <w:color w:val="auto"/>
          <w:sz w:val="32"/>
          <w:szCs w:val="32"/>
          <w:highlight w:val="none"/>
          <w:lang w:val="en-US" w:eastAsia="zh-CN"/>
        </w:rPr>
        <w:t>预期</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eastAsia="zh-CN"/>
        </w:rPr>
        <w:t>大于等于</w:t>
      </w:r>
      <w:r>
        <w:rPr>
          <w:rFonts w:ascii="仿宋_GB2312" w:hAnsi="仿宋_GB2312" w:eastAsia="仿宋_GB2312" w:cs="仿宋_GB2312"/>
          <w:color w:val="auto"/>
          <w:sz w:val="32"/>
          <w:szCs w:val="32"/>
          <w:highlight w:val="none"/>
        </w:rPr>
        <w:t>528</w:t>
      </w:r>
      <w:r>
        <w:rPr>
          <w:rFonts w:hint="eastAsia" w:ascii="仿宋_GB2312" w:hAnsi="仿宋_GB2312" w:eastAsia="仿宋_GB2312" w:cs="仿宋_GB2312"/>
          <w:color w:val="auto"/>
          <w:sz w:val="32"/>
          <w:szCs w:val="32"/>
          <w:highlight w:val="none"/>
        </w:rPr>
        <w:t>场次。</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7</w:t>
      </w:r>
      <w:r>
        <w:rPr>
          <w:rFonts w:hint="eastAsia" w:ascii="仿宋_GB2312" w:hAnsi="仿宋_GB2312" w:eastAsia="仿宋_GB2312" w:cs="仿宋_GB2312"/>
          <w:color w:val="auto"/>
          <w:sz w:val="32"/>
          <w:szCs w:val="32"/>
          <w:highlight w:val="none"/>
        </w:rPr>
        <w:t>：农影放映乡村数量，</w:t>
      </w:r>
      <w:r>
        <w:rPr>
          <w:rFonts w:hint="eastAsia" w:ascii="仿宋_GB2312" w:hAnsi="仿宋_GB2312" w:cs="仿宋_GB2312"/>
          <w:color w:val="auto"/>
          <w:sz w:val="32"/>
          <w:szCs w:val="32"/>
          <w:highlight w:val="none"/>
          <w:lang w:val="en-US" w:eastAsia="zh-CN"/>
        </w:rPr>
        <w:t>预期</w:t>
      </w:r>
      <w:r>
        <w:rPr>
          <w:rFonts w:hint="eastAsia" w:ascii="仿宋_GB2312" w:hAnsi="仿宋_GB2312" w:eastAsia="仿宋_GB2312" w:cs="仿宋_GB2312"/>
          <w:color w:val="auto"/>
          <w:sz w:val="32"/>
          <w:szCs w:val="32"/>
          <w:highlight w:val="none"/>
        </w:rPr>
        <w:t>指标值：</w:t>
      </w:r>
      <w:r>
        <w:rPr>
          <w:rFonts w:ascii="仿宋_GB2312" w:hAnsi="仿宋_GB2312" w:eastAsia="仿宋_GB2312" w:cs="仿宋_GB2312"/>
          <w:color w:val="auto"/>
          <w:sz w:val="32"/>
          <w:szCs w:val="32"/>
          <w:highlight w:val="none"/>
        </w:rPr>
        <w:t>44</w:t>
      </w:r>
      <w:r>
        <w:rPr>
          <w:rFonts w:hint="eastAsia" w:ascii="仿宋_GB2312" w:hAnsi="仿宋_GB2312" w:eastAsia="仿宋_GB2312" w:cs="仿宋_GB2312"/>
          <w:color w:val="auto"/>
          <w:sz w:val="32"/>
          <w:szCs w:val="32"/>
          <w:highlight w:val="none"/>
        </w:rPr>
        <w:t>个</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fldChar w:fldCharType="begin"/>
      </w:r>
      <w:r>
        <w:rPr>
          <w:rFonts w:ascii="仿宋_GB2312" w:hAnsi="仿宋_GB2312" w:eastAsia="仿宋_GB2312" w:cs="仿宋_GB2312"/>
          <w:color w:val="auto"/>
          <w:sz w:val="32"/>
          <w:szCs w:val="32"/>
          <w:highlight w:val="none"/>
        </w:rPr>
        <w:instrText xml:space="preserve"> = 2 \* GB3 </w:instrText>
      </w:r>
      <w:r>
        <w:rPr>
          <w:rFonts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②</w:t>
      </w:r>
      <w:r>
        <w:rPr>
          <w:rFonts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质量指标：</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rPr>
        <w:t>：资金规范管理使用率，</w:t>
      </w:r>
      <w:r>
        <w:rPr>
          <w:rFonts w:hint="eastAsia" w:ascii="仿宋_GB2312" w:hAnsi="仿宋_GB2312" w:cs="仿宋_GB2312"/>
          <w:color w:val="auto"/>
          <w:sz w:val="32"/>
          <w:szCs w:val="32"/>
          <w:highlight w:val="none"/>
          <w:lang w:val="en-US" w:eastAsia="zh-CN"/>
        </w:rPr>
        <w:t>预期</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eastAsia="zh-CN"/>
        </w:rPr>
        <w:t>等于</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rPr>
        <w:t>：农影放映任务完成率，</w:t>
      </w:r>
      <w:r>
        <w:rPr>
          <w:rFonts w:hint="eastAsia" w:ascii="仿宋_GB2312" w:hAnsi="仿宋_GB2312" w:cs="仿宋_GB2312"/>
          <w:color w:val="auto"/>
          <w:sz w:val="32"/>
          <w:szCs w:val="32"/>
          <w:highlight w:val="none"/>
          <w:lang w:val="en-US" w:eastAsia="zh-CN"/>
        </w:rPr>
        <w:t>预期</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eastAsia="zh-CN"/>
        </w:rPr>
        <w:t>等于</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w:t>
      </w:r>
    </w:p>
    <w:p>
      <w:pPr>
        <w:pStyle w:val="10"/>
        <w:spacing w:line="560" w:lineRule="exact"/>
        <w:ind w:firstLine="640" w:firstLineChars="200"/>
        <w:jc w:val="both"/>
        <w:rPr>
          <w:rFonts w:ascii="仿宋_GB2312" w:hAnsi="仿宋_GB2312" w:eastAsia="仿宋_GB2312" w:cs="仿宋_GB2312"/>
          <w:b w:val="0"/>
          <w:bCs w:val="0"/>
          <w:color w:val="auto"/>
          <w:kern w:val="2"/>
          <w:highlight w:val="none"/>
        </w:rPr>
      </w:pPr>
      <w:r>
        <w:rPr>
          <w:rFonts w:hint="eastAsia" w:ascii="仿宋_GB2312" w:hAnsi="仿宋_GB2312" w:eastAsia="仿宋_GB2312" w:cs="仿宋_GB2312"/>
          <w:b w:val="0"/>
          <w:bCs w:val="0"/>
          <w:color w:val="auto"/>
          <w:kern w:val="2"/>
          <w:highlight w:val="none"/>
        </w:rPr>
        <w:t>指标</w:t>
      </w:r>
      <w:r>
        <w:rPr>
          <w:rFonts w:ascii="仿宋_GB2312" w:hAnsi="仿宋_GB2312" w:eastAsia="仿宋_GB2312" w:cs="仿宋_GB2312"/>
          <w:b w:val="0"/>
          <w:bCs w:val="0"/>
          <w:color w:val="auto"/>
          <w:kern w:val="2"/>
          <w:highlight w:val="none"/>
        </w:rPr>
        <w:t>3</w:t>
      </w:r>
      <w:r>
        <w:rPr>
          <w:rFonts w:hint="eastAsia" w:ascii="仿宋_GB2312" w:hAnsi="仿宋_GB2312" w:eastAsia="仿宋_GB2312" w:cs="仿宋_GB2312"/>
          <w:b w:val="0"/>
          <w:bCs w:val="0"/>
          <w:color w:val="auto"/>
          <w:kern w:val="2"/>
          <w:highlight w:val="none"/>
        </w:rPr>
        <w:t>：农影放映覆盖率</w:t>
      </w:r>
      <w:r>
        <w:rPr>
          <w:rFonts w:hint="eastAsia" w:ascii="仿宋_GB2312" w:hAnsi="仿宋_GB2312" w:eastAsia="仿宋_GB2312" w:cs="仿宋_GB2312"/>
          <w:b w:val="0"/>
          <w:bCs w:val="0"/>
          <w:color w:val="auto"/>
          <w:kern w:val="2"/>
          <w:sz w:val="32"/>
          <w:szCs w:val="32"/>
          <w:highlight w:val="none"/>
          <w:lang w:val="en-US" w:eastAsia="zh-CN" w:bidi="ar-SA"/>
        </w:rPr>
        <w:t>，预期指</w:t>
      </w:r>
      <w:r>
        <w:rPr>
          <w:rFonts w:hint="eastAsia" w:ascii="仿宋_GB2312" w:hAnsi="仿宋_GB2312" w:eastAsia="仿宋_GB2312" w:cs="仿宋_GB2312"/>
          <w:b w:val="0"/>
          <w:bCs w:val="0"/>
          <w:color w:val="auto"/>
          <w:kern w:val="2"/>
          <w:highlight w:val="none"/>
        </w:rPr>
        <w:t>标值：</w:t>
      </w:r>
      <w:r>
        <w:rPr>
          <w:rFonts w:hint="eastAsia" w:ascii="仿宋_GB2312" w:hAnsi="仿宋_GB2312" w:eastAsia="仿宋_GB2312" w:cs="仿宋_GB2312"/>
          <w:b w:val="0"/>
          <w:bCs w:val="0"/>
          <w:color w:val="auto"/>
          <w:kern w:val="2"/>
          <w:highlight w:val="none"/>
          <w:lang w:eastAsia="zh-CN"/>
        </w:rPr>
        <w:t>等于</w:t>
      </w:r>
      <w:r>
        <w:rPr>
          <w:rFonts w:ascii="仿宋_GB2312" w:hAnsi="仿宋_GB2312" w:eastAsia="仿宋_GB2312" w:cs="仿宋_GB2312"/>
          <w:b w:val="0"/>
          <w:bCs w:val="0"/>
          <w:color w:val="auto"/>
          <w:kern w:val="2"/>
          <w:highlight w:val="none"/>
        </w:rPr>
        <w:t>100%</w:t>
      </w:r>
      <w:r>
        <w:rPr>
          <w:rFonts w:hint="eastAsia" w:ascii="仿宋_GB2312" w:hAnsi="仿宋_GB2312" w:eastAsia="仿宋_GB2312" w:cs="仿宋_GB2312"/>
          <w:b w:val="0"/>
          <w:bCs w:val="0"/>
          <w:color w:val="auto"/>
          <w:kern w:val="2"/>
          <w:highlight w:val="none"/>
        </w:rPr>
        <w:t>。</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fldChar w:fldCharType="begin"/>
      </w:r>
      <w:r>
        <w:rPr>
          <w:rFonts w:ascii="仿宋_GB2312" w:hAnsi="仿宋_GB2312" w:eastAsia="仿宋_GB2312" w:cs="仿宋_GB2312"/>
          <w:color w:val="auto"/>
          <w:sz w:val="32"/>
          <w:szCs w:val="32"/>
          <w:highlight w:val="none"/>
        </w:rPr>
        <w:instrText xml:space="preserve"> = 3 \* GB3 </w:instrText>
      </w:r>
      <w:r>
        <w:rPr>
          <w:rFonts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③</w:t>
      </w:r>
      <w:r>
        <w:rPr>
          <w:rFonts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时效指标：</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rPr>
        <w:t>：资金拨付及时率，</w:t>
      </w:r>
      <w:r>
        <w:rPr>
          <w:rFonts w:hint="eastAsia" w:ascii="仿宋_GB2312" w:hAnsi="仿宋_GB2312" w:cs="仿宋_GB2312"/>
          <w:color w:val="auto"/>
          <w:sz w:val="32"/>
          <w:szCs w:val="32"/>
          <w:highlight w:val="none"/>
          <w:lang w:val="en-US" w:eastAsia="zh-CN"/>
        </w:rPr>
        <w:t>预期</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eastAsia="zh-CN"/>
        </w:rPr>
        <w:t>等于</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w:t>
      </w:r>
    </w:p>
    <w:p>
      <w:pPr>
        <w:pStyle w:val="10"/>
        <w:spacing w:line="560" w:lineRule="exact"/>
        <w:ind w:firstLine="640" w:firstLineChars="200"/>
        <w:jc w:val="left"/>
        <w:rPr>
          <w:rFonts w:ascii="仿宋_GB2312" w:hAnsi="仿宋_GB2312" w:eastAsia="仿宋_GB2312" w:cs="仿宋_GB2312"/>
          <w:b w:val="0"/>
          <w:bCs w:val="0"/>
          <w:color w:val="auto"/>
          <w:kern w:val="2"/>
          <w:highlight w:val="none"/>
        </w:rPr>
      </w:pPr>
      <w:r>
        <w:rPr>
          <w:rFonts w:hint="eastAsia" w:ascii="仿宋_GB2312" w:hAnsi="仿宋_GB2312" w:eastAsia="仿宋_GB2312" w:cs="仿宋_GB2312"/>
          <w:b w:val="0"/>
          <w:bCs w:val="0"/>
          <w:color w:val="auto"/>
          <w:kern w:val="2"/>
          <w:highlight w:val="none"/>
        </w:rPr>
        <w:t>指标</w:t>
      </w:r>
      <w:r>
        <w:rPr>
          <w:rFonts w:ascii="仿宋_GB2312" w:hAnsi="仿宋_GB2312" w:eastAsia="仿宋_GB2312" w:cs="仿宋_GB2312"/>
          <w:b w:val="0"/>
          <w:bCs w:val="0"/>
          <w:color w:val="auto"/>
          <w:kern w:val="2"/>
          <w:highlight w:val="none"/>
        </w:rPr>
        <w:t>2</w:t>
      </w:r>
      <w:r>
        <w:rPr>
          <w:rFonts w:hint="eastAsia" w:ascii="仿宋_GB2312" w:hAnsi="仿宋_GB2312" w:eastAsia="仿宋_GB2312" w:cs="仿宋_GB2312"/>
          <w:b w:val="0"/>
          <w:bCs w:val="0"/>
          <w:color w:val="auto"/>
          <w:kern w:val="2"/>
          <w:highlight w:val="none"/>
        </w:rPr>
        <w:t>：文艺演出及时完成率，</w:t>
      </w:r>
      <w:r>
        <w:rPr>
          <w:rFonts w:hint="eastAsia" w:ascii="仿宋_GB2312" w:hAnsi="仿宋_GB2312" w:cs="仿宋_GB2312"/>
          <w:b w:val="0"/>
          <w:bCs w:val="0"/>
          <w:color w:val="auto"/>
          <w:sz w:val="32"/>
          <w:szCs w:val="32"/>
          <w:highlight w:val="none"/>
          <w:lang w:val="en-US" w:eastAsia="zh-CN"/>
        </w:rPr>
        <w:t>预期</w:t>
      </w:r>
      <w:r>
        <w:rPr>
          <w:rFonts w:hint="eastAsia" w:ascii="仿宋_GB2312" w:hAnsi="仿宋_GB2312" w:eastAsia="仿宋_GB2312" w:cs="仿宋_GB2312"/>
          <w:b w:val="0"/>
          <w:bCs w:val="0"/>
          <w:color w:val="auto"/>
          <w:kern w:val="2"/>
          <w:highlight w:val="none"/>
        </w:rPr>
        <w:t>指标值：</w:t>
      </w:r>
      <w:r>
        <w:rPr>
          <w:rFonts w:hint="eastAsia" w:ascii="仿宋_GB2312" w:hAnsi="仿宋_GB2312" w:eastAsia="仿宋_GB2312" w:cs="仿宋_GB2312"/>
          <w:b w:val="0"/>
          <w:bCs w:val="0"/>
          <w:color w:val="auto"/>
          <w:kern w:val="2"/>
          <w:highlight w:val="none"/>
          <w:lang w:eastAsia="zh-CN"/>
        </w:rPr>
        <w:t>等于</w:t>
      </w:r>
      <w:r>
        <w:rPr>
          <w:rFonts w:ascii="仿宋_GB2312" w:hAnsi="仿宋_GB2312" w:eastAsia="仿宋_GB2312" w:cs="仿宋_GB2312"/>
          <w:b w:val="0"/>
          <w:bCs w:val="0"/>
          <w:color w:val="auto"/>
          <w:kern w:val="2"/>
          <w:highlight w:val="none"/>
        </w:rPr>
        <w:t>100%</w:t>
      </w:r>
      <w:r>
        <w:rPr>
          <w:rFonts w:hint="eastAsia" w:ascii="仿宋_GB2312" w:hAnsi="仿宋_GB2312" w:eastAsia="仿宋_GB2312" w:cs="仿宋_GB2312"/>
          <w:b w:val="0"/>
          <w:bCs w:val="0"/>
          <w:color w:val="auto"/>
          <w:kern w:val="2"/>
          <w:highlight w:val="none"/>
        </w:rPr>
        <w:t>。</w:t>
      </w:r>
    </w:p>
    <w:p>
      <w:pPr>
        <w:pStyle w:val="10"/>
        <w:spacing w:line="560" w:lineRule="exact"/>
        <w:ind w:firstLine="640" w:firstLineChars="200"/>
        <w:jc w:val="left"/>
        <w:rPr>
          <w:rFonts w:ascii="仿宋_GB2312" w:hAnsi="仿宋_GB2312" w:eastAsia="仿宋_GB2312" w:cs="仿宋_GB2312"/>
          <w:b w:val="0"/>
          <w:bCs w:val="0"/>
          <w:color w:val="auto"/>
          <w:kern w:val="2"/>
          <w:highlight w:val="none"/>
        </w:rPr>
      </w:pPr>
      <w:r>
        <w:rPr>
          <w:rFonts w:hint="eastAsia" w:ascii="仿宋_GB2312" w:hAnsi="仿宋_GB2312" w:eastAsia="仿宋_GB2312" w:cs="仿宋_GB2312"/>
          <w:b w:val="0"/>
          <w:bCs w:val="0"/>
          <w:color w:val="auto"/>
          <w:kern w:val="2"/>
          <w:highlight w:val="none"/>
        </w:rPr>
        <w:t>指标</w:t>
      </w:r>
      <w:r>
        <w:rPr>
          <w:rFonts w:ascii="仿宋_GB2312" w:hAnsi="仿宋_GB2312" w:eastAsia="仿宋_GB2312" w:cs="仿宋_GB2312"/>
          <w:b w:val="0"/>
          <w:bCs w:val="0"/>
          <w:color w:val="auto"/>
          <w:kern w:val="2"/>
          <w:highlight w:val="none"/>
        </w:rPr>
        <w:t>3</w:t>
      </w:r>
      <w:r>
        <w:rPr>
          <w:rFonts w:hint="eastAsia" w:ascii="仿宋_GB2312" w:hAnsi="仿宋_GB2312" w:eastAsia="仿宋_GB2312" w:cs="仿宋_GB2312"/>
          <w:b w:val="0"/>
          <w:bCs w:val="0"/>
          <w:color w:val="auto"/>
          <w:kern w:val="2"/>
          <w:highlight w:val="none"/>
        </w:rPr>
        <w:t>：农影放映完成时间，</w:t>
      </w:r>
      <w:r>
        <w:rPr>
          <w:rFonts w:hint="eastAsia" w:ascii="仿宋_GB2312" w:hAnsi="仿宋_GB2312" w:eastAsia="仿宋_GB2312" w:cs="仿宋_GB2312"/>
          <w:b w:val="0"/>
          <w:bCs w:val="0"/>
          <w:color w:val="auto"/>
          <w:kern w:val="2"/>
          <w:highlight w:val="none"/>
          <w:lang w:val="en-US" w:eastAsia="zh-CN"/>
        </w:rPr>
        <w:t>预期</w:t>
      </w:r>
      <w:r>
        <w:rPr>
          <w:rFonts w:hint="eastAsia" w:ascii="仿宋_GB2312" w:hAnsi="仿宋_GB2312" w:eastAsia="仿宋_GB2312" w:cs="仿宋_GB2312"/>
          <w:b w:val="0"/>
          <w:bCs w:val="0"/>
          <w:color w:val="auto"/>
          <w:kern w:val="2"/>
          <w:highlight w:val="none"/>
        </w:rPr>
        <w:t>指标值：</w:t>
      </w:r>
      <w:r>
        <w:rPr>
          <w:rFonts w:hint="eastAsia" w:ascii="仿宋_GB2312" w:hAnsi="仿宋_GB2312" w:eastAsia="仿宋_GB2312" w:cs="仿宋_GB2312"/>
          <w:b w:val="0"/>
          <w:bCs w:val="0"/>
          <w:color w:val="auto"/>
          <w:kern w:val="2"/>
          <w:highlight w:val="none"/>
          <w:lang w:eastAsia="zh-CN"/>
        </w:rPr>
        <w:t>小于等于</w:t>
      </w:r>
      <w:r>
        <w:rPr>
          <w:rFonts w:ascii="仿宋_GB2312" w:hAnsi="仿宋_GB2312" w:eastAsia="仿宋_GB2312" w:cs="仿宋_GB2312"/>
          <w:b w:val="0"/>
          <w:bCs w:val="0"/>
          <w:color w:val="auto"/>
          <w:kern w:val="2"/>
          <w:highlight w:val="none"/>
        </w:rPr>
        <w:t>1</w:t>
      </w:r>
      <w:r>
        <w:rPr>
          <w:rFonts w:hint="eastAsia" w:ascii="仿宋_GB2312" w:hAnsi="仿宋_GB2312" w:eastAsia="仿宋_GB2312" w:cs="仿宋_GB2312"/>
          <w:b w:val="0"/>
          <w:bCs w:val="0"/>
          <w:color w:val="auto"/>
          <w:kern w:val="2"/>
          <w:highlight w:val="none"/>
        </w:rPr>
        <w:t>年。</w:t>
      </w:r>
    </w:p>
    <w:p>
      <w:pPr>
        <w:ind w:firstLine="560"/>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（2）项目成本指标</w:t>
      </w:r>
    </w:p>
    <w:p>
      <w:pPr>
        <w:ind w:firstLine="560"/>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rPr>
        <w:t>：举办赛事、节庆、展览、等文化活动，</w:t>
      </w:r>
      <w:r>
        <w:rPr>
          <w:rFonts w:hint="eastAsia" w:ascii="仿宋_GB2312" w:hAnsi="仿宋_GB2312" w:cs="仿宋_GB2312"/>
          <w:color w:val="auto"/>
          <w:sz w:val="32"/>
          <w:szCs w:val="32"/>
          <w:highlight w:val="none"/>
          <w:lang w:val="en-US" w:eastAsia="zh-CN"/>
        </w:rPr>
        <w:t>预期</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eastAsia="zh-CN"/>
        </w:rPr>
        <w:t>小于等于</w:t>
      </w:r>
      <w:r>
        <w:rPr>
          <w:rFonts w:ascii="仿宋_GB2312" w:hAnsi="仿宋_GB2312" w:eastAsia="仿宋_GB2312" w:cs="仿宋_GB2312"/>
          <w:color w:val="auto"/>
          <w:sz w:val="32"/>
          <w:szCs w:val="32"/>
          <w:highlight w:val="none"/>
        </w:rPr>
        <w:t>30</w:t>
      </w:r>
      <w:r>
        <w:rPr>
          <w:rFonts w:hint="eastAsia" w:ascii="仿宋_GB2312" w:hAnsi="仿宋_GB2312" w:eastAsia="仿宋_GB2312" w:cs="仿宋_GB2312"/>
          <w:color w:val="auto"/>
          <w:sz w:val="32"/>
          <w:szCs w:val="32"/>
          <w:highlight w:val="none"/>
        </w:rPr>
        <w:t>万元。</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rPr>
        <w:t>：公益电影放映，</w:t>
      </w:r>
      <w:r>
        <w:rPr>
          <w:rFonts w:hint="eastAsia" w:ascii="仿宋_GB2312" w:hAnsi="仿宋_GB2312" w:cs="仿宋_GB2312"/>
          <w:color w:val="auto"/>
          <w:sz w:val="32"/>
          <w:szCs w:val="32"/>
          <w:highlight w:val="none"/>
          <w:lang w:val="en-US" w:eastAsia="zh-CN"/>
        </w:rPr>
        <w:t>预期</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eastAsia="zh-CN"/>
        </w:rPr>
        <w:t>小于等于</w:t>
      </w:r>
      <w:r>
        <w:rPr>
          <w:rFonts w:ascii="仿宋_GB2312" w:hAnsi="仿宋_GB2312" w:eastAsia="仿宋_GB2312" w:cs="仿宋_GB2312"/>
          <w:color w:val="auto"/>
          <w:sz w:val="32"/>
          <w:szCs w:val="32"/>
          <w:highlight w:val="none"/>
        </w:rPr>
        <w:t>16.56</w:t>
      </w:r>
      <w:r>
        <w:rPr>
          <w:rFonts w:hint="eastAsia" w:ascii="仿宋_GB2312" w:hAnsi="仿宋_GB2312" w:eastAsia="仿宋_GB2312" w:cs="仿宋_GB2312"/>
          <w:color w:val="auto"/>
          <w:sz w:val="32"/>
          <w:szCs w:val="32"/>
          <w:highlight w:val="none"/>
        </w:rPr>
        <w:t>万元。</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3</w:t>
      </w:r>
      <w:r>
        <w:rPr>
          <w:rFonts w:hint="eastAsia" w:ascii="仿宋_GB2312" w:hAnsi="仿宋_GB2312" w:eastAsia="仿宋_GB2312" w:cs="仿宋_GB2312"/>
          <w:color w:val="auto"/>
          <w:sz w:val="32"/>
          <w:szCs w:val="32"/>
          <w:highlight w:val="none"/>
        </w:rPr>
        <w:t>：公共文化体育设施维修和设备购置，</w:t>
      </w:r>
      <w:r>
        <w:rPr>
          <w:rFonts w:hint="eastAsia" w:ascii="仿宋_GB2312" w:hAnsi="仿宋_GB2312" w:cs="仿宋_GB2312"/>
          <w:color w:val="auto"/>
          <w:sz w:val="32"/>
          <w:szCs w:val="32"/>
          <w:highlight w:val="none"/>
          <w:lang w:val="en-US" w:eastAsia="zh-CN"/>
        </w:rPr>
        <w:t>预期</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eastAsia="zh-CN"/>
        </w:rPr>
        <w:t>小于等于</w:t>
      </w:r>
      <w:r>
        <w:rPr>
          <w:rFonts w:ascii="仿宋_GB2312" w:hAnsi="仿宋_GB2312" w:eastAsia="仿宋_GB2312" w:cs="仿宋_GB2312"/>
          <w:color w:val="auto"/>
          <w:sz w:val="32"/>
          <w:szCs w:val="32"/>
          <w:highlight w:val="none"/>
        </w:rPr>
        <w:t>94.64</w:t>
      </w:r>
      <w:r>
        <w:rPr>
          <w:rFonts w:hint="eastAsia" w:ascii="仿宋_GB2312" w:hAnsi="仿宋_GB2312" w:eastAsia="仿宋_GB2312" w:cs="仿宋_GB2312"/>
          <w:color w:val="auto"/>
          <w:sz w:val="32"/>
          <w:szCs w:val="32"/>
          <w:highlight w:val="none"/>
        </w:rPr>
        <w:t>万元。</w:t>
      </w:r>
    </w:p>
    <w:p>
      <w:pPr>
        <w:ind w:firstLine="560"/>
        <w:rPr>
          <w:color w:val="auto"/>
          <w:highlight w:val="none"/>
        </w:rPr>
      </w:pPr>
      <w:r>
        <w:rPr>
          <w:rFonts w:hint="eastAsia"/>
          <w:color w:val="auto"/>
          <w:highlight w:val="none"/>
        </w:rPr>
        <w:t>②</w:t>
      </w:r>
      <w:r>
        <w:rPr>
          <w:rFonts w:hint="eastAsia"/>
          <w:color w:val="auto"/>
          <w:highlight w:val="none"/>
          <w:lang w:val="en-US" w:eastAsia="zh-CN"/>
        </w:rPr>
        <w:t>社会</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color w:val="auto"/>
          <w:highlight w:val="none"/>
        </w:rPr>
      </w:pPr>
      <w:r>
        <w:rPr>
          <w:rFonts w:hint="eastAsia"/>
          <w:color w:val="auto"/>
          <w:highlight w:val="none"/>
        </w:rPr>
        <w:t>③</w:t>
      </w:r>
      <w:r>
        <w:rPr>
          <w:rFonts w:hint="eastAsia"/>
          <w:color w:val="auto"/>
          <w:highlight w:val="none"/>
          <w:lang w:val="en-US" w:eastAsia="zh-CN"/>
        </w:rPr>
        <w:t>生态环境</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（3）项目效益指标</w:t>
      </w:r>
    </w:p>
    <w:p>
      <w:pPr>
        <w:ind w:firstLine="560"/>
        <w:rPr>
          <w:color w:val="auto"/>
          <w:highlight w:val="none"/>
        </w:rPr>
      </w:pPr>
      <w:r>
        <w:rPr>
          <w:rFonts w:hint="eastAsia"/>
          <w:color w:val="auto"/>
          <w:highlight w:val="none"/>
        </w:rPr>
        <w:t>①经济效益指标</w:t>
      </w:r>
    </w:p>
    <w:p>
      <w:pPr>
        <w:ind w:firstLine="560"/>
        <w:rPr>
          <w:rFonts w:hint="eastAsia"/>
          <w:color w:val="auto"/>
          <w:highlight w:val="none"/>
          <w:lang w:val="en-US" w:eastAsia="zh-CN"/>
        </w:rPr>
      </w:pPr>
      <w:r>
        <w:rPr>
          <w:rFonts w:hint="eastAsia"/>
          <w:color w:val="auto"/>
          <w:highlight w:val="none"/>
          <w:lang w:val="en-US" w:eastAsia="zh-CN"/>
        </w:rPr>
        <w:t>无</w:t>
      </w:r>
    </w:p>
    <w:p>
      <w:pPr>
        <w:ind w:firstLine="560"/>
        <w:rPr>
          <w:color w:val="auto"/>
          <w:highlight w:val="none"/>
        </w:rPr>
      </w:pPr>
      <w:r>
        <w:rPr>
          <w:rFonts w:hint="eastAsia"/>
          <w:color w:val="auto"/>
          <w:highlight w:val="none"/>
        </w:rPr>
        <w:t>②社会效益指标</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rPr>
        <w:t>：充分发挥宣传和社会服务阵地作用，</w:t>
      </w:r>
      <w:r>
        <w:rPr>
          <w:rFonts w:hint="eastAsia" w:ascii="仿宋_GB2312" w:hAnsi="仿宋_GB2312" w:cs="仿宋_GB2312"/>
          <w:color w:val="auto"/>
          <w:sz w:val="32"/>
          <w:szCs w:val="32"/>
          <w:highlight w:val="none"/>
          <w:lang w:val="en-US" w:eastAsia="zh-CN"/>
        </w:rPr>
        <w:t>预期</w:t>
      </w:r>
      <w:r>
        <w:rPr>
          <w:rFonts w:hint="eastAsia" w:ascii="仿宋_GB2312" w:hAnsi="仿宋_GB2312" w:eastAsia="仿宋_GB2312" w:cs="仿宋_GB2312"/>
          <w:color w:val="auto"/>
          <w:sz w:val="32"/>
          <w:szCs w:val="32"/>
          <w:highlight w:val="none"/>
        </w:rPr>
        <w:t>指标值：效果明显。</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rPr>
        <w:t>：满足群众精神文化需求，提升广大农牧民生活幸福感，</w:t>
      </w:r>
      <w:r>
        <w:rPr>
          <w:rFonts w:hint="eastAsia" w:ascii="仿宋_GB2312" w:hAnsi="仿宋_GB2312" w:cs="仿宋_GB2312"/>
          <w:color w:val="auto"/>
          <w:sz w:val="32"/>
          <w:szCs w:val="32"/>
          <w:highlight w:val="none"/>
          <w:lang w:val="en-US" w:eastAsia="zh-CN"/>
        </w:rPr>
        <w:t>预期</w:t>
      </w:r>
      <w:r>
        <w:rPr>
          <w:rFonts w:hint="eastAsia" w:ascii="仿宋_GB2312" w:hAnsi="仿宋_GB2312" w:eastAsia="仿宋_GB2312" w:cs="仿宋_GB2312"/>
          <w:color w:val="auto"/>
          <w:sz w:val="32"/>
          <w:szCs w:val="32"/>
          <w:highlight w:val="none"/>
        </w:rPr>
        <w:t>指标值：逐步提高。</w:t>
      </w:r>
    </w:p>
    <w:p>
      <w:pPr>
        <w:ind w:firstLine="560"/>
        <w:rPr>
          <w:color w:val="auto"/>
          <w:highlight w:val="none"/>
        </w:rPr>
      </w:pPr>
      <w:r>
        <w:rPr>
          <w:rFonts w:hint="eastAsia"/>
          <w:color w:val="auto"/>
          <w:highlight w:val="none"/>
        </w:rPr>
        <w:t>③生态效益指标</w:t>
      </w:r>
    </w:p>
    <w:p>
      <w:pPr>
        <w:ind w:firstLine="562"/>
        <w:rPr>
          <w:rFonts w:hint="eastAsia" w:eastAsia="仿宋"/>
          <w:color w:val="auto"/>
          <w:highlight w:val="none"/>
          <w:lang w:val="en-US" w:eastAsia="zh-CN"/>
        </w:rPr>
      </w:pPr>
      <w:r>
        <w:rPr>
          <w:rFonts w:hint="eastAsia" w:eastAsia="仿宋"/>
          <w:color w:val="auto"/>
          <w:highlight w:val="none"/>
          <w:lang w:val="en-US" w:eastAsia="zh-CN"/>
        </w:rPr>
        <w:t>无</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4</w:t>
      </w:r>
      <w:r>
        <w:rPr>
          <w:rFonts w:hint="eastAsia" w:ascii="仿宋" w:hAnsi="仿宋" w:eastAsia="仿宋"/>
          <w:b/>
          <w:color w:val="auto"/>
          <w:highlight w:val="none"/>
        </w:rPr>
        <w:t>）满意度</w:t>
      </w:r>
      <w:r>
        <w:rPr>
          <w:rFonts w:hint="eastAsia" w:ascii="仿宋" w:hAnsi="仿宋" w:eastAsia="仿宋"/>
          <w:b/>
          <w:color w:val="auto"/>
          <w:highlight w:val="none"/>
          <w:lang w:val="en-US" w:eastAsia="zh-CN"/>
        </w:rPr>
        <w:t>指标</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rPr>
        <w:t>：社会公众对文化体育服务满意度，</w:t>
      </w:r>
      <w:r>
        <w:rPr>
          <w:rFonts w:hint="eastAsia" w:ascii="仿宋_GB2312" w:hAnsi="仿宋_GB2312" w:cs="仿宋_GB2312"/>
          <w:color w:val="auto"/>
          <w:sz w:val="32"/>
          <w:szCs w:val="32"/>
          <w:highlight w:val="none"/>
          <w:lang w:val="en-US" w:eastAsia="zh-CN"/>
        </w:rPr>
        <w:t>预期</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eastAsia="zh-CN"/>
        </w:rPr>
        <w:t>大于等于</w:t>
      </w:r>
      <w:r>
        <w:rPr>
          <w:rFonts w:ascii="仿宋_GB2312" w:hAnsi="仿宋_GB2312" w:eastAsia="仿宋_GB2312" w:cs="仿宋_GB2312"/>
          <w:color w:val="auto"/>
          <w:sz w:val="32"/>
          <w:szCs w:val="32"/>
          <w:highlight w:val="none"/>
        </w:rPr>
        <w:t>95%</w:t>
      </w:r>
      <w:r>
        <w:rPr>
          <w:rFonts w:hint="eastAsia" w:ascii="仿宋_GB2312" w:hAnsi="仿宋_GB2312" w:eastAsia="仿宋_GB2312" w:cs="仿宋_GB2312"/>
          <w:color w:val="auto"/>
          <w:sz w:val="32"/>
          <w:szCs w:val="32"/>
          <w:highlight w:val="none"/>
        </w:rPr>
        <w:t>。</w:t>
      </w:r>
    </w:p>
    <w:p>
      <w:pPr>
        <w:pStyle w:val="4"/>
        <w:ind w:firstLine="640"/>
        <w:rPr>
          <w:color w:val="auto"/>
          <w:highlight w:val="none"/>
        </w:rPr>
      </w:pPr>
      <w:r>
        <w:rPr>
          <w:rFonts w:hint="eastAsia"/>
          <w:color w:val="auto"/>
          <w:highlight w:val="none"/>
        </w:rPr>
        <w:t>二、绩效评价工作开展情况</w:t>
      </w:r>
    </w:p>
    <w:p>
      <w:pPr>
        <w:pStyle w:val="5"/>
        <w:numPr>
          <w:ilvl w:val="0"/>
          <w:numId w:val="1"/>
        </w:numPr>
        <w:ind w:firstLine="643"/>
        <w:rPr>
          <w:rFonts w:ascii="楷体" w:hAnsi="楷体" w:cs="楷体"/>
          <w:color w:val="auto"/>
          <w:szCs w:val="32"/>
          <w:highlight w:val="none"/>
        </w:rPr>
      </w:pPr>
      <w:bookmarkStart w:id="0" w:name="_Toc26632"/>
      <w:bookmarkStart w:id="1" w:name="_Toc12868"/>
      <w:bookmarkStart w:id="2" w:name="_Toc22169_WPSOffice_Level2"/>
      <w:bookmarkStart w:id="3" w:name="_Toc480473081"/>
      <w:bookmarkStart w:id="4" w:name="_Toc22922"/>
      <w:bookmarkStart w:id="5" w:name="_Toc5462343"/>
      <w:bookmarkStart w:id="6" w:name="_Toc21664"/>
      <w:bookmarkStart w:id="7" w:name="_Toc5258"/>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6"/>
        <w:ind w:firstLine="562"/>
        <w:rPr>
          <w:rFonts w:hint="eastAsia"/>
          <w:color w:val="auto"/>
          <w:highlight w:val="none"/>
        </w:rPr>
      </w:pPr>
      <w:r>
        <w:rPr>
          <w:rFonts w:hint="eastAsia"/>
          <w:color w:val="auto"/>
          <w:highlight w:val="none"/>
        </w:rPr>
        <w:t>1.绩效评价的目的</w:t>
      </w:r>
    </w:p>
    <w:p>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6"/>
        <w:ind w:firstLine="562"/>
        <w:rPr>
          <w:rFonts w:hint="eastAsia"/>
          <w:color w:val="auto"/>
          <w:highlight w:val="none"/>
        </w:rPr>
      </w:pPr>
      <w:r>
        <w:rPr>
          <w:rFonts w:hint="eastAsia"/>
          <w:color w:val="auto"/>
          <w:highlight w:val="none"/>
        </w:rPr>
        <w:t>2.绩效评价对象</w:t>
      </w:r>
    </w:p>
    <w:p>
      <w:pPr>
        <w:ind w:firstLine="560"/>
        <w:rPr>
          <w:color w:val="auto"/>
          <w:highlight w:val="none"/>
        </w:rPr>
      </w:pPr>
      <w:r>
        <w:rPr>
          <w:rFonts w:hint="eastAsia"/>
          <w:color w:val="auto"/>
          <w:highlight w:val="none"/>
        </w:rPr>
        <w:t>此次我单位根据《财政支出绩效评价管理暂行办法》（财预〔2020〕10号）文件要求实施评价工作，本次评价对象为</w:t>
      </w:r>
      <w:r>
        <w:rPr>
          <w:rFonts w:eastAsia="仿宋_GB2312"/>
          <w:color w:val="auto"/>
          <w:sz w:val="32"/>
          <w:szCs w:val="32"/>
          <w:highlight w:val="none"/>
        </w:rPr>
        <w:t>2023</w:t>
      </w:r>
      <w:r>
        <w:rPr>
          <w:rFonts w:hint="eastAsia" w:eastAsia="仿宋_GB2312"/>
          <w:color w:val="auto"/>
          <w:sz w:val="32"/>
          <w:szCs w:val="32"/>
          <w:highlight w:val="none"/>
        </w:rPr>
        <w:t>年中央补助地方公共文化服务体系建</w:t>
      </w:r>
      <w:r>
        <w:rPr>
          <w:rFonts w:hint="eastAsia"/>
          <w:color w:val="auto"/>
          <w:highlight w:val="none"/>
        </w:rPr>
        <w:t>设专项资金项目，评价核心为项目</w:t>
      </w:r>
      <w:r>
        <w:rPr>
          <w:rFonts w:hint="eastAsia"/>
          <w:color w:val="auto"/>
          <w:highlight w:val="none"/>
          <w:lang w:val="en-US" w:eastAsia="zh-CN"/>
        </w:rPr>
        <w:t>的资金投入、产出及效益</w:t>
      </w:r>
      <w:r>
        <w:rPr>
          <w:rFonts w:hint="eastAsia"/>
          <w:color w:val="auto"/>
          <w:highlight w:val="none"/>
        </w:rPr>
        <w:t>。</w:t>
      </w:r>
    </w:p>
    <w:p>
      <w:pPr>
        <w:pStyle w:val="6"/>
        <w:ind w:firstLine="562"/>
        <w:rPr>
          <w:rFonts w:hint="eastAsia"/>
          <w:color w:val="auto"/>
          <w:highlight w:val="none"/>
        </w:rPr>
      </w:pPr>
      <w:r>
        <w:rPr>
          <w:rFonts w:hint="eastAsia"/>
          <w:color w:val="auto"/>
          <w:highlight w:val="none"/>
        </w:rPr>
        <w:t>3.绩效评价范围</w:t>
      </w:r>
    </w:p>
    <w:p>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pPr>
        <w:pStyle w:val="5"/>
        <w:numPr>
          <w:ilvl w:val="0"/>
          <w:numId w:val="1"/>
        </w:numPr>
        <w:ind w:firstLine="643"/>
        <w:rPr>
          <w:color w:val="auto"/>
          <w:highlight w:val="none"/>
        </w:rPr>
      </w:pPr>
      <w:r>
        <w:rPr>
          <w:rFonts w:hint="eastAsia"/>
          <w:color w:val="auto"/>
          <w:highlight w:val="none"/>
        </w:rPr>
        <w:t>绩效评价原则、评价指标体系、评价方法评价标准</w:t>
      </w:r>
    </w:p>
    <w:p>
      <w:pPr>
        <w:pStyle w:val="6"/>
        <w:ind w:firstLine="562"/>
        <w:rPr>
          <w:color w:val="auto"/>
          <w:highlight w:val="none"/>
        </w:rPr>
      </w:pPr>
      <w:r>
        <w:rPr>
          <w:rFonts w:hint="eastAsia"/>
          <w:color w:val="auto"/>
          <w:highlight w:val="none"/>
        </w:rPr>
        <w:t>1.绩效评价原则</w:t>
      </w:r>
    </w:p>
    <w:p>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pPr>
        <w:snapToGrid w:val="0"/>
        <w:ind w:firstLine="560"/>
        <w:rPr>
          <w:color w:val="auto"/>
          <w:highlight w:val="none"/>
        </w:rPr>
      </w:pPr>
      <w:r>
        <w:rPr>
          <w:rFonts w:hint="eastAsia"/>
          <w:color w:val="auto"/>
          <w:highlight w:val="none"/>
        </w:rPr>
        <w:t>（4）公开透明。绩效评价结果应依法依规公开，并自觉接受社会监督。</w:t>
      </w:r>
    </w:p>
    <w:p>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6"/>
        <w:ind w:firstLine="562"/>
        <w:rPr>
          <w:color w:val="auto"/>
          <w:highlight w:val="none"/>
        </w:rPr>
      </w:pPr>
      <w:bookmarkStart w:id="8" w:name="_Toc428278230"/>
      <w:bookmarkStart w:id="9" w:name="_Toc26131"/>
      <w:bookmarkStart w:id="10" w:name="_Toc1913"/>
      <w:bookmarkStart w:id="11" w:name="_Toc419984722"/>
      <w:r>
        <w:rPr>
          <w:rFonts w:hint="eastAsia"/>
          <w:color w:val="auto"/>
          <w:highlight w:val="none"/>
        </w:rPr>
        <w:t>2.绩效评价指标体系</w:t>
      </w:r>
      <w:bookmarkEnd w:id="8"/>
      <w:bookmarkEnd w:id="9"/>
      <w:bookmarkEnd w:id="10"/>
      <w:bookmarkEnd w:id="11"/>
    </w:p>
    <w:p>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pPr>
        <w:pStyle w:val="6"/>
        <w:ind w:firstLine="562"/>
        <w:rPr>
          <w:color w:val="auto"/>
          <w:highlight w:val="none"/>
        </w:rPr>
      </w:pPr>
      <w:r>
        <w:rPr>
          <w:rFonts w:hint="eastAsia"/>
          <w:color w:val="auto"/>
          <w:highlight w:val="none"/>
        </w:rPr>
        <w:t>3.评价方法</w:t>
      </w:r>
    </w:p>
    <w:p>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pPr>
        <w:pStyle w:val="2"/>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pPr>
        <w:pStyle w:val="2"/>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pPr>
        <w:pStyle w:val="2"/>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pPr>
        <w:pStyle w:val="2"/>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pPr>
        <w:pStyle w:val="2"/>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pPr>
        <w:pStyle w:val="2"/>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pPr>
        <w:pStyle w:val="2"/>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pPr>
        <w:pStyle w:val="2"/>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2"/>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2"/>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pPr>
        <w:pStyle w:val="2"/>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pPr>
        <w:pStyle w:val="6"/>
        <w:ind w:firstLine="562"/>
        <w:rPr>
          <w:color w:val="auto"/>
          <w:highlight w:val="none"/>
        </w:rPr>
      </w:pPr>
      <w:r>
        <w:rPr>
          <w:rFonts w:hint="eastAsia"/>
          <w:color w:val="auto"/>
          <w:highlight w:val="none"/>
        </w:rPr>
        <w:t>4.评价标准</w:t>
      </w:r>
    </w:p>
    <w:p>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5"/>
        <w:numPr>
          <w:ilvl w:val="0"/>
          <w:numId w:val="1"/>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ascii="Times New Roman" w:hAnsi="Times New Roman" w:cs="Times New Roman"/>
          <w:color w:val="auto"/>
          <w:highlight w:val="none"/>
          <w:lang w:val="en-US" w:eastAsia="zh-CN"/>
        </w:rPr>
        <w:t>2024年2月26日，绩效评价项目小组成员对本项目开展前期调研。通过前期调研，确定了评价的目</w:t>
      </w:r>
      <w:r>
        <w:rPr>
          <w:rFonts w:hint="eastAsia"/>
          <w:color w:val="auto"/>
          <w:highlight w:val="none"/>
          <w:lang w:val="en-US" w:eastAsia="zh-CN"/>
        </w:rPr>
        <w:t>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spacing w:line="560" w:lineRule="exact"/>
        <w:ind w:firstLine="640" w:firstLineChars="200"/>
        <w:rPr>
          <w:rFonts w:hint="default" w:ascii="Times New Roman" w:hAnsi="Times New Roman" w:eastAsia="仿宋_GB2312" w:cs="Times New Roman"/>
          <w:bCs/>
          <w:color w:val="auto"/>
          <w:sz w:val="32"/>
          <w:szCs w:val="32"/>
          <w:highlight w:val="none"/>
          <w:lang w:val="en-US" w:eastAsia="zh-CN"/>
        </w:rPr>
      </w:pPr>
      <w:r>
        <w:rPr>
          <w:rFonts w:hint="eastAsia" w:ascii="Times New Roman" w:hAnsi="Times New Roman" w:eastAsia="仿宋_GB2312" w:cs="Times New Roman"/>
          <w:bCs/>
          <w:color w:val="auto"/>
          <w:sz w:val="32"/>
          <w:szCs w:val="32"/>
          <w:highlight w:val="none"/>
          <w:lang w:val="en-US" w:eastAsia="zh-CN"/>
        </w:rPr>
        <w:t>（1）评价组组长：迪力夏提·拜迪肉拉，</w:t>
      </w:r>
      <w:r>
        <w:rPr>
          <w:rFonts w:hint="eastAsia" w:ascii="Times New Roman" w:hAnsi="Times New Roman" w:eastAsia="仿宋_GB2312" w:cs="Times New Roman"/>
          <w:bCs/>
          <w:color w:val="auto"/>
          <w:sz w:val="32"/>
          <w:szCs w:val="32"/>
          <w:highlight w:val="none"/>
        </w:rPr>
        <w:t>主要负责</w:t>
      </w:r>
      <w:r>
        <w:rPr>
          <w:rFonts w:hint="eastAsia" w:ascii="Times New Roman" w:hAnsi="Times New Roman" w:eastAsia="仿宋_GB2312" w:cs="Times New Roman"/>
          <w:bCs/>
          <w:color w:val="auto"/>
          <w:sz w:val="32"/>
          <w:szCs w:val="32"/>
          <w:highlight w:val="none"/>
          <w:lang w:val="en-US" w:eastAsia="zh-CN"/>
        </w:rPr>
        <w:t>确定绩效评价</w:t>
      </w:r>
      <w:r>
        <w:rPr>
          <w:rFonts w:hint="eastAsia" w:ascii="Times New Roman" w:hAnsi="Times New Roman" w:eastAsia="仿宋_GB2312" w:cs="Times New Roman"/>
          <w:bCs/>
          <w:color w:val="auto"/>
          <w:sz w:val="32"/>
          <w:szCs w:val="32"/>
          <w:highlight w:val="none"/>
          <w:lang w:val="en-US" w:eastAsia="zh-Hans"/>
        </w:rPr>
        <w:t>模</w:t>
      </w:r>
      <w:r>
        <w:rPr>
          <w:rFonts w:hint="eastAsia" w:ascii="Times New Roman" w:hAnsi="Times New Roman" w:eastAsia="仿宋_GB2312" w:cs="Times New Roman"/>
          <w:bCs/>
          <w:color w:val="auto"/>
          <w:sz w:val="32"/>
          <w:szCs w:val="32"/>
          <w:highlight w:val="none"/>
          <w:lang w:val="en-US" w:eastAsia="zh-CN"/>
        </w:rPr>
        <w:t>板</w:t>
      </w:r>
      <w:r>
        <w:rPr>
          <w:rFonts w:hint="eastAsia" w:ascii="Times New Roman" w:hAnsi="Times New Roman" w:eastAsia="仿宋_GB2312" w:cs="Times New Roman"/>
          <w:bCs/>
          <w:color w:val="auto"/>
          <w:sz w:val="32"/>
          <w:szCs w:val="32"/>
          <w:highlight w:val="none"/>
        </w:rPr>
        <w:t>、总体协调沟通、全盘统筹、</w:t>
      </w:r>
      <w:r>
        <w:rPr>
          <w:rFonts w:hint="eastAsia" w:ascii="Times New Roman" w:hAnsi="Times New Roman" w:eastAsia="仿宋_GB2312" w:cs="Times New Roman"/>
          <w:bCs/>
          <w:color w:val="auto"/>
          <w:sz w:val="32"/>
          <w:szCs w:val="32"/>
          <w:highlight w:val="none"/>
          <w:lang w:val="en-US" w:eastAsia="zh-CN"/>
        </w:rPr>
        <w:t>总体</w:t>
      </w:r>
      <w:r>
        <w:rPr>
          <w:rFonts w:hint="eastAsia" w:ascii="Times New Roman" w:hAnsi="Times New Roman" w:eastAsia="仿宋_GB2312" w:cs="Times New Roman"/>
          <w:bCs/>
          <w:color w:val="auto"/>
          <w:sz w:val="32"/>
          <w:szCs w:val="32"/>
          <w:highlight w:val="none"/>
        </w:rPr>
        <w:t>质量把关等工作</w:t>
      </w:r>
      <w:r>
        <w:rPr>
          <w:rFonts w:hint="eastAsia" w:ascii="Times New Roman" w:hAnsi="Times New Roman" w:eastAsia="仿宋_GB2312" w:cs="Times New Roman"/>
          <w:bCs/>
          <w:color w:val="auto"/>
          <w:sz w:val="32"/>
          <w:szCs w:val="32"/>
          <w:highlight w:val="none"/>
          <w:lang w:val="en-US" w:eastAsia="zh-CN"/>
        </w:rPr>
        <w:t>。</w:t>
      </w:r>
    </w:p>
    <w:p>
      <w:pPr>
        <w:spacing w:line="560" w:lineRule="exact"/>
        <w:ind w:firstLine="640" w:firstLineChars="200"/>
        <w:rPr>
          <w:rFonts w:hint="eastAsia" w:ascii="Times New Roman" w:hAnsi="Times New Roman" w:eastAsia="仿宋_GB2312" w:cs="Times New Roman"/>
          <w:bCs/>
          <w:color w:val="auto"/>
          <w:sz w:val="32"/>
          <w:szCs w:val="32"/>
          <w:highlight w:val="none"/>
          <w:lang w:val="en-US" w:eastAsia="zh-CN"/>
        </w:rPr>
      </w:pPr>
      <w:r>
        <w:rPr>
          <w:rFonts w:hint="eastAsia" w:ascii="Times New Roman" w:hAnsi="Times New Roman" w:eastAsia="仿宋_GB2312" w:cs="Times New Roman"/>
          <w:bCs/>
          <w:color w:val="auto"/>
          <w:sz w:val="32"/>
          <w:szCs w:val="32"/>
          <w:highlight w:val="none"/>
          <w:lang w:val="en-US" w:eastAsia="zh-CN"/>
        </w:rPr>
        <w:t>（2）评价组成员：李峰，</w:t>
      </w:r>
      <w:r>
        <w:rPr>
          <w:rFonts w:hint="eastAsia" w:ascii="Times New Roman" w:hAnsi="Times New Roman" w:eastAsia="仿宋_GB2312" w:cs="Times New Roman"/>
          <w:bCs/>
          <w:color w:val="auto"/>
          <w:sz w:val="32"/>
          <w:szCs w:val="32"/>
          <w:highlight w:val="none"/>
        </w:rPr>
        <w:t>主要负责绩效评价现场督导，对评价组成员的评价检查工作提供技术指导与支持，对实效评价工作质量把关</w:t>
      </w:r>
      <w:r>
        <w:rPr>
          <w:rFonts w:hint="eastAsia" w:ascii="Times New Roman" w:hAnsi="Times New Roman" w:eastAsia="仿宋_GB2312" w:cs="Times New Roman"/>
          <w:bCs/>
          <w:color w:val="auto"/>
          <w:sz w:val="32"/>
          <w:szCs w:val="32"/>
          <w:highlight w:val="none"/>
          <w:lang w:val="en-US" w:eastAsia="zh-CN"/>
        </w:rPr>
        <w:t>。</w:t>
      </w:r>
    </w:p>
    <w:p>
      <w:pPr>
        <w:spacing w:line="560" w:lineRule="exact"/>
        <w:ind w:firstLine="640" w:firstLineChars="200"/>
        <w:rPr>
          <w:rFonts w:hint="eastAsia" w:ascii="Times New Roman" w:hAnsi="Times New Roman" w:eastAsia="仿宋_GB2312" w:cs="Times New Roman"/>
          <w:bCs/>
          <w:color w:val="auto"/>
          <w:sz w:val="32"/>
          <w:szCs w:val="32"/>
          <w:highlight w:val="none"/>
          <w:lang w:val="en-US" w:eastAsia="zh-CN"/>
        </w:rPr>
      </w:pPr>
      <w:r>
        <w:rPr>
          <w:rFonts w:hint="eastAsia" w:ascii="Times New Roman" w:hAnsi="Times New Roman" w:eastAsia="仿宋_GB2312" w:cs="Times New Roman"/>
          <w:bCs/>
          <w:color w:val="auto"/>
          <w:sz w:val="32"/>
          <w:szCs w:val="32"/>
          <w:highlight w:val="none"/>
          <w:lang w:val="en-US" w:eastAsia="zh-CN"/>
        </w:rPr>
        <w:t>（3）评价组成员：谢宏山；米合日古丽；米哈依；阿布来克木；沈波；热孜万古丽；木巴拉克；邢若琳，</w:t>
      </w:r>
      <w:r>
        <w:rPr>
          <w:rFonts w:hint="eastAsia" w:ascii="Times New Roman" w:hAnsi="Times New Roman" w:eastAsia="仿宋_GB2312" w:cs="Times New Roman"/>
          <w:bCs/>
          <w:color w:val="auto"/>
          <w:sz w:val="32"/>
          <w:szCs w:val="32"/>
          <w:highlight w:val="none"/>
        </w:rPr>
        <w:t>主要负责现场调研工作，完成收集整理资料、审核数据、填报绩效评价内容等工作</w:t>
      </w:r>
      <w:r>
        <w:rPr>
          <w:rFonts w:hint="eastAsia" w:ascii="Times New Roman" w:hAnsi="Times New Roman" w:eastAsia="仿宋_GB2312" w:cs="Times New Roman"/>
          <w:bCs/>
          <w:color w:val="auto"/>
          <w:sz w:val="32"/>
          <w:szCs w:val="32"/>
          <w:highlight w:val="none"/>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p>
    <w:p>
      <w:pPr>
        <w:bidi w:val="0"/>
        <w:rPr>
          <w:rFonts w:hint="eastAsia"/>
          <w:color w:val="auto"/>
          <w:highlight w:val="none"/>
          <w:lang w:val="en-US" w:eastAsia="zh-CN"/>
        </w:rPr>
      </w:pPr>
      <w:r>
        <w:rPr>
          <w:rFonts w:hint="eastAsia"/>
          <w:color w:val="auto"/>
          <w:highlight w:val="none"/>
          <w:lang w:val="en-US" w:eastAsia="zh-CN"/>
        </w:rPr>
        <w:t>（2）撰写报告</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12</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15</w:t>
      </w:r>
      <w:r>
        <w:rPr>
          <w:rFonts w:hint="eastAsia"/>
          <w:color w:val="auto"/>
          <w:highlight w:val="none"/>
          <w:lang w:eastAsia="zh-CN"/>
        </w:rPr>
        <w:t>日，</w:t>
      </w:r>
      <w:r>
        <w:rPr>
          <w:rFonts w:hint="eastAsia"/>
          <w:color w:val="auto"/>
          <w:highlight w:val="none"/>
          <w:lang w:val="en-US" w:eastAsia="zh-CN"/>
        </w:rPr>
        <w:t>绩效评价项目小组依照整理、分析后的项目材料、数据资料，依据评价形成的初步结论，按</w:t>
      </w:r>
      <w:r>
        <w:rPr>
          <w:rFonts w:hint="eastAsia" w:ascii="Times New Roman" w:hAnsi="Times New Roman" w:cs="Times New Roman"/>
          <w:color w:val="auto"/>
          <w:highlight w:val="none"/>
          <w:lang w:val="en-US" w:eastAsia="zh-CN"/>
        </w:rPr>
        <w:t>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6"/>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6"/>
        <w:bidi w:val="0"/>
        <w:rPr>
          <w:rFonts w:hint="eastAsia"/>
          <w:color w:val="auto"/>
          <w:highlight w:val="none"/>
          <w:lang w:val="en-US" w:eastAsia="zh-CN"/>
        </w:rPr>
      </w:pPr>
      <w:r>
        <w:rPr>
          <w:rFonts w:hint="eastAsia"/>
          <w:color w:val="auto"/>
          <w:highlight w:val="none"/>
          <w:lang w:val="en-US" w:eastAsia="zh-CN"/>
        </w:rPr>
        <w:t>5.归集档案</w:t>
      </w:r>
      <w:bookmarkEnd w:id="12"/>
    </w:p>
    <w:p>
      <w:pPr>
        <w:bidi w:val="0"/>
        <w:rPr>
          <w:rFonts w:hint="eastAsia"/>
          <w:color w:val="auto"/>
          <w:highlight w:val="none"/>
          <w:lang w:val="en-US" w:eastAsia="zh-CN"/>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rPr>
          <w:color w:val="auto"/>
          <w:highlight w:val="none"/>
        </w:rPr>
      </w:pPr>
      <w:r>
        <w:rPr>
          <w:rFonts w:hint="eastAsia"/>
          <w:color w:val="auto"/>
          <w:highlight w:val="none"/>
        </w:rPr>
        <w:t>　</w:t>
      </w:r>
    </w:p>
    <w:p>
      <w:pPr>
        <w:pStyle w:val="4"/>
        <w:numPr>
          <w:ilvl w:val="0"/>
          <w:numId w:val="2"/>
        </w:numPr>
        <w:ind w:firstLine="640"/>
        <w:rPr>
          <w:color w:val="auto"/>
          <w:highlight w:val="none"/>
        </w:rPr>
      </w:pPr>
      <w:r>
        <w:rPr>
          <w:rFonts w:hint="eastAsia"/>
          <w:color w:val="auto"/>
          <w:highlight w:val="none"/>
        </w:rPr>
        <w:t>综合评价情况及评价结论</w:t>
      </w:r>
    </w:p>
    <w:p>
      <w:pPr>
        <w:pStyle w:val="5"/>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w:t>
      </w:r>
      <w:r>
        <w:rPr>
          <w:rFonts w:hint="eastAsia"/>
          <w:color w:val="auto"/>
          <w:highlight w:val="none"/>
          <w:lang w:val="en-US" w:eastAsia="zh-CN"/>
        </w:rPr>
        <w:t>达成</w:t>
      </w:r>
      <w:r>
        <w:rPr>
          <w:rFonts w:hint="eastAsia"/>
          <w:color w:val="auto"/>
          <w:highlight w:val="none"/>
          <w:lang w:eastAsia="zh-CN"/>
        </w:rPr>
        <w:t>年初设立的绩效目标，</w:t>
      </w:r>
      <w:r>
        <w:rPr>
          <w:rFonts w:hint="eastAsia"/>
          <w:color w:val="auto"/>
          <w:highlight w:val="none"/>
        </w:rPr>
        <w:t>项目总体组织规范，</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pPr>
        <w:bidi w:val="0"/>
        <w:rPr>
          <w:rFonts w:hint="eastAsia"/>
          <w:color w:val="auto"/>
          <w:highlight w:val="none"/>
        </w:rPr>
      </w:pPr>
      <w:r>
        <w:rPr>
          <w:rFonts w:hint="eastAsia"/>
          <w:color w:val="auto"/>
          <w:highlight w:val="none"/>
        </w:rPr>
        <w:t>项目决策方面</w:t>
      </w:r>
      <w:r>
        <w:rPr>
          <w:rFonts w:hint="eastAsia"/>
          <w:color w:val="auto"/>
          <w:highlight w:val="none"/>
          <w:lang w:eastAsia="zh-CN"/>
        </w:rPr>
        <w:t>：</w:t>
      </w: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中央财政部</w:t>
      </w:r>
      <w:r>
        <w:rPr>
          <w:rFonts w:hint="eastAsia"/>
          <w:color w:val="auto"/>
          <w:highlight w:val="none"/>
          <w:lang w:eastAsia="zh-Hans"/>
        </w:rPr>
        <w:t>颁发的《</w:t>
      </w:r>
      <w:r>
        <w:rPr>
          <w:rFonts w:hint="eastAsia"/>
          <w:color w:val="auto"/>
          <w:highlight w:val="none"/>
          <w:lang w:val="en-US" w:eastAsia="zh-CN"/>
        </w:rPr>
        <w:t>中央补助地方公共文化服务体系建设专项资金管理暂行办法</w:t>
      </w:r>
      <w:r>
        <w:rPr>
          <w:rFonts w:hint="eastAsia"/>
          <w:color w:val="auto"/>
          <w:highlight w:val="none"/>
          <w:lang w:eastAsia="zh-Hans"/>
        </w:rPr>
        <w:t>》（</w:t>
      </w:r>
      <w:r>
        <w:rPr>
          <w:rFonts w:hint="eastAsia"/>
          <w:color w:val="auto"/>
          <w:highlight w:val="none"/>
          <w:lang w:val="en-US" w:eastAsia="zh-CN"/>
        </w:rPr>
        <w:t>财教[2015]527号</w:t>
      </w:r>
      <w:r>
        <w:rPr>
          <w:rFonts w:hint="eastAsia"/>
          <w:color w:val="auto"/>
          <w:highlight w:val="none"/>
          <w:lang w:eastAsia="zh-Hans"/>
        </w:rPr>
        <w:t>）中</w:t>
      </w:r>
      <w:r>
        <w:rPr>
          <w:rFonts w:hint="eastAsia"/>
          <w:color w:val="auto"/>
          <w:highlight w:val="none"/>
          <w:lang w:val="en-US" w:eastAsia="zh-CN"/>
        </w:rPr>
        <w:t>的规定</w:t>
      </w:r>
      <w:r>
        <w:rPr>
          <w:rFonts w:hint="eastAsia"/>
          <w:color w:val="auto"/>
          <w:highlight w:val="none"/>
        </w:rPr>
        <w:t>；</w:t>
      </w:r>
      <w:r>
        <w:rPr>
          <w:rFonts w:hint="eastAsia"/>
          <w:color w:val="auto"/>
          <w:highlight w:val="none"/>
          <w:lang w:val="en-US" w:eastAsia="zh-CN"/>
        </w:rPr>
        <w:t>该项目按照规定的项目实施程序申请设立；事前已经过必要的可行性研究、专家论证、风险评估、绩效评估、集体决策；单位按照程序向市文旅局提交了资金申请报告等相关符合要求的申请材料并通过审批。</w:t>
      </w:r>
      <w:r>
        <w:rPr>
          <w:rFonts w:hint="eastAsia"/>
          <w:color w:val="auto"/>
          <w:highlight w:val="none"/>
        </w:rPr>
        <w:t xml:space="preserve"> </w:t>
      </w:r>
    </w:p>
    <w:p>
      <w:pPr>
        <w:bidi w:val="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，项目启动实施后，为了加快本项目的实施，成立了项目工作领导小组，</w:t>
      </w:r>
    </w:p>
    <w:p>
      <w:pPr>
        <w:widowControl/>
        <w:shd w:val="clear" w:color="auto" w:fill="FFFFFF"/>
        <w:spacing w:line="560" w:lineRule="exact"/>
        <w:ind w:firstLine="560" w:firstLineChars="200"/>
        <w:rPr>
          <w:color w:val="auto"/>
          <w:highlight w:val="none"/>
        </w:rPr>
      </w:pPr>
      <w:r>
        <w:rPr>
          <w:rFonts w:hint="eastAsia"/>
          <w:color w:val="auto"/>
          <w:highlight w:val="none"/>
          <w:lang w:eastAsia="zh-CN"/>
        </w:rPr>
        <w:t>项目产出方面：</w:t>
      </w:r>
      <w:r>
        <w:rPr>
          <w:rFonts w:hint="eastAsia" w:eastAsia="仿宋_GB2312"/>
          <w:color w:val="auto"/>
          <w:sz w:val="32"/>
          <w:szCs w:val="32"/>
          <w:highlight w:val="none"/>
        </w:rPr>
        <w:t>巡查文物保护点数量</w:t>
      </w:r>
      <w:r>
        <w:rPr>
          <w:rFonts w:eastAsia="仿宋_GB2312"/>
          <w:color w:val="auto"/>
          <w:sz w:val="32"/>
          <w:szCs w:val="32"/>
          <w:highlight w:val="none"/>
        </w:rPr>
        <w:t>79</w:t>
      </w:r>
      <w:r>
        <w:rPr>
          <w:rFonts w:hint="eastAsia" w:eastAsia="仿宋_GB2312"/>
          <w:color w:val="auto"/>
          <w:sz w:val="32"/>
          <w:szCs w:val="32"/>
          <w:highlight w:val="none"/>
        </w:rPr>
        <w:t>处；文艺演出场次</w:t>
      </w:r>
      <w:r>
        <w:rPr>
          <w:rFonts w:eastAsia="仿宋_GB2312"/>
          <w:color w:val="auto"/>
          <w:sz w:val="32"/>
          <w:szCs w:val="32"/>
          <w:highlight w:val="none"/>
        </w:rPr>
        <w:t>120</w:t>
      </w:r>
      <w:r>
        <w:rPr>
          <w:rFonts w:hint="eastAsia" w:eastAsia="仿宋_GB2312"/>
          <w:color w:val="auto"/>
          <w:sz w:val="32"/>
          <w:szCs w:val="32"/>
          <w:highlight w:val="none"/>
        </w:rPr>
        <w:t>场次；艺术类专业培训</w:t>
      </w:r>
      <w:r>
        <w:rPr>
          <w:rFonts w:eastAsia="仿宋_GB2312"/>
          <w:color w:val="auto"/>
          <w:sz w:val="32"/>
          <w:szCs w:val="32"/>
          <w:highlight w:val="none"/>
        </w:rPr>
        <w:t>2</w:t>
      </w:r>
      <w:r>
        <w:rPr>
          <w:rFonts w:hint="eastAsia" w:eastAsia="仿宋_GB2312"/>
          <w:color w:val="auto"/>
          <w:sz w:val="32"/>
          <w:szCs w:val="32"/>
          <w:highlight w:val="none"/>
        </w:rPr>
        <w:t>次；完成农影放映</w:t>
      </w:r>
      <w:r>
        <w:rPr>
          <w:rFonts w:eastAsia="仿宋_GB2312"/>
          <w:color w:val="auto"/>
          <w:sz w:val="32"/>
          <w:szCs w:val="32"/>
          <w:highlight w:val="none"/>
        </w:rPr>
        <w:t>528</w:t>
      </w:r>
      <w:r>
        <w:rPr>
          <w:rFonts w:hint="eastAsia" w:eastAsia="仿宋_GB2312"/>
          <w:color w:val="auto"/>
          <w:sz w:val="32"/>
          <w:szCs w:val="32"/>
          <w:highlight w:val="none"/>
        </w:rPr>
        <w:t>场次；农影放映乡村数量</w:t>
      </w:r>
      <w:r>
        <w:rPr>
          <w:rFonts w:eastAsia="仿宋_GB2312"/>
          <w:color w:val="auto"/>
          <w:sz w:val="32"/>
          <w:szCs w:val="32"/>
          <w:highlight w:val="none"/>
        </w:rPr>
        <w:t>44</w:t>
      </w:r>
      <w:r>
        <w:rPr>
          <w:rFonts w:hint="eastAsia" w:eastAsia="仿宋_GB2312"/>
          <w:color w:val="auto"/>
          <w:sz w:val="32"/>
          <w:szCs w:val="32"/>
          <w:highlight w:val="none"/>
        </w:rPr>
        <w:t>个；</w:t>
      </w:r>
    </w:p>
    <w:p>
      <w:pPr>
        <w:bidi w:val="0"/>
        <w:rPr>
          <w:color w:val="auto"/>
          <w:highlight w:val="none"/>
          <w:lang w:val="en-US" w:eastAsia="zh-CN"/>
        </w:rPr>
      </w:pPr>
      <w:r>
        <w:rPr>
          <w:rFonts w:hint="eastAsia"/>
          <w:color w:val="auto"/>
          <w:highlight w:val="none"/>
          <w:lang w:eastAsia="zh-CN"/>
        </w:rPr>
        <w:t>项目效益方面：</w:t>
      </w:r>
      <w:r>
        <w:rPr>
          <w:rFonts w:hint="eastAsia" w:eastAsia="仿宋_GB2312"/>
          <w:color w:val="auto"/>
          <w:sz w:val="32"/>
          <w:szCs w:val="32"/>
          <w:highlight w:val="none"/>
        </w:rPr>
        <w:t>进一步丰富群众的文化体育生活，促进托克逊县体育事业的发展，扩大托克逊县文化体育影响力，提升知名度和美誉度；通过公益电影放映，进一步丰富农牧民群众的文化生活，提高广大农牧民对文化需求的满意度和幸福感；提供基本公共文化服务项目，改善基层公共文化体育设施条件；提供基本公共文化服务项目、公共文化体育设施维修和设备购置、开展群众体育活动以及基本公共文化服务其他项目。</w:t>
      </w:r>
    </w:p>
    <w:p>
      <w:pPr>
        <w:pStyle w:val="5"/>
        <w:bidi w:val="0"/>
        <w:rPr>
          <w:rFonts w:hint="eastAsia"/>
          <w:color w:val="auto"/>
          <w:highlight w:val="none"/>
        </w:rPr>
      </w:pPr>
      <w:r>
        <w:rPr>
          <w:rFonts w:hint="eastAsia"/>
          <w:color w:val="auto"/>
          <w:highlight w:val="none"/>
        </w:rPr>
        <w:t>（二）综合评价结论</w:t>
      </w:r>
    </w:p>
    <w:bookmarkEnd w:id="14"/>
    <w:p>
      <w:pPr>
        <w:bidi w:val="0"/>
        <w:rPr>
          <w:rFonts w:hint="eastAsia"/>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96.4分，绩效评级为“优秀”。综合评价结论如下：本项目决策指标共设置6个，满分20分，得分率100%；项目过程指标共设置5个，满分20分，得分率100%；项目产出指标共设置13个，满分24分，得分率100%；项目成本指标共设置3个，满分12分，得分率70%；项目效益指标共设置3个，满分24分，得分率24%。</w:t>
      </w:r>
      <w:r>
        <w:rPr>
          <w:rFonts w:hint="eastAsia"/>
          <w:color w:val="auto"/>
          <w:highlight w:val="none"/>
          <w:lang w:val="zh-TW" w:eastAsia="zh-CN"/>
        </w:rPr>
        <w:t>详细情况见</w:t>
      </w:r>
      <w:r>
        <w:rPr>
          <w:rFonts w:hint="eastAsia"/>
          <w:color w:val="auto"/>
          <w:highlight w:val="none"/>
          <w:lang w:val="en-US" w:eastAsia="zh-CN"/>
        </w:rPr>
        <w:t>“附件1：项目支出绩效评价指标体系表和项目综合得分表”。</w:t>
      </w:r>
    </w:p>
    <w:p>
      <w:pPr>
        <w:pStyle w:val="4"/>
        <w:numPr>
          <w:ilvl w:val="0"/>
          <w:numId w:val="2"/>
        </w:numPr>
        <w:ind w:firstLine="640"/>
        <w:rPr>
          <w:rFonts w:hint="eastAsia"/>
          <w:color w:val="auto"/>
          <w:highlight w:val="none"/>
        </w:rPr>
      </w:pPr>
      <w:r>
        <w:rPr>
          <w:rFonts w:hint="eastAsia"/>
          <w:color w:val="auto"/>
          <w:highlight w:val="none"/>
        </w:rPr>
        <w:t>绩效评价指标分析</w:t>
      </w:r>
    </w:p>
    <w:p>
      <w:pPr>
        <w:pStyle w:val="5"/>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rPr>
          <w:rFonts w:hint="eastAsia"/>
          <w:color w:val="auto"/>
          <w:highlight w:val="none"/>
        </w:rPr>
      </w:pP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中央财政部</w:t>
      </w:r>
      <w:r>
        <w:rPr>
          <w:rFonts w:hint="eastAsia"/>
          <w:color w:val="auto"/>
          <w:highlight w:val="none"/>
          <w:lang w:eastAsia="zh-Hans"/>
        </w:rPr>
        <w:t>颁发的《</w:t>
      </w:r>
      <w:r>
        <w:rPr>
          <w:rFonts w:hint="eastAsia"/>
          <w:color w:val="auto"/>
          <w:highlight w:val="none"/>
          <w:lang w:val="en-US" w:eastAsia="zh-CN"/>
        </w:rPr>
        <w:t>中央补助地方公共文化服务体系建设专项资金管理暂行办法</w:t>
      </w:r>
      <w:r>
        <w:rPr>
          <w:rFonts w:hint="eastAsia"/>
          <w:color w:val="auto"/>
          <w:highlight w:val="none"/>
          <w:lang w:eastAsia="zh-Hans"/>
        </w:rPr>
        <w:t>》（</w:t>
      </w:r>
      <w:r>
        <w:rPr>
          <w:rFonts w:hint="eastAsia"/>
          <w:color w:val="auto"/>
          <w:highlight w:val="none"/>
          <w:lang w:val="en-US" w:eastAsia="zh-CN"/>
        </w:rPr>
        <w:t>财教[2015]527号</w:t>
      </w:r>
      <w:r>
        <w:rPr>
          <w:rFonts w:hint="eastAsia"/>
          <w:color w:val="auto"/>
          <w:highlight w:val="none"/>
          <w:lang w:eastAsia="zh-Hans"/>
        </w:rPr>
        <w:t>）中</w:t>
      </w:r>
      <w:r>
        <w:rPr>
          <w:rFonts w:hint="eastAsia"/>
          <w:color w:val="auto"/>
          <w:highlight w:val="none"/>
          <w:lang w:val="en-US" w:eastAsia="zh-CN"/>
        </w:rPr>
        <w:t>的规定</w:t>
      </w: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文旅局</w:t>
      </w:r>
      <w:r>
        <w:rPr>
          <w:rFonts w:hint="eastAsia"/>
          <w:color w:val="auto"/>
          <w:highlight w:val="none"/>
        </w:rPr>
        <w:t>单位</w:t>
      </w:r>
      <w:r>
        <w:rPr>
          <w:rFonts w:hint="eastAsia"/>
          <w:color w:val="auto"/>
          <w:highlight w:val="none"/>
          <w:lang w:eastAsia="zh-Hans"/>
        </w:rPr>
        <w:t>配置内设机构和人员编制规定》中职责范围</w:t>
      </w:r>
      <w:r>
        <w:rPr>
          <w:rFonts w:hint="eastAsia"/>
          <w:color w:val="auto"/>
          <w:highlight w:val="none"/>
        </w:rPr>
        <w:t>中的“</w:t>
      </w:r>
      <w:r>
        <w:rPr>
          <w:rFonts w:hint="eastAsia"/>
          <w:color w:val="auto"/>
          <w:highlight w:val="none"/>
          <w:lang w:val="en-US" w:eastAsia="zh-CN"/>
        </w:rPr>
        <w:t>公共文化服务职能</w:t>
      </w:r>
      <w:r>
        <w:rPr>
          <w:rFonts w:hint="eastAsia"/>
          <w:color w:val="auto"/>
          <w:highlight w:val="none"/>
        </w:rPr>
        <w:t>”</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rPr>
        <w:t>；根据《财政资金直接支付申请书》，本项目资金性质为</w:t>
      </w:r>
      <w:r>
        <w:rPr>
          <w:rFonts w:hint="eastAsia"/>
          <w:color w:val="auto"/>
          <w:highlight w:val="none"/>
          <w:lang w:val="en-US" w:eastAsia="zh-CN"/>
        </w:rPr>
        <w:t>专项</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2070199</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50502</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w:t>
      </w:r>
      <w:r>
        <w:rPr>
          <w:rFonts w:hint="eastAsia"/>
          <w:color w:val="auto"/>
          <w:highlight w:val="none"/>
          <w:lang w:eastAsia="zh-Hans"/>
        </w:rPr>
        <w:t>我单位财政应用平台指标，</w:t>
      </w:r>
      <w:r>
        <w:rPr>
          <w:rFonts w:hint="eastAsia"/>
          <w:color w:val="auto"/>
          <w:highlight w:val="none"/>
        </w:rPr>
        <w:t>本</w:t>
      </w:r>
      <w:r>
        <w:rPr>
          <w:rFonts w:hint="eastAsia"/>
          <w:color w:val="auto"/>
          <w:highlight w:val="none"/>
          <w:lang w:eastAsia="zh-Hans"/>
        </w:rPr>
        <w:t>项目不存在重复</w:t>
      </w:r>
      <w:r>
        <w:rPr>
          <w:rFonts w:hint="eastAsia"/>
          <w:color w:val="auto"/>
          <w:highlight w:val="none"/>
        </w:rPr>
        <w:t>。</w:t>
      </w:r>
    </w:p>
    <w:p>
      <w:pPr>
        <w:bidi w:val="0"/>
        <w:rPr>
          <w:rFonts w:hint="eastAsia"/>
          <w:color w:val="auto"/>
          <w:highlight w:val="none"/>
        </w:rPr>
      </w:pPr>
      <w:r>
        <w:rPr>
          <w:rFonts w:hint="eastAsia"/>
          <w:color w:val="auto"/>
          <w:highlight w:val="none"/>
        </w:rPr>
        <w:t>综上</w:t>
      </w:r>
      <w:r>
        <w:rPr>
          <w:rFonts w:hint="eastAsia"/>
          <w:color w:val="auto"/>
          <w:highlight w:val="none"/>
          <w:lang w:val="en-US"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rFonts w:hint="eastAsia"/>
          <w:color w:val="auto"/>
          <w:highlight w:val="none"/>
          <w:lang w:val="en-US" w:eastAsia="zh-CN"/>
        </w:rPr>
      </w:pPr>
      <w:r>
        <w:rPr>
          <w:rFonts w:hint="eastAsia"/>
          <w:color w:val="auto"/>
          <w:highlight w:val="none"/>
          <w:lang w:val="en-US" w:eastAsia="zh-CN"/>
        </w:rPr>
        <w:t>该项目按照规定的项目实施程序申请设立；事前已经过必要的可行性研究、专家论证、风险评估、绩效评估、集体决策；单位按照程序向市文旅局提交了资金申请报告等相关符合要求的申请材料并通过审批。综上，该指标满分3分，根据评分标准得3分，本项目立项程序合规。</w:t>
      </w:r>
    </w:p>
    <w:p>
      <w:pPr>
        <w:pStyle w:val="6"/>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eastAsia="仿宋_GB2312"/>
          <w:color w:val="auto"/>
          <w:sz w:val="32"/>
          <w:szCs w:val="32"/>
          <w:highlight w:val="none"/>
        </w:rPr>
        <w:t>巡查文物保护点数量</w:t>
      </w:r>
      <w:r>
        <w:rPr>
          <w:rFonts w:eastAsia="仿宋_GB2312"/>
          <w:color w:val="auto"/>
          <w:sz w:val="32"/>
          <w:szCs w:val="32"/>
          <w:highlight w:val="none"/>
        </w:rPr>
        <w:t>79</w:t>
      </w:r>
      <w:r>
        <w:rPr>
          <w:rFonts w:hint="eastAsia" w:eastAsia="仿宋_GB2312"/>
          <w:color w:val="auto"/>
          <w:sz w:val="32"/>
          <w:szCs w:val="32"/>
          <w:highlight w:val="none"/>
        </w:rPr>
        <w:t>处；文艺演出场次不少于</w:t>
      </w:r>
      <w:r>
        <w:rPr>
          <w:rFonts w:eastAsia="仿宋_GB2312"/>
          <w:color w:val="auto"/>
          <w:sz w:val="32"/>
          <w:szCs w:val="32"/>
          <w:highlight w:val="none"/>
        </w:rPr>
        <w:t>120</w:t>
      </w:r>
      <w:r>
        <w:rPr>
          <w:rFonts w:hint="eastAsia" w:eastAsia="仿宋_GB2312"/>
          <w:color w:val="auto"/>
          <w:sz w:val="32"/>
          <w:szCs w:val="32"/>
          <w:highlight w:val="none"/>
        </w:rPr>
        <w:t>场次；艺术类专业培训</w:t>
      </w:r>
      <w:r>
        <w:rPr>
          <w:rFonts w:eastAsia="仿宋_GB2312"/>
          <w:color w:val="auto"/>
          <w:sz w:val="32"/>
          <w:szCs w:val="32"/>
          <w:highlight w:val="none"/>
        </w:rPr>
        <w:t>2</w:t>
      </w:r>
      <w:r>
        <w:rPr>
          <w:rFonts w:hint="eastAsia" w:eastAsia="仿宋_GB2312"/>
          <w:color w:val="auto"/>
          <w:sz w:val="32"/>
          <w:szCs w:val="32"/>
          <w:highlight w:val="none"/>
        </w:rPr>
        <w:t>次；完成农影放映</w:t>
      </w:r>
      <w:r>
        <w:rPr>
          <w:rFonts w:eastAsia="仿宋_GB2312"/>
          <w:color w:val="auto"/>
          <w:sz w:val="32"/>
          <w:szCs w:val="32"/>
          <w:highlight w:val="none"/>
        </w:rPr>
        <w:t>528</w:t>
      </w:r>
      <w:r>
        <w:rPr>
          <w:rFonts w:hint="eastAsia" w:eastAsia="仿宋_GB2312"/>
          <w:color w:val="auto"/>
          <w:sz w:val="32"/>
          <w:szCs w:val="32"/>
          <w:highlight w:val="none"/>
        </w:rPr>
        <w:t>场次；农影放映乡村数量</w:t>
      </w:r>
      <w:r>
        <w:rPr>
          <w:rFonts w:eastAsia="仿宋_GB2312"/>
          <w:color w:val="auto"/>
          <w:sz w:val="32"/>
          <w:szCs w:val="32"/>
          <w:highlight w:val="none"/>
        </w:rPr>
        <w:t>44</w:t>
      </w:r>
      <w:r>
        <w:rPr>
          <w:rFonts w:hint="eastAsia" w:eastAsia="仿宋_GB2312"/>
          <w:color w:val="auto"/>
          <w:sz w:val="32"/>
          <w:szCs w:val="32"/>
          <w:highlight w:val="none"/>
        </w:rPr>
        <w:t>个；预算控制数不超过</w:t>
      </w:r>
      <w:r>
        <w:rPr>
          <w:rFonts w:eastAsia="仿宋_GB2312"/>
          <w:color w:val="auto"/>
          <w:sz w:val="32"/>
          <w:szCs w:val="32"/>
          <w:highlight w:val="none"/>
        </w:rPr>
        <w:t>141.2</w:t>
      </w:r>
      <w:r>
        <w:rPr>
          <w:rFonts w:hint="eastAsia" w:eastAsia="仿宋_GB2312"/>
          <w:color w:val="auto"/>
          <w:sz w:val="32"/>
          <w:szCs w:val="32"/>
          <w:highlight w:val="none"/>
        </w:rPr>
        <w:t>万元；进一步丰富群众的文化体育生活，促进托克逊县体育事业的发展，扩大托克逊县文化体育影响力，提升知名度和美誉度；通过公益电影放映，进一步丰富农牧民群众的文化生活，提高广大农牧民对文化需求的满意度和幸福感；提供基本公共文化服务项目，改善基层公共文化体育设施条件；提供基本公共文化服务项目、公共文化体育设施维修和设备购置、开展群众体育活动以及基本公共文化服务其他项目。</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lang w:eastAsia="zh-CN"/>
        </w:rPr>
      </w:pPr>
      <w:r>
        <w:rPr>
          <w:rFonts w:hint="eastAsia"/>
          <w:color w:val="auto"/>
          <w:highlight w:val="none"/>
        </w:rPr>
        <w:t>③本项目按照绩效</w:t>
      </w:r>
      <w:r>
        <w:rPr>
          <w:rFonts w:hint="eastAsia"/>
          <w:color w:val="auto"/>
          <w:highlight w:val="none"/>
          <w:lang w:eastAsia="zh-CN"/>
        </w:rPr>
        <w:t>目标完成</w:t>
      </w:r>
      <w:r>
        <w:rPr>
          <w:rFonts w:hint="eastAsia"/>
          <w:color w:val="auto"/>
          <w:highlight w:val="none"/>
          <w:lang w:val="en-US" w:eastAsia="zh-CN"/>
        </w:rPr>
        <w:t>了各项产出指标和效益指标</w:t>
      </w:r>
      <w:r>
        <w:rPr>
          <w:rFonts w:hint="eastAsia"/>
          <w:color w:val="auto"/>
          <w:highlight w:val="none"/>
          <w:lang w:eastAsia="zh-CN"/>
        </w:rPr>
        <w:t>，预期产出效益和效果符合正常的业绩水平。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141.2</w:t>
      </w:r>
      <w:r>
        <w:rPr>
          <w:color w:val="auto"/>
          <w:highlight w:val="none"/>
        </w:rPr>
        <w:t>万元，《财政项目支出绩效目标表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lang w:val="en-US" w:eastAsia="zh-CN"/>
        </w:rPr>
        <w:t>141.2</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pPr>
        <w:pStyle w:val="6"/>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141.2</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公共文化</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pPr>
        <w:pageBreakBefore w:val="0"/>
        <w:kinsoku/>
        <w:wordWrap/>
        <w:topLinePunct w:val="0"/>
        <w:autoSpaceDE/>
        <w:autoSpaceDN/>
        <w:bidi w:val="0"/>
        <w:spacing w:line="560" w:lineRule="exact"/>
        <w:ind w:right="0" w:rightChars="0" w:firstLine="643"/>
        <w:rPr>
          <w:rFonts w:hint="default"/>
          <w:b w:val="0"/>
          <w:bCs w:val="0"/>
          <w:color w:val="auto"/>
          <w:highlight w:val="none"/>
          <w:lang w:val="en-US" w:eastAsia="zh-CN"/>
        </w:rPr>
      </w:pPr>
      <w:r>
        <w:rPr>
          <w:rFonts w:hint="eastAsia"/>
          <w:color w:val="auto"/>
          <w:highlight w:val="none"/>
        </w:rPr>
        <w:t>④</w:t>
      </w:r>
      <w:r>
        <w:rPr>
          <w:rFonts w:hint="eastAsia"/>
          <w:b w:val="0"/>
          <w:bCs w:val="0"/>
          <w:color w:val="auto"/>
          <w:highlight w:val="none"/>
        </w:rPr>
        <w:t>项目资金主要用于支付举办赛事、节庆、展览、等文化活动费用</w:t>
      </w:r>
      <w:r>
        <w:rPr>
          <w:rFonts w:hint="eastAsia"/>
          <w:b w:val="0"/>
          <w:bCs w:val="0"/>
          <w:color w:val="auto"/>
          <w:highlight w:val="none"/>
          <w:lang w:val="en-US" w:eastAsia="zh-CN"/>
        </w:rPr>
        <w:t>30</w:t>
      </w:r>
      <w:r>
        <w:rPr>
          <w:rFonts w:hint="eastAsia"/>
          <w:b w:val="0"/>
          <w:bCs w:val="0"/>
          <w:color w:val="auto"/>
          <w:highlight w:val="none"/>
        </w:rPr>
        <w:t>万元，公益电影放映费用</w:t>
      </w:r>
      <w:r>
        <w:rPr>
          <w:rFonts w:hint="eastAsia"/>
          <w:b w:val="0"/>
          <w:bCs w:val="0"/>
          <w:color w:val="auto"/>
          <w:highlight w:val="none"/>
          <w:lang w:val="en-US" w:eastAsia="zh-CN"/>
        </w:rPr>
        <w:t>16.56</w:t>
      </w:r>
      <w:r>
        <w:rPr>
          <w:rFonts w:hint="eastAsia"/>
          <w:b w:val="0"/>
          <w:bCs w:val="0"/>
          <w:color w:val="auto"/>
          <w:highlight w:val="none"/>
        </w:rPr>
        <w:t>万元</w:t>
      </w:r>
      <w:r>
        <w:rPr>
          <w:rFonts w:hint="eastAsia"/>
          <w:b w:val="0"/>
          <w:bCs w:val="0"/>
          <w:color w:val="auto"/>
          <w:highlight w:val="none"/>
          <w:lang w:eastAsia="zh-CN"/>
        </w:rPr>
        <w:t>，公共文化体育设施维修和设备购置</w:t>
      </w:r>
      <w:r>
        <w:rPr>
          <w:rFonts w:hint="eastAsia"/>
          <w:b w:val="0"/>
          <w:bCs w:val="0"/>
          <w:color w:val="auto"/>
          <w:highlight w:val="none"/>
          <w:lang w:val="en-US" w:eastAsia="zh-CN"/>
        </w:rPr>
        <w:t>费用94.64万元</w:t>
      </w:r>
      <w:r>
        <w:rPr>
          <w:rFonts w:hint="eastAsia"/>
          <w:b w:val="0"/>
          <w:bCs w:val="0"/>
          <w:color w:val="auto"/>
          <w:highlight w:val="none"/>
        </w:rPr>
        <w:t>。预算确定资金量与实际工作任务</w:t>
      </w:r>
      <w:r>
        <w:rPr>
          <w:rFonts w:hint="eastAsia"/>
          <w:b w:val="0"/>
          <w:bCs w:val="0"/>
          <w:color w:val="auto"/>
          <w:highlight w:val="none"/>
          <w:lang w:val="en-US" w:eastAsia="zh-CN"/>
        </w:rPr>
        <w:t>不完全</w:t>
      </w:r>
      <w:r>
        <w:rPr>
          <w:rFonts w:hint="eastAsia"/>
          <w:b w:val="0"/>
          <w:bCs w:val="0"/>
          <w:color w:val="auto"/>
          <w:highlight w:val="none"/>
        </w:rPr>
        <w:t>匹配。公共文化体育设施维修和设备购置</w:t>
      </w:r>
      <w:r>
        <w:rPr>
          <w:rFonts w:hint="eastAsia"/>
          <w:b w:val="0"/>
          <w:bCs w:val="0"/>
          <w:color w:val="auto"/>
          <w:highlight w:val="none"/>
          <w:lang w:eastAsia="zh-CN"/>
        </w:rPr>
        <w:t>，</w:t>
      </w:r>
      <w:r>
        <w:rPr>
          <w:rFonts w:hint="eastAsia"/>
          <w:b w:val="0"/>
          <w:bCs w:val="0"/>
          <w:color w:val="auto"/>
          <w:highlight w:val="none"/>
          <w:lang w:val="en-US" w:eastAsia="zh-CN"/>
        </w:rPr>
        <w:t>预期值≤94.64万元，实际支出95.56万元，原因：预算不精准。</w:t>
      </w:r>
    </w:p>
    <w:p>
      <w:pPr>
        <w:pageBreakBefore w:val="0"/>
        <w:kinsoku/>
        <w:wordWrap/>
        <w:topLinePunct w:val="0"/>
        <w:autoSpaceDE/>
        <w:autoSpaceDN/>
        <w:bidi w:val="0"/>
        <w:spacing w:line="560" w:lineRule="exact"/>
        <w:ind w:right="0" w:rightChars="0" w:firstLine="643"/>
        <w:rPr>
          <w:rFonts w:hint="eastAsia"/>
          <w:b w:val="0"/>
          <w:bCs w:val="0"/>
          <w:color w:val="auto"/>
          <w:highlight w:val="none"/>
          <w:lang w:eastAsia="zh-CN"/>
        </w:rPr>
      </w:pPr>
      <w:r>
        <w:rPr>
          <w:rFonts w:hint="eastAsia"/>
          <w:b w:val="0"/>
          <w:bCs w:val="0"/>
          <w:color w:val="auto"/>
          <w:highlight w:val="none"/>
          <w:lang w:eastAsia="zh-CN"/>
        </w:rPr>
        <w:t>综上所述，本指标满分为</w:t>
      </w:r>
      <w:r>
        <w:rPr>
          <w:rFonts w:hint="eastAsia"/>
          <w:b w:val="0"/>
          <w:bCs w:val="0"/>
          <w:color w:val="auto"/>
          <w:highlight w:val="none"/>
          <w:lang w:val="en-US" w:eastAsia="zh-CN"/>
        </w:rPr>
        <w:t>4</w:t>
      </w:r>
      <w:r>
        <w:rPr>
          <w:rFonts w:hint="eastAsia"/>
          <w:b w:val="0"/>
          <w:bCs w:val="0"/>
          <w:color w:val="auto"/>
          <w:highlight w:val="none"/>
          <w:lang w:eastAsia="zh-CN"/>
        </w:rPr>
        <w:t>分，根据评分标准得</w:t>
      </w:r>
      <w:r>
        <w:rPr>
          <w:rFonts w:hint="eastAsia"/>
          <w:b w:val="0"/>
          <w:bCs w:val="0"/>
          <w:color w:val="auto"/>
          <w:highlight w:val="none"/>
          <w:lang w:val="en-US" w:eastAsia="zh-CN"/>
        </w:rPr>
        <w:t>4</w:t>
      </w:r>
      <w:r>
        <w:rPr>
          <w:rFonts w:hint="eastAsia"/>
          <w:b w:val="0"/>
          <w:bCs w:val="0"/>
          <w:color w:val="auto"/>
          <w:highlight w:val="none"/>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eastAsia="仿宋_GB2312"/>
          <w:color w:val="auto"/>
          <w:sz w:val="32"/>
          <w:szCs w:val="32"/>
          <w:highlight w:val="none"/>
        </w:rPr>
      </w:pPr>
      <w:r>
        <w:rPr>
          <w:rFonts w:hint="eastAsia" w:cs="仿宋_GB2312"/>
          <w:color w:val="auto"/>
          <w:highlight w:val="none"/>
          <w:lang w:bidi="ar"/>
        </w:rPr>
        <w:t>本</w:t>
      </w:r>
      <w:r>
        <w:rPr>
          <w:rFonts w:hint="eastAsia"/>
          <w:color w:val="auto"/>
          <w:highlight w:val="none"/>
          <w:lang w:bidi="ar"/>
        </w:rPr>
        <w:t>项</w:t>
      </w:r>
      <w:r>
        <w:rPr>
          <w:rFonts w:hint="eastAsia" w:eastAsia="仿宋_GB2312"/>
          <w:color w:val="auto"/>
          <w:sz w:val="32"/>
          <w:szCs w:val="32"/>
          <w:highlight w:val="none"/>
        </w:rPr>
        <w:t>目实际分配资金以</w:t>
      </w:r>
      <w:r>
        <w:rPr>
          <w:rFonts w:hint="eastAsia" w:eastAsia="仿宋_GB2312"/>
          <w:color w:val="auto"/>
          <w:sz w:val="32"/>
          <w:szCs w:val="32"/>
          <w:highlight w:val="none"/>
          <w:lang w:eastAsia="zh-Hans"/>
        </w:rPr>
        <w:t>《关于</w:t>
      </w:r>
      <w:r>
        <w:rPr>
          <w:rFonts w:hint="eastAsia" w:eastAsia="仿宋_GB2312"/>
          <w:color w:val="auto"/>
          <w:sz w:val="32"/>
          <w:szCs w:val="32"/>
          <w:highlight w:val="none"/>
        </w:rPr>
        <w:t>申请2023年中央补助地方公共文化服务体系建设专项资金项目资金的请示</w:t>
      </w:r>
      <w:r>
        <w:rPr>
          <w:rFonts w:hint="eastAsia" w:eastAsia="仿宋_GB2312"/>
          <w:color w:val="auto"/>
          <w:sz w:val="32"/>
          <w:szCs w:val="32"/>
          <w:highlight w:val="none"/>
          <w:lang w:eastAsia="zh-Hans"/>
        </w:rPr>
        <w:t>》</w:t>
      </w:r>
      <w:r>
        <w:rPr>
          <w:rFonts w:hint="eastAsia" w:eastAsia="仿宋_GB2312"/>
          <w:color w:val="auto"/>
          <w:sz w:val="32"/>
          <w:szCs w:val="32"/>
          <w:highlight w:val="none"/>
        </w:rPr>
        <w:t>和《2023年中央补助地方公共文化服务体系建设专项资金项目实施方案》</w:t>
      </w:r>
      <w:r>
        <w:rPr>
          <w:rFonts w:hint="eastAsia" w:eastAsia="仿宋_GB2312"/>
          <w:color w:val="auto"/>
          <w:sz w:val="32"/>
          <w:szCs w:val="32"/>
          <w:highlight w:val="none"/>
          <w:lang w:eastAsia="zh-Hans"/>
        </w:rPr>
        <w:t>为依据进行资金分配，预算资金分配依据充分</w:t>
      </w:r>
      <w:r>
        <w:rPr>
          <w:rFonts w:hint="eastAsia" w:eastAsia="仿宋_GB2312"/>
          <w:color w:val="auto"/>
          <w:sz w:val="32"/>
          <w:szCs w:val="32"/>
          <w:highlight w:val="none"/>
        </w:rPr>
        <w:t>。根据《2023年中央补助地方公共文化服务体系建设专项资金资金下达文件》文件显示，本项目实际到位资金</w:t>
      </w:r>
      <w:r>
        <w:rPr>
          <w:rFonts w:hint="eastAsia" w:eastAsia="仿宋_GB2312"/>
          <w:color w:val="auto"/>
          <w:sz w:val="32"/>
          <w:szCs w:val="32"/>
          <w:highlight w:val="none"/>
          <w:lang w:val="en-US" w:eastAsia="zh-CN"/>
        </w:rPr>
        <w:t>141.2</w:t>
      </w:r>
      <w:r>
        <w:rPr>
          <w:rFonts w:hint="eastAsia" w:eastAsia="仿宋_GB2312"/>
          <w:color w:val="auto"/>
          <w:sz w:val="32"/>
          <w:szCs w:val="32"/>
          <w:highlight w:val="none"/>
        </w:rPr>
        <w:t>万元，实际分配资金与我单位提交申请的资金额度一致，</w:t>
      </w:r>
      <w:r>
        <w:rPr>
          <w:rFonts w:hint="eastAsia" w:eastAsia="仿宋_GB2312"/>
          <w:color w:val="auto"/>
          <w:sz w:val="32"/>
          <w:szCs w:val="32"/>
          <w:highlight w:val="none"/>
          <w:lang w:eastAsia="zh-Hans"/>
        </w:rPr>
        <w:t>资金分配额度合理，与</w:t>
      </w:r>
      <w:r>
        <w:rPr>
          <w:rFonts w:hint="eastAsia" w:eastAsia="仿宋_GB2312"/>
          <w:color w:val="auto"/>
          <w:sz w:val="32"/>
          <w:szCs w:val="32"/>
          <w:highlight w:val="none"/>
        </w:rPr>
        <w:t>我</w:t>
      </w:r>
      <w:r>
        <w:rPr>
          <w:rFonts w:hint="eastAsia" w:eastAsia="仿宋_GB2312"/>
          <w:color w:val="auto"/>
          <w:sz w:val="32"/>
          <w:szCs w:val="32"/>
          <w:highlight w:val="none"/>
          <w:lang w:eastAsia="zh-Hans"/>
        </w:rPr>
        <w:t>单位实际</w:t>
      </w:r>
      <w:r>
        <w:rPr>
          <w:rFonts w:hint="eastAsia" w:eastAsia="仿宋_GB2312"/>
          <w:color w:val="auto"/>
          <w:sz w:val="32"/>
          <w:szCs w:val="32"/>
          <w:highlight w:val="none"/>
        </w:rPr>
        <w:t>需求</w:t>
      </w:r>
      <w:r>
        <w:rPr>
          <w:rFonts w:hint="eastAsia" w:eastAsia="仿宋_GB2312"/>
          <w:color w:val="auto"/>
          <w:sz w:val="32"/>
          <w:szCs w:val="32"/>
          <w:highlight w:val="none"/>
          <w:lang w:eastAsia="zh-Hans"/>
        </w:rPr>
        <w:t>相适应</w:t>
      </w:r>
      <w:r>
        <w:rPr>
          <w:rFonts w:hint="eastAsia" w:eastAsia="仿宋_GB2312"/>
          <w:color w:val="auto"/>
          <w:sz w:val="32"/>
          <w:szCs w:val="32"/>
          <w:highlight w:val="none"/>
        </w:rPr>
        <w:t>。综上所述，本指标满分为</w:t>
      </w:r>
      <w:r>
        <w:rPr>
          <w:rFonts w:hint="eastAsia" w:eastAsia="仿宋_GB2312"/>
          <w:color w:val="auto"/>
          <w:sz w:val="32"/>
          <w:szCs w:val="32"/>
          <w:highlight w:val="none"/>
          <w:lang w:val="en-US" w:eastAsia="zh-CN"/>
        </w:rPr>
        <w:t>2</w:t>
      </w:r>
      <w:r>
        <w:rPr>
          <w:rFonts w:hint="eastAsia" w:eastAsia="仿宋_GB2312"/>
          <w:color w:val="auto"/>
          <w:sz w:val="32"/>
          <w:szCs w:val="32"/>
          <w:highlight w:val="none"/>
        </w:rPr>
        <w:t>分，根据评分标准得</w:t>
      </w:r>
      <w:r>
        <w:rPr>
          <w:rFonts w:hint="eastAsia" w:eastAsia="仿宋_GB2312"/>
          <w:color w:val="auto"/>
          <w:sz w:val="32"/>
          <w:szCs w:val="32"/>
          <w:highlight w:val="none"/>
          <w:lang w:val="en-US" w:eastAsia="zh-CN"/>
        </w:rPr>
        <w:t>2</w:t>
      </w:r>
      <w:r>
        <w:rPr>
          <w:rFonts w:hint="eastAsia" w:eastAsia="仿宋_GB2312"/>
          <w:color w:val="auto"/>
          <w:sz w:val="32"/>
          <w:szCs w:val="32"/>
          <w:highlight w:val="none"/>
        </w:rPr>
        <w:t>分，本项目资金分配合理。</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ascii="仿宋_GB2312" w:cs="仿宋_GB2312"/>
          <w:color w:val="auto"/>
          <w:sz w:val="28"/>
          <w:szCs w:val="28"/>
          <w:highlight w:val="none"/>
          <w:lang w:val="en-US" w:eastAsia="zh-CN"/>
        </w:rPr>
      </w:pPr>
      <w:r>
        <w:rPr>
          <w:rFonts w:hint="eastAsia"/>
          <w:color w:val="auto"/>
          <w:highlight w:val="none"/>
        </w:rPr>
        <w:t>本项目预算</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141.2</w:t>
      </w:r>
      <w:r>
        <w:rPr>
          <w:rFonts w:hint="eastAsia" w:ascii="仿宋_GB2312" w:cs="仿宋_GB2312"/>
          <w:color w:val="auto"/>
          <w:sz w:val="28"/>
          <w:szCs w:val="28"/>
          <w:highlight w:val="none"/>
        </w:rPr>
        <w:t>万元，其中：本级财政安排资金</w:t>
      </w:r>
      <w:r>
        <w:rPr>
          <w:rFonts w:hint="eastAsia" w:ascii="仿宋_GB2312" w:cs="仿宋_GB2312"/>
          <w:color w:val="auto"/>
          <w:sz w:val="28"/>
          <w:szCs w:val="28"/>
          <w:highlight w:val="none"/>
          <w:lang w:val="en-US" w:eastAsia="zh-CN"/>
        </w:rPr>
        <w:t>141.2</w:t>
      </w:r>
      <w:r>
        <w:rPr>
          <w:rFonts w:hint="eastAsia" w:ascii="仿宋_GB2312" w:cs="仿宋_GB2312"/>
          <w:color w:val="auto"/>
          <w:sz w:val="28"/>
          <w:szCs w:val="28"/>
          <w:highlight w:val="none"/>
        </w:rPr>
        <w:t>万元，其他资金</w:t>
      </w:r>
      <w:r>
        <w:rPr>
          <w:rFonts w:hint="eastAsia" w:ascii="仿宋_GB2312" w:cs="仿宋_GB2312"/>
          <w:color w:val="auto"/>
          <w:sz w:val="28"/>
          <w:szCs w:val="28"/>
          <w:highlight w:val="none"/>
          <w:lang w:val="en-US" w:eastAsia="zh-CN"/>
        </w:rPr>
        <w:t>0</w:t>
      </w:r>
      <w:r>
        <w:rPr>
          <w:rFonts w:hint="eastAsia" w:ascii="仿宋_GB2312" w:cs="仿宋_GB2312"/>
          <w:color w:val="auto"/>
          <w:sz w:val="28"/>
          <w:szCs w:val="28"/>
          <w:highlight w:val="none"/>
        </w:rPr>
        <w:t>万元，实</w:t>
      </w:r>
      <w:r>
        <w:rPr>
          <w:rFonts w:hint="eastAsia" w:ascii="仿宋_GB2312" w:cs="仿宋_GB2312"/>
          <w:color w:val="auto"/>
          <w:sz w:val="28"/>
          <w:szCs w:val="28"/>
          <w:highlight w:val="none"/>
          <w:lang w:val="en-US" w:eastAsia="zh-CN"/>
        </w:rPr>
        <w:t>际到位资金141.2万元，资金到位率=100%。得分=4分。</w:t>
      </w:r>
    </w:p>
    <w:p>
      <w:pPr>
        <w:bidi w:val="0"/>
        <w:rPr>
          <w:rFonts w:hint="eastAsia" w:ascii="仿宋_GB2312" w:cs="仿宋_GB2312"/>
          <w:color w:val="auto"/>
          <w:sz w:val="28"/>
          <w:szCs w:val="28"/>
          <w:highlight w:val="none"/>
          <w:lang w:val="en-US" w:eastAsia="zh-CN"/>
        </w:rPr>
      </w:pPr>
      <w:r>
        <w:rPr>
          <w:rFonts w:hint="eastAsia" w:ascii="仿宋_GB2312" w:cs="仿宋_GB2312"/>
          <w:color w:val="auto"/>
          <w:sz w:val="28"/>
          <w:szCs w:val="28"/>
          <w:highlight w:val="none"/>
          <w:lang w:val="en-US" w:eastAsia="zh-CN"/>
        </w:rPr>
        <w:t>综上所述，本指标满分为4分，根据评分标准得4分,本项目资金到位率为100%。</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到位资金为141.2万元，实际支出资金141.2万元，预算执行率=100%。综上所述，本指标满分为4分，根据评分标准得4分,本项目预算执行率为100%</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文旅局</w:t>
      </w:r>
      <w:r>
        <w:rPr>
          <w:rFonts w:hint="eastAsia"/>
          <w:color w:val="auto"/>
          <w:highlight w:val="none"/>
        </w:rPr>
        <w:t>单位资金管理办法》，资金的拨付有完整的审批程序和手续，资金实际使用方向与预算批复用途一致，不存在截留、挤占、挪用、虚列支出的情况。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6"/>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资金</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财务</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，项目启动实施后，为了加快本项目的实施，成立了项目工作领导小组，由党组书记</w:t>
      </w:r>
      <w:r>
        <w:rPr>
          <w:rFonts w:hint="eastAsia"/>
          <w:color w:val="auto"/>
          <w:highlight w:val="none"/>
          <w:lang w:val="en-US" w:eastAsia="zh-CN"/>
        </w:rPr>
        <w:t>马洁</w:t>
      </w:r>
      <w:r>
        <w:rPr>
          <w:rFonts w:hint="eastAsia"/>
          <w:color w:val="auto"/>
          <w:highlight w:val="none"/>
        </w:rPr>
        <w:t>任组长，负责项目的组织工作；</w:t>
      </w:r>
      <w:r>
        <w:rPr>
          <w:rFonts w:hint="eastAsia"/>
          <w:color w:val="auto"/>
          <w:highlight w:val="none"/>
          <w:lang w:val="en-US" w:eastAsia="zh-CN"/>
        </w:rPr>
        <w:t>迪力夏提</w:t>
      </w:r>
      <w:r>
        <w:rPr>
          <w:rFonts w:hint="eastAsia"/>
          <w:color w:val="auto"/>
          <w:highlight w:val="none"/>
        </w:rPr>
        <w:t>任副组长，负责项目的实施工作；组员包括：</w:t>
      </w:r>
      <w:r>
        <w:rPr>
          <w:rFonts w:hint="eastAsia"/>
          <w:color w:val="auto"/>
          <w:highlight w:val="none"/>
          <w:lang w:val="en-US" w:eastAsia="zh-CN"/>
        </w:rPr>
        <w:t>李峰</w:t>
      </w:r>
      <w:r>
        <w:rPr>
          <w:rFonts w:hint="eastAsia"/>
          <w:color w:val="auto"/>
          <w:highlight w:val="none"/>
        </w:rPr>
        <w:t>和</w:t>
      </w:r>
      <w:r>
        <w:rPr>
          <w:rFonts w:hint="eastAsia"/>
          <w:color w:val="auto"/>
          <w:highlight w:val="none"/>
          <w:lang w:val="en-US" w:eastAsia="zh-CN"/>
        </w:rPr>
        <w:t>邢若琳</w:t>
      </w:r>
      <w:r>
        <w:rPr>
          <w:rFonts w:hint="eastAsia"/>
          <w:color w:val="auto"/>
          <w:highlight w:val="none"/>
        </w:rPr>
        <w:t>，主要负责项目监督管理、验收以及资金核拨等工作。</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分,本项目制度执行有效</w:t>
      </w:r>
      <w:r>
        <w:rPr>
          <w:rFonts w:hint="eastAsia"/>
          <w:color w:val="auto"/>
          <w:highlight w:val="none"/>
          <w:lang w:val="en-US" w:eastAsia="zh-CN"/>
        </w:rPr>
        <w:t>。</w:t>
      </w:r>
    </w:p>
    <w:p>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1.数量指标完成情况分析</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rPr>
        <w:t>：巡查保护文物点数量，指标值：</w:t>
      </w:r>
      <w:r>
        <w:rPr>
          <w:rFonts w:hint="eastAsia" w:ascii="仿宋_GB2312" w:hAnsi="仿宋_GB2312" w:eastAsia="仿宋_GB2312" w:cs="仿宋_GB2312"/>
          <w:color w:val="auto"/>
          <w:sz w:val="32"/>
          <w:szCs w:val="32"/>
          <w:highlight w:val="none"/>
          <w:lang w:val="en-US" w:eastAsia="zh-CN"/>
        </w:rPr>
        <w:t>大于等于</w:t>
      </w:r>
      <w:r>
        <w:rPr>
          <w:rFonts w:ascii="仿宋_GB2312" w:hAnsi="仿宋_GB2312" w:eastAsia="仿宋_GB2312" w:cs="仿宋_GB2312"/>
          <w:color w:val="auto"/>
          <w:sz w:val="32"/>
          <w:szCs w:val="32"/>
          <w:highlight w:val="none"/>
        </w:rPr>
        <w:t>79</w:t>
      </w:r>
      <w:r>
        <w:rPr>
          <w:rFonts w:hint="eastAsia" w:ascii="仿宋_GB2312" w:hAnsi="仿宋_GB2312" w:eastAsia="仿宋_GB2312" w:cs="仿宋_GB2312"/>
          <w:color w:val="auto"/>
          <w:sz w:val="32"/>
          <w:szCs w:val="32"/>
          <w:highlight w:val="none"/>
        </w:rPr>
        <w:t>处，实际完成值：</w:t>
      </w:r>
      <w:r>
        <w:rPr>
          <w:rFonts w:ascii="仿宋_GB2312" w:hAnsi="仿宋_GB2312" w:eastAsia="仿宋_GB2312" w:cs="仿宋_GB2312"/>
          <w:color w:val="auto"/>
          <w:sz w:val="32"/>
          <w:szCs w:val="32"/>
          <w:highlight w:val="none"/>
        </w:rPr>
        <w:t>79</w:t>
      </w:r>
      <w:r>
        <w:rPr>
          <w:rFonts w:hint="eastAsia" w:ascii="仿宋_GB2312" w:hAnsi="仿宋_GB2312" w:eastAsia="仿宋_GB2312" w:cs="仿宋_GB2312"/>
          <w:color w:val="auto"/>
          <w:sz w:val="32"/>
          <w:szCs w:val="32"/>
          <w:highlight w:val="none"/>
        </w:rPr>
        <w:t>处，指标完成率</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rPr>
        <w:t>：文艺演出场次，指标值：</w:t>
      </w:r>
      <w:r>
        <w:rPr>
          <w:rFonts w:hint="eastAsia" w:ascii="仿宋_GB2312" w:hAnsi="仿宋_GB2312" w:eastAsia="仿宋_GB2312" w:cs="仿宋_GB2312"/>
          <w:color w:val="auto"/>
          <w:sz w:val="32"/>
          <w:szCs w:val="32"/>
          <w:highlight w:val="none"/>
          <w:lang w:val="en-US" w:eastAsia="zh-CN"/>
        </w:rPr>
        <w:t>大于等于</w:t>
      </w:r>
      <w:r>
        <w:rPr>
          <w:rFonts w:ascii="仿宋_GB2312" w:hAnsi="仿宋_GB2312" w:eastAsia="仿宋_GB2312" w:cs="仿宋_GB2312"/>
          <w:color w:val="auto"/>
          <w:sz w:val="32"/>
          <w:szCs w:val="32"/>
          <w:highlight w:val="none"/>
        </w:rPr>
        <w:t>120</w:t>
      </w:r>
      <w:r>
        <w:rPr>
          <w:rFonts w:hint="eastAsia" w:ascii="仿宋_GB2312" w:hAnsi="仿宋_GB2312" w:eastAsia="仿宋_GB2312" w:cs="仿宋_GB2312"/>
          <w:color w:val="auto"/>
          <w:sz w:val="32"/>
          <w:szCs w:val="32"/>
          <w:highlight w:val="none"/>
        </w:rPr>
        <w:t>场次，实际完成值：</w:t>
      </w:r>
      <w:r>
        <w:rPr>
          <w:rFonts w:ascii="仿宋_GB2312" w:hAnsi="仿宋_GB2312" w:eastAsia="仿宋_GB2312" w:cs="仿宋_GB2312"/>
          <w:color w:val="auto"/>
          <w:sz w:val="32"/>
          <w:szCs w:val="32"/>
          <w:highlight w:val="none"/>
        </w:rPr>
        <w:t>120</w:t>
      </w:r>
      <w:r>
        <w:rPr>
          <w:rFonts w:hint="eastAsia" w:ascii="仿宋_GB2312" w:hAnsi="仿宋_GB2312" w:eastAsia="仿宋_GB2312" w:cs="仿宋_GB2312"/>
          <w:color w:val="auto"/>
          <w:sz w:val="32"/>
          <w:szCs w:val="32"/>
          <w:highlight w:val="none"/>
        </w:rPr>
        <w:t>场次，指标完成率</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3</w:t>
      </w:r>
      <w:r>
        <w:rPr>
          <w:rFonts w:hint="eastAsia" w:ascii="仿宋_GB2312" w:hAnsi="仿宋_GB2312" w:eastAsia="仿宋_GB2312" w:cs="仿宋_GB2312"/>
          <w:color w:val="auto"/>
          <w:sz w:val="32"/>
          <w:szCs w:val="32"/>
          <w:highlight w:val="none"/>
        </w:rPr>
        <w:t>：艺术类专业培训场次，指标值：</w:t>
      </w:r>
      <w:r>
        <w:rPr>
          <w:rFonts w:hint="eastAsia" w:ascii="仿宋_GB2312" w:hAnsi="仿宋_GB2312" w:eastAsia="仿宋_GB2312" w:cs="仿宋_GB2312"/>
          <w:color w:val="auto"/>
          <w:sz w:val="32"/>
          <w:szCs w:val="32"/>
          <w:highlight w:val="none"/>
          <w:lang w:eastAsia="zh-CN"/>
        </w:rPr>
        <w:t>大于等于</w:t>
      </w:r>
      <w:r>
        <w:rPr>
          <w:rFonts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rPr>
        <w:t>次，实际完成值：</w:t>
      </w:r>
      <w:r>
        <w:rPr>
          <w:rFonts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rPr>
        <w:t>次，指标完成率</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4</w:t>
      </w:r>
      <w:r>
        <w:rPr>
          <w:rFonts w:hint="eastAsia" w:ascii="仿宋_GB2312" w:hAnsi="仿宋_GB2312" w:eastAsia="仿宋_GB2312" w:cs="仿宋_GB2312"/>
          <w:color w:val="auto"/>
          <w:sz w:val="32"/>
          <w:szCs w:val="32"/>
          <w:highlight w:val="none"/>
        </w:rPr>
        <w:t>：基建设备维修维护次数，指标值：</w:t>
      </w:r>
      <w:r>
        <w:rPr>
          <w:rFonts w:hint="eastAsia" w:ascii="仿宋_GB2312" w:hAnsi="仿宋_GB2312" w:eastAsia="仿宋_GB2312" w:cs="仿宋_GB2312"/>
          <w:color w:val="auto"/>
          <w:sz w:val="32"/>
          <w:szCs w:val="32"/>
          <w:highlight w:val="none"/>
          <w:lang w:eastAsia="zh-CN"/>
        </w:rPr>
        <w:t>大于等于</w:t>
      </w:r>
      <w:r>
        <w:rPr>
          <w:rFonts w:ascii="仿宋_GB2312" w:hAnsi="仿宋_GB2312" w:eastAsia="仿宋_GB2312" w:cs="仿宋_GB2312"/>
          <w:color w:val="auto"/>
          <w:sz w:val="32"/>
          <w:szCs w:val="32"/>
          <w:highlight w:val="none"/>
        </w:rPr>
        <w:t>8</w:t>
      </w:r>
      <w:r>
        <w:rPr>
          <w:rFonts w:hint="eastAsia" w:ascii="仿宋_GB2312" w:hAnsi="仿宋_GB2312" w:eastAsia="仿宋_GB2312" w:cs="仿宋_GB2312"/>
          <w:color w:val="auto"/>
          <w:sz w:val="32"/>
          <w:szCs w:val="32"/>
          <w:highlight w:val="none"/>
        </w:rPr>
        <w:t>次，实际完成值：</w:t>
      </w:r>
      <w:r>
        <w:rPr>
          <w:rFonts w:ascii="仿宋_GB2312" w:hAnsi="仿宋_GB2312" w:eastAsia="仿宋_GB2312" w:cs="仿宋_GB2312"/>
          <w:color w:val="auto"/>
          <w:sz w:val="32"/>
          <w:szCs w:val="32"/>
          <w:highlight w:val="none"/>
        </w:rPr>
        <w:t>10</w:t>
      </w:r>
      <w:r>
        <w:rPr>
          <w:rFonts w:hint="eastAsia" w:ascii="仿宋_GB2312" w:hAnsi="仿宋_GB2312" w:eastAsia="仿宋_GB2312" w:cs="仿宋_GB2312"/>
          <w:color w:val="auto"/>
          <w:sz w:val="32"/>
          <w:szCs w:val="32"/>
          <w:highlight w:val="none"/>
        </w:rPr>
        <w:t>次，指标完成率</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5</w:t>
      </w:r>
      <w:r>
        <w:rPr>
          <w:rFonts w:hint="eastAsia" w:ascii="仿宋_GB2312" w:hAnsi="仿宋_GB2312" w:eastAsia="仿宋_GB2312" w:cs="仿宋_GB2312"/>
          <w:color w:val="auto"/>
          <w:sz w:val="32"/>
          <w:szCs w:val="32"/>
          <w:highlight w:val="none"/>
        </w:rPr>
        <w:t>：开展体育活动次数，指标值：</w:t>
      </w:r>
      <w:r>
        <w:rPr>
          <w:rFonts w:hint="eastAsia" w:ascii="仿宋_GB2312" w:hAnsi="仿宋_GB2312" w:eastAsia="仿宋_GB2312" w:cs="仿宋_GB2312"/>
          <w:color w:val="auto"/>
          <w:sz w:val="32"/>
          <w:szCs w:val="32"/>
          <w:highlight w:val="none"/>
          <w:lang w:eastAsia="zh-CN"/>
        </w:rPr>
        <w:t>大于等于</w:t>
      </w:r>
      <w:r>
        <w:rPr>
          <w:rFonts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rPr>
        <w:t>次，实际完成值：</w:t>
      </w:r>
      <w:r>
        <w:rPr>
          <w:rFonts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rPr>
        <w:t>次，指标完成率</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6</w:t>
      </w:r>
      <w:r>
        <w:rPr>
          <w:rFonts w:hint="eastAsia" w:ascii="仿宋_GB2312" w:hAnsi="仿宋_GB2312" w:eastAsia="仿宋_GB2312" w:cs="仿宋_GB2312"/>
          <w:color w:val="auto"/>
          <w:sz w:val="32"/>
          <w:szCs w:val="32"/>
          <w:highlight w:val="none"/>
        </w:rPr>
        <w:t>：完成农影放映场次，指标值：</w:t>
      </w:r>
      <w:r>
        <w:rPr>
          <w:rFonts w:hint="eastAsia" w:ascii="仿宋_GB2312" w:hAnsi="仿宋_GB2312" w:eastAsia="仿宋_GB2312" w:cs="仿宋_GB2312"/>
          <w:color w:val="auto"/>
          <w:sz w:val="32"/>
          <w:szCs w:val="32"/>
          <w:highlight w:val="none"/>
          <w:lang w:eastAsia="zh-CN"/>
        </w:rPr>
        <w:t>大于等于</w:t>
      </w:r>
      <w:r>
        <w:rPr>
          <w:rFonts w:ascii="仿宋_GB2312" w:hAnsi="仿宋_GB2312" w:eastAsia="仿宋_GB2312" w:cs="仿宋_GB2312"/>
          <w:color w:val="auto"/>
          <w:sz w:val="32"/>
          <w:szCs w:val="32"/>
          <w:highlight w:val="none"/>
        </w:rPr>
        <w:t>528</w:t>
      </w:r>
      <w:r>
        <w:rPr>
          <w:rFonts w:hint="eastAsia" w:ascii="仿宋_GB2312" w:hAnsi="仿宋_GB2312" w:eastAsia="仿宋_GB2312" w:cs="仿宋_GB2312"/>
          <w:color w:val="auto"/>
          <w:sz w:val="32"/>
          <w:szCs w:val="32"/>
          <w:highlight w:val="none"/>
        </w:rPr>
        <w:t>场次，实际完成值：</w:t>
      </w:r>
      <w:r>
        <w:rPr>
          <w:rFonts w:ascii="仿宋_GB2312" w:hAnsi="仿宋_GB2312" w:eastAsia="仿宋_GB2312" w:cs="仿宋_GB2312"/>
          <w:color w:val="auto"/>
          <w:sz w:val="32"/>
          <w:szCs w:val="32"/>
          <w:highlight w:val="none"/>
        </w:rPr>
        <w:t>528</w:t>
      </w:r>
      <w:r>
        <w:rPr>
          <w:rFonts w:hint="eastAsia" w:ascii="仿宋_GB2312" w:hAnsi="仿宋_GB2312" w:eastAsia="仿宋_GB2312" w:cs="仿宋_GB2312"/>
          <w:color w:val="auto"/>
          <w:sz w:val="32"/>
          <w:szCs w:val="32"/>
          <w:highlight w:val="none"/>
        </w:rPr>
        <w:t>场次，指标完成率</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7</w:t>
      </w:r>
      <w:r>
        <w:rPr>
          <w:rFonts w:hint="eastAsia" w:ascii="仿宋_GB2312" w:hAnsi="仿宋_GB2312" w:eastAsia="仿宋_GB2312" w:cs="仿宋_GB2312"/>
          <w:color w:val="auto"/>
          <w:sz w:val="32"/>
          <w:szCs w:val="32"/>
          <w:highlight w:val="none"/>
        </w:rPr>
        <w:t>：农影放映乡村数量，指标值：</w:t>
      </w:r>
      <w:r>
        <w:rPr>
          <w:rFonts w:ascii="仿宋_GB2312" w:hAnsi="仿宋_GB2312" w:eastAsia="仿宋_GB2312" w:cs="仿宋_GB2312"/>
          <w:color w:val="auto"/>
          <w:sz w:val="32"/>
          <w:szCs w:val="32"/>
          <w:highlight w:val="none"/>
        </w:rPr>
        <w:t>44</w:t>
      </w:r>
      <w:r>
        <w:rPr>
          <w:rFonts w:hint="eastAsia" w:ascii="仿宋_GB2312" w:hAnsi="仿宋_GB2312" w:eastAsia="仿宋_GB2312" w:cs="仿宋_GB2312"/>
          <w:color w:val="auto"/>
          <w:sz w:val="32"/>
          <w:szCs w:val="32"/>
          <w:highlight w:val="none"/>
        </w:rPr>
        <w:t>个，实际完成值：</w:t>
      </w:r>
      <w:r>
        <w:rPr>
          <w:rFonts w:ascii="仿宋_GB2312" w:hAnsi="仿宋_GB2312" w:eastAsia="仿宋_GB2312" w:cs="仿宋_GB2312"/>
          <w:color w:val="auto"/>
          <w:sz w:val="32"/>
          <w:szCs w:val="32"/>
          <w:highlight w:val="none"/>
        </w:rPr>
        <w:t>44</w:t>
      </w:r>
      <w:r>
        <w:rPr>
          <w:rFonts w:hint="eastAsia" w:ascii="仿宋_GB2312" w:hAnsi="仿宋_GB2312" w:eastAsia="仿宋_GB2312" w:cs="仿宋_GB2312"/>
          <w:color w:val="auto"/>
          <w:sz w:val="32"/>
          <w:szCs w:val="32"/>
          <w:highlight w:val="none"/>
        </w:rPr>
        <w:t>个，指标完成率</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w:t>
      </w:r>
    </w:p>
    <w:p>
      <w:pPr>
        <w:pStyle w:val="6"/>
        <w:bidi w:val="0"/>
        <w:rPr>
          <w:rFonts w:hint="eastAsia"/>
          <w:color w:val="auto"/>
          <w:highlight w:val="none"/>
          <w:lang w:val="en-US" w:eastAsia="zh-CN"/>
        </w:rPr>
      </w:pPr>
      <w:r>
        <w:rPr>
          <w:rFonts w:hint="eastAsia"/>
          <w:color w:val="auto"/>
          <w:highlight w:val="none"/>
          <w:lang w:val="en-US" w:eastAsia="zh-CN"/>
        </w:rPr>
        <w:t>2.质量指标完成情况分析</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rPr>
        <w:t>：资金规范管理使用率，指标值：</w:t>
      </w:r>
      <w:r>
        <w:rPr>
          <w:rFonts w:hint="eastAsia" w:ascii="仿宋_GB2312" w:hAnsi="仿宋_GB2312" w:eastAsia="仿宋_GB2312" w:cs="仿宋_GB2312"/>
          <w:color w:val="auto"/>
          <w:sz w:val="32"/>
          <w:szCs w:val="32"/>
          <w:highlight w:val="none"/>
          <w:lang w:eastAsia="zh-CN"/>
        </w:rPr>
        <w:t>等于</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，实际完成值：</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，指标完成率</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rPr>
        <w:t>：农影放映任务完成率，指标值：</w:t>
      </w:r>
      <w:r>
        <w:rPr>
          <w:rFonts w:hint="eastAsia" w:ascii="仿宋_GB2312" w:hAnsi="仿宋_GB2312" w:eastAsia="仿宋_GB2312" w:cs="仿宋_GB2312"/>
          <w:color w:val="auto"/>
          <w:sz w:val="32"/>
          <w:szCs w:val="32"/>
          <w:highlight w:val="none"/>
          <w:lang w:eastAsia="zh-CN"/>
        </w:rPr>
        <w:t>等于</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，实际完成值：</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，指标完成率</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w:t>
      </w:r>
    </w:p>
    <w:p>
      <w:pPr>
        <w:pStyle w:val="10"/>
        <w:spacing w:line="560" w:lineRule="exact"/>
        <w:ind w:firstLine="640" w:firstLineChars="200"/>
        <w:jc w:val="both"/>
        <w:rPr>
          <w:rFonts w:ascii="仿宋_GB2312" w:hAnsi="仿宋_GB2312" w:eastAsia="仿宋_GB2312" w:cs="仿宋_GB2312"/>
          <w:b w:val="0"/>
          <w:bCs w:val="0"/>
          <w:color w:val="auto"/>
          <w:kern w:val="2"/>
          <w:highlight w:val="none"/>
        </w:rPr>
      </w:pPr>
      <w:r>
        <w:rPr>
          <w:rFonts w:hint="eastAsia" w:ascii="仿宋_GB2312" w:hAnsi="仿宋_GB2312" w:eastAsia="仿宋_GB2312" w:cs="仿宋_GB2312"/>
          <w:b w:val="0"/>
          <w:bCs w:val="0"/>
          <w:color w:val="auto"/>
          <w:kern w:val="2"/>
          <w:highlight w:val="none"/>
        </w:rPr>
        <w:t>指标</w:t>
      </w:r>
      <w:r>
        <w:rPr>
          <w:rFonts w:ascii="仿宋_GB2312" w:hAnsi="仿宋_GB2312" w:eastAsia="仿宋_GB2312" w:cs="仿宋_GB2312"/>
          <w:b w:val="0"/>
          <w:bCs w:val="0"/>
          <w:color w:val="auto"/>
          <w:kern w:val="2"/>
          <w:highlight w:val="none"/>
        </w:rPr>
        <w:t>3</w:t>
      </w:r>
      <w:r>
        <w:rPr>
          <w:rFonts w:hint="eastAsia" w:ascii="仿宋_GB2312" w:hAnsi="仿宋_GB2312" w:eastAsia="仿宋_GB2312" w:cs="仿宋_GB2312"/>
          <w:b w:val="0"/>
          <w:bCs w:val="0"/>
          <w:color w:val="auto"/>
          <w:kern w:val="2"/>
          <w:highlight w:val="none"/>
        </w:rPr>
        <w:t>：农影放映覆盖率，指标值：</w:t>
      </w:r>
      <w:r>
        <w:rPr>
          <w:rFonts w:hint="eastAsia" w:ascii="仿宋_GB2312" w:hAnsi="仿宋_GB2312" w:eastAsia="仿宋_GB2312" w:cs="仿宋_GB2312"/>
          <w:b w:val="0"/>
          <w:bCs w:val="0"/>
          <w:color w:val="auto"/>
          <w:kern w:val="2"/>
          <w:highlight w:val="none"/>
          <w:lang w:eastAsia="zh-CN"/>
        </w:rPr>
        <w:t>等于</w:t>
      </w:r>
      <w:r>
        <w:rPr>
          <w:rFonts w:ascii="仿宋_GB2312" w:hAnsi="仿宋_GB2312" w:eastAsia="仿宋_GB2312" w:cs="仿宋_GB2312"/>
          <w:b w:val="0"/>
          <w:bCs w:val="0"/>
          <w:color w:val="auto"/>
          <w:kern w:val="2"/>
          <w:highlight w:val="none"/>
        </w:rPr>
        <w:t>100%</w:t>
      </w:r>
      <w:r>
        <w:rPr>
          <w:rFonts w:hint="eastAsia" w:ascii="仿宋_GB2312" w:hAnsi="仿宋_GB2312" w:eastAsia="仿宋_GB2312" w:cs="仿宋_GB2312"/>
          <w:b w:val="0"/>
          <w:bCs w:val="0"/>
          <w:color w:val="auto"/>
          <w:kern w:val="2"/>
          <w:highlight w:val="none"/>
        </w:rPr>
        <w:t>，实际完成值：</w:t>
      </w:r>
      <w:r>
        <w:rPr>
          <w:rFonts w:ascii="仿宋_GB2312" w:hAnsi="仿宋_GB2312" w:eastAsia="仿宋_GB2312" w:cs="仿宋_GB2312"/>
          <w:b w:val="0"/>
          <w:bCs w:val="0"/>
          <w:color w:val="auto"/>
          <w:kern w:val="2"/>
          <w:highlight w:val="none"/>
        </w:rPr>
        <w:t>100%</w:t>
      </w:r>
      <w:r>
        <w:rPr>
          <w:rFonts w:hint="eastAsia" w:ascii="仿宋_GB2312" w:hAnsi="仿宋_GB2312" w:eastAsia="仿宋_GB2312" w:cs="仿宋_GB2312"/>
          <w:b w:val="0"/>
          <w:bCs w:val="0"/>
          <w:color w:val="auto"/>
          <w:kern w:val="2"/>
          <w:highlight w:val="none"/>
        </w:rPr>
        <w:t>，指标完成率</w:t>
      </w:r>
      <w:r>
        <w:rPr>
          <w:rFonts w:ascii="仿宋_GB2312" w:hAnsi="仿宋_GB2312" w:eastAsia="仿宋_GB2312" w:cs="仿宋_GB2312"/>
          <w:b w:val="0"/>
          <w:bCs w:val="0"/>
          <w:color w:val="auto"/>
          <w:kern w:val="2"/>
          <w:highlight w:val="none"/>
        </w:rPr>
        <w:t>100%</w:t>
      </w:r>
      <w:r>
        <w:rPr>
          <w:rFonts w:hint="eastAsia" w:ascii="仿宋_GB2312" w:hAnsi="仿宋_GB2312" w:eastAsia="仿宋_GB2312" w:cs="仿宋_GB2312"/>
          <w:b w:val="0"/>
          <w:bCs w:val="0"/>
          <w:color w:val="auto"/>
          <w:kern w:val="2"/>
          <w:highlight w:val="none"/>
        </w:rPr>
        <w:t>。</w:t>
      </w:r>
    </w:p>
    <w:p>
      <w:pPr>
        <w:pStyle w:val="6"/>
        <w:bidi w:val="0"/>
        <w:rPr>
          <w:rFonts w:hint="eastAsia"/>
          <w:color w:val="auto"/>
          <w:highlight w:val="none"/>
        </w:rPr>
      </w:pPr>
      <w:r>
        <w:rPr>
          <w:rFonts w:hint="eastAsia"/>
          <w:color w:val="auto"/>
          <w:highlight w:val="none"/>
          <w:lang w:val="en-US" w:eastAsia="zh-CN"/>
        </w:rPr>
        <w:t>3.时效指标完成情况分析</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rPr>
        <w:t>：资金拨付及时率，指标值：</w:t>
      </w:r>
      <w:r>
        <w:rPr>
          <w:rFonts w:hint="eastAsia" w:ascii="仿宋_GB2312" w:hAnsi="仿宋_GB2312" w:eastAsia="仿宋_GB2312" w:cs="仿宋_GB2312"/>
          <w:color w:val="auto"/>
          <w:sz w:val="32"/>
          <w:szCs w:val="32"/>
          <w:highlight w:val="none"/>
          <w:lang w:eastAsia="zh-CN"/>
        </w:rPr>
        <w:t>等于</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，实际完成值：</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，指标完成率</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w:t>
      </w:r>
    </w:p>
    <w:p>
      <w:pPr>
        <w:pStyle w:val="10"/>
        <w:spacing w:line="560" w:lineRule="exact"/>
        <w:ind w:firstLine="640" w:firstLineChars="200"/>
        <w:jc w:val="left"/>
        <w:rPr>
          <w:rFonts w:ascii="仿宋_GB2312" w:hAnsi="仿宋_GB2312" w:eastAsia="仿宋_GB2312" w:cs="仿宋_GB2312"/>
          <w:b w:val="0"/>
          <w:bCs w:val="0"/>
          <w:color w:val="auto"/>
          <w:kern w:val="2"/>
          <w:highlight w:val="none"/>
        </w:rPr>
      </w:pPr>
      <w:r>
        <w:rPr>
          <w:rFonts w:hint="eastAsia" w:ascii="仿宋_GB2312" w:hAnsi="仿宋_GB2312" w:eastAsia="仿宋_GB2312" w:cs="仿宋_GB2312"/>
          <w:b w:val="0"/>
          <w:bCs w:val="0"/>
          <w:color w:val="auto"/>
          <w:kern w:val="2"/>
          <w:highlight w:val="none"/>
        </w:rPr>
        <w:t>指标</w:t>
      </w:r>
      <w:r>
        <w:rPr>
          <w:rFonts w:ascii="仿宋_GB2312" w:hAnsi="仿宋_GB2312" w:eastAsia="仿宋_GB2312" w:cs="仿宋_GB2312"/>
          <w:b w:val="0"/>
          <w:bCs w:val="0"/>
          <w:color w:val="auto"/>
          <w:kern w:val="2"/>
          <w:highlight w:val="none"/>
        </w:rPr>
        <w:t>2</w:t>
      </w:r>
      <w:r>
        <w:rPr>
          <w:rFonts w:hint="eastAsia" w:ascii="仿宋_GB2312" w:hAnsi="仿宋_GB2312" w:eastAsia="仿宋_GB2312" w:cs="仿宋_GB2312"/>
          <w:b w:val="0"/>
          <w:bCs w:val="0"/>
          <w:color w:val="auto"/>
          <w:kern w:val="2"/>
          <w:highlight w:val="none"/>
        </w:rPr>
        <w:t>：文艺演出及时完成率，指标值：</w:t>
      </w:r>
      <w:r>
        <w:rPr>
          <w:rFonts w:hint="eastAsia" w:ascii="仿宋_GB2312" w:hAnsi="仿宋_GB2312" w:eastAsia="仿宋_GB2312" w:cs="仿宋_GB2312"/>
          <w:b w:val="0"/>
          <w:bCs w:val="0"/>
          <w:color w:val="auto"/>
          <w:kern w:val="2"/>
          <w:highlight w:val="none"/>
          <w:lang w:eastAsia="zh-CN"/>
        </w:rPr>
        <w:t>等于</w:t>
      </w:r>
      <w:r>
        <w:rPr>
          <w:rFonts w:ascii="仿宋_GB2312" w:hAnsi="仿宋_GB2312" w:eastAsia="仿宋_GB2312" w:cs="仿宋_GB2312"/>
          <w:b w:val="0"/>
          <w:bCs w:val="0"/>
          <w:color w:val="auto"/>
          <w:kern w:val="2"/>
          <w:highlight w:val="none"/>
        </w:rPr>
        <w:t>100%</w:t>
      </w:r>
      <w:r>
        <w:rPr>
          <w:rFonts w:hint="eastAsia" w:ascii="仿宋_GB2312" w:hAnsi="仿宋_GB2312" w:eastAsia="仿宋_GB2312" w:cs="仿宋_GB2312"/>
          <w:b w:val="0"/>
          <w:bCs w:val="0"/>
          <w:color w:val="auto"/>
          <w:kern w:val="2"/>
          <w:highlight w:val="none"/>
        </w:rPr>
        <w:t>，实际完成值：</w:t>
      </w:r>
      <w:r>
        <w:rPr>
          <w:rFonts w:ascii="仿宋_GB2312" w:hAnsi="仿宋_GB2312" w:eastAsia="仿宋_GB2312" w:cs="仿宋_GB2312"/>
          <w:b w:val="0"/>
          <w:bCs w:val="0"/>
          <w:color w:val="auto"/>
          <w:kern w:val="2"/>
          <w:highlight w:val="none"/>
        </w:rPr>
        <w:t>100%</w:t>
      </w:r>
      <w:r>
        <w:rPr>
          <w:rFonts w:hint="eastAsia" w:ascii="仿宋_GB2312" w:hAnsi="仿宋_GB2312" w:eastAsia="仿宋_GB2312" w:cs="仿宋_GB2312"/>
          <w:b w:val="0"/>
          <w:bCs w:val="0"/>
          <w:color w:val="auto"/>
          <w:kern w:val="2"/>
          <w:highlight w:val="none"/>
        </w:rPr>
        <w:t>，指标完成率</w:t>
      </w:r>
      <w:r>
        <w:rPr>
          <w:rFonts w:ascii="仿宋_GB2312" w:hAnsi="仿宋_GB2312" w:eastAsia="仿宋_GB2312" w:cs="仿宋_GB2312"/>
          <w:b w:val="0"/>
          <w:bCs w:val="0"/>
          <w:color w:val="auto"/>
          <w:kern w:val="2"/>
          <w:highlight w:val="none"/>
        </w:rPr>
        <w:t>100%</w:t>
      </w:r>
      <w:r>
        <w:rPr>
          <w:rFonts w:hint="eastAsia" w:ascii="仿宋_GB2312" w:hAnsi="仿宋_GB2312" w:eastAsia="仿宋_GB2312" w:cs="仿宋_GB2312"/>
          <w:b w:val="0"/>
          <w:bCs w:val="0"/>
          <w:color w:val="auto"/>
          <w:kern w:val="2"/>
          <w:highlight w:val="none"/>
        </w:rPr>
        <w:t>。</w:t>
      </w:r>
    </w:p>
    <w:p>
      <w:pPr>
        <w:pStyle w:val="10"/>
        <w:spacing w:line="560" w:lineRule="exact"/>
        <w:ind w:firstLine="640" w:firstLineChars="200"/>
        <w:jc w:val="left"/>
        <w:rPr>
          <w:rFonts w:ascii="仿宋_GB2312" w:hAnsi="仿宋_GB2312" w:eastAsia="仿宋_GB2312" w:cs="仿宋_GB2312"/>
          <w:b w:val="0"/>
          <w:bCs w:val="0"/>
          <w:color w:val="auto"/>
          <w:kern w:val="2"/>
          <w:highlight w:val="none"/>
        </w:rPr>
      </w:pPr>
      <w:r>
        <w:rPr>
          <w:rFonts w:hint="eastAsia" w:ascii="仿宋_GB2312" w:hAnsi="仿宋_GB2312" w:eastAsia="仿宋_GB2312" w:cs="仿宋_GB2312"/>
          <w:b w:val="0"/>
          <w:bCs w:val="0"/>
          <w:color w:val="auto"/>
          <w:kern w:val="2"/>
          <w:highlight w:val="none"/>
        </w:rPr>
        <w:t>指标</w:t>
      </w:r>
      <w:r>
        <w:rPr>
          <w:rFonts w:ascii="仿宋_GB2312" w:hAnsi="仿宋_GB2312" w:eastAsia="仿宋_GB2312" w:cs="仿宋_GB2312"/>
          <w:b w:val="0"/>
          <w:bCs w:val="0"/>
          <w:color w:val="auto"/>
          <w:kern w:val="2"/>
          <w:highlight w:val="none"/>
        </w:rPr>
        <w:t>3</w:t>
      </w:r>
      <w:r>
        <w:rPr>
          <w:rFonts w:hint="eastAsia" w:ascii="仿宋_GB2312" w:hAnsi="仿宋_GB2312" w:eastAsia="仿宋_GB2312" w:cs="仿宋_GB2312"/>
          <w:b w:val="0"/>
          <w:bCs w:val="0"/>
          <w:color w:val="auto"/>
          <w:kern w:val="2"/>
          <w:highlight w:val="none"/>
        </w:rPr>
        <w:t>：农影放映完成时间，指标值：</w:t>
      </w:r>
      <w:r>
        <w:rPr>
          <w:rFonts w:hint="eastAsia" w:ascii="仿宋_GB2312" w:hAnsi="仿宋_GB2312" w:eastAsia="仿宋_GB2312" w:cs="仿宋_GB2312"/>
          <w:b w:val="0"/>
          <w:bCs w:val="0"/>
          <w:color w:val="auto"/>
          <w:kern w:val="2"/>
          <w:highlight w:val="none"/>
          <w:lang w:eastAsia="zh-CN"/>
        </w:rPr>
        <w:t>小于等于</w:t>
      </w:r>
      <w:r>
        <w:rPr>
          <w:rFonts w:ascii="仿宋_GB2312" w:hAnsi="仿宋_GB2312" w:eastAsia="仿宋_GB2312" w:cs="仿宋_GB2312"/>
          <w:b w:val="0"/>
          <w:bCs w:val="0"/>
          <w:color w:val="auto"/>
          <w:kern w:val="2"/>
          <w:highlight w:val="none"/>
        </w:rPr>
        <w:t>1</w:t>
      </w:r>
      <w:r>
        <w:rPr>
          <w:rFonts w:hint="eastAsia" w:ascii="仿宋_GB2312" w:hAnsi="仿宋_GB2312" w:eastAsia="仿宋_GB2312" w:cs="仿宋_GB2312"/>
          <w:b w:val="0"/>
          <w:bCs w:val="0"/>
          <w:color w:val="auto"/>
          <w:kern w:val="2"/>
          <w:highlight w:val="none"/>
        </w:rPr>
        <w:t>年，实际完成值：</w:t>
      </w:r>
      <w:r>
        <w:rPr>
          <w:rFonts w:ascii="仿宋_GB2312" w:hAnsi="仿宋_GB2312" w:eastAsia="仿宋_GB2312" w:cs="仿宋_GB2312"/>
          <w:b w:val="0"/>
          <w:bCs w:val="0"/>
          <w:color w:val="auto"/>
          <w:kern w:val="2"/>
          <w:highlight w:val="none"/>
        </w:rPr>
        <w:t>1</w:t>
      </w:r>
      <w:r>
        <w:rPr>
          <w:rFonts w:hint="eastAsia" w:ascii="仿宋_GB2312" w:hAnsi="仿宋_GB2312" w:eastAsia="仿宋_GB2312" w:cs="仿宋_GB2312"/>
          <w:b w:val="0"/>
          <w:bCs w:val="0"/>
          <w:color w:val="auto"/>
          <w:kern w:val="2"/>
          <w:highlight w:val="none"/>
        </w:rPr>
        <w:t>年，指标完成率</w:t>
      </w:r>
      <w:r>
        <w:rPr>
          <w:rFonts w:ascii="仿宋_GB2312" w:hAnsi="仿宋_GB2312" w:eastAsia="仿宋_GB2312" w:cs="仿宋_GB2312"/>
          <w:b w:val="0"/>
          <w:bCs w:val="0"/>
          <w:color w:val="auto"/>
          <w:kern w:val="2"/>
          <w:highlight w:val="none"/>
        </w:rPr>
        <w:t>100%</w:t>
      </w:r>
      <w:r>
        <w:rPr>
          <w:rFonts w:hint="eastAsia" w:ascii="仿宋_GB2312" w:hAnsi="仿宋_GB2312" w:eastAsia="仿宋_GB2312" w:cs="仿宋_GB2312"/>
          <w:b w:val="0"/>
          <w:bCs w:val="0"/>
          <w:color w:val="auto"/>
          <w:kern w:val="2"/>
          <w:highlight w:val="none"/>
        </w:rPr>
        <w:t>。</w:t>
      </w:r>
    </w:p>
    <w:p>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cs="仿宋_GB2312"/>
          <w:color w:val="auto"/>
          <w:sz w:val="32"/>
          <w:highlight w:val="none"/>
          <w:lang w:val="en-US" w:eastAsia="zh-CN"/>
        </w:rPr>
        <w:t>成本</w:t>
      </w:r>
      <w:r>
        <w:rPr>
          <w:rFonts w:hint="eastAsia" w:ascii="仿宋_GB2312" w:hAnsi="仿宋_GB2312" w:cs="仿宋_GB2312"/>
          <w:color w:val="auto"/>
          <w:sz w:val="32"/>
          <w:highlight w:val="none"/>
        </w:rPr>
        <w:t>情况</w:t>
      </w:r>
    </w:p>
    <w:p>
      <w:pPr>
        <w:bidi w:val="0"/>
        <w:rPr>
          <w:rFonts w:hint="eastAsia" w:ascii="仿宋_GB2312" w:cs="仿宋_GB2312"/>
          <w:color w:val="auto"/>
          <w:sz w:val="28"/>
          <w:szCs w:val="28"/>
          <w:highlight w:val="none"/>
          <w:lang w:val="en-US" w:eastAsia="zh-CN"/>
        </w:rPr>
      </w:pPr>
      <w:r>
        <w:rPr>
          <w:rFonts w:hint="eastAsia" w:ascii="仿宋_GB2312" w:cs="仿宋_GB2312"/>
          <w:color w:val="auto"/>
          <w:sz w:val="28"/>
          <w:szCs w:val="28"/>
          <w:highlight w:val="none"/>
        </w:rPr>
        <w:t>项目产出类指标包括</w:t>
      </w:r>
      <w:r>
        <w:rPr>
          <w:rFonts w:hint="eastAsia" w:ascii="仿宋_GB2312" w:cs="仿宋_GB2312"/>
          <w:color w:val="auto"/>
          <w:sz w:val="28"/>
          <w:szCs w:val="28"/>
          <w:highlight w:val="none"/>
          <w:lang w:val="en-US" w:eastAsia="zh-CN"/>
        </w:rPr>
        <w:t>经济成本、社会成本、生态环境成本三</w:t>
      </w:r>
      <w:r>
        <w:rPr>
          <w:rFonts w:hint="eastAsia" w:ascii="仿宋_GB2312" w:cs="仿宋_GB2312"/>
          <w:color w:val="auto"/>
          <w:sz w:val="28"/>
          <w:szCs w:val="28"/>
          <w:highlight w:val="none"/>
        </w:rPr>
        <w:t>方面的内容，</w:t>
      </w:r>
      <w:r>
        <w:rPr>
          <w:rFonts w:hint="eastAsia" w:ascii="仿宋_GB2312" w:cs="仿宋_GB2312"/>
          <w:color w:val="auto"/>
          <w:sz w:val="28"/>
          <w:szCs w:val="28"/>
          <w:highlight w:val="none"/>
          <w:lang w:val="en-US" w:eastAsia="zh-CN"/>
        </w:rPr>
        <w:t>本项目仅涉及经济成本指标，权重分为12分，实际得分8.4分。</w:t>
      </w:r>
    </w:p>
    <w:p>
      <w:pPr>
        <w:pStyle w:val="6"/>
        <w:numPr>
          <w:ilvl w:val="0"/>
          <w:numId w:val="3"/>
        </w:numPr>
        <w:bidi w:val="0"/>
        <w:rPr>
          <w:rFonts w:hint="eastAsia"/>
          <w:color w:val="auto"/>
          <w:highlight w:val="none"/>
          <w:lang w:val="en-US" w:eastAsia="zh-CN"/>
        </w:rPr>
      </w:pPr>
      <w:r>
        <w:rPr>
          <w:rFonts w:hint="eastAsia"/>
          <w:color w:val="auto"/>
          <w:highlight w:val="none"/>
          <w:lang w:val="en-US" w:eastAsia="zh-CN"/>
        </w:rPr>
        <w:t>经济成本指标完成情况分析</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rPr>
        <w:t>：举办赛事、节庆、展览、等文化活动，指标值：</w:t>
      </w:r>
      <w:r>
        <w:rPr>
          <w:rFonts w:hint="eastAsia" w:ascii="仿宋_GB2312" w:hAnsi="仿宋_GB2312" w:eastAsia="仿宋_GB2312" w:cs="仿宋_GB2312"/>
          <w:color w:val="auto"/>
          <w:sz w:val="32"/>
          <w:szCs w:val="32"/>
          <w:highlight w:val="none"/>
          <w:lang w:eastAsia="zh-CN"/>
        </w:rPr>
        <w:t>小于等于</w:t>
      </w:r>
      <w:r>
        <w:rPr>
          <w:rFonts w:ascii="仿宋_GB2312" w:hAnsi="仿宋_GB2312" w:eastAsia="仿宋_GB2312" w:cs="仿宋_GB2312"/>
          <w:color w:val="auto"/>
          <w:sz w:val="32"/>
          <w:szCs w:val="32"/>
          <w:highlight w:val="none"/>
        </w:rPr>
        <w:t>30</w:t>
      </w:r>
      <w:r>
        <w:rPr>
          <w:rFonts w:hint="eastAsia" w:ascii="仿宋_GB2312" w:hAnsi="仿宋_GB2312" w:eastAsia="仿宋_GB2312" w:cs="仿宋_GB2312"/>
          <w:color w:val="auto"/>
          <w:sz w:val="32"/>
          <w:szCs w:val="32"/>
          <w:highlight w:val="none"/>
        </w:rPr>
        <w:t>万元，实际完成值：</w:t>
      </w:r>
      <w:r>
        <w:rPr>
          <w:rFonts w:hint="eastAsia" w:ascii="仿宋_GB2312" w:hAnsi="仿宋_GB2312" w:cs="仿宋_GB2312"/>
          <w:color w:val="auto"/>
          <w:sz w:val="32"/>
          <w:szCs w:val="32"/>
          <w:highlight w:val="none"/>
          <w:lang w:val="en-US" w:eastAsia="zh-CN"/>
        </w:rPr>
        <w:t>25.9</w:t>
      </w:r>
      <w:r>
        <w:rPr>
          <w:rFonts w:hint="eastAsia" w:ascii="仿宋_GB2312" w:hAnsi="仿宋_GB2312" w:eastAsia="仿宋_GB2312" w:cs="仿宋_GB2312"/>
          <w:color w:val="auto"/>
          <w:sz w:val="32"/>
          <w:szCs w:val="32"/>
          <w:highlight w:val="none"/>
        </w:rPr>
        <w:t>万元，指标完成率</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rPr>
        <w:t>：公益电影放映，指标值：</w:t>
      </w:r>
      <w:r>
        <w:rPr>
          <w:rFonts w:hint="eastAsia" w:ascii="仿宋_GB2312" w:hAnsi="仿宋_GB2312" w:eastAsia="仿宋_GB2312" w:cs="仿宋_GB2312"/>
          <w:color w:val="auto"/>
          <w:sz w:val="32"/>
          <w:szCs w:val="32"/>
          <w:highlight w:val="none"/>
          <w:lang w:eastAsia="zh-CN"/>
        </w:rPr>
        <w:t>小于等于</w:t>
      </w:r>
      <w:r>
        <w:rPr>
          <w:rFonts w:ascii="仿宋_GB2312" w:hAnsi="仿宋_GB2312" w:eastAsia="仿宋_GB2312" w:cs="仿宋_GB2312"/>
          <w:color w:val="auto"/>
          <w:sz w:val="32"/>
          <w:szCs w:val="32"/>
          <w:highlight w:val="none"/>
        </w:rPr>
        <w:t>16.56</w:t>
      </w:r>
      <w:r>
        <w:rPr>
          <w:rFonts w:hint="eastAsia" w:ascii="仿宋_GB2312" w:hAnsi="仿宋_GB2312" w:eastAsia="仿宋_GB2312" w:cs="仿宋_GB2312"/>
          <w:color w:val="auto"/>
          <w:sz w:val="32"/>
          <w:szCs w:val="32"/>
          <w:highlight w:val="none"/>
        </w:rPr>
        <w:t>万元，实际完成值：</w:t>
      </w:r>
      <w:r>
        <w:rPr>
          <w:rFonts w:hint="eastAsia" w:ascii="仿宋_GB2312" w:hAnsi="仿宋_GB2312" w:cs="仿宋_GB2312"/>
          <w:color w:val="auto"/>
          <w:sz w:val="32"/>
          <w:szCs w:val="32"/>
          <w:highlight w:val="none"/>
          <w:lang w:val="en-US" w:eastAsia="zh-CN"/>
        </w:rPr>
        <w:t>14.8</w:t>
      </w:r>
      <w:r>
        <w:rPr>
          <w:rFonts w:hint="eastAsia" w:ascii="仿宋_GB2312" w:hAnsi="仿宋_GB2312" w:eastAsia="仿宋_GB2312" w:cs="仿宋_GB2312"/>
          <w:color w:val="auto"/>
          <w:sz w:val="32"/>
          <w:szCs w:val="32"/>
          <w:highlight w:val="none"/>
        </w:rPr>
        <w:t>万元，指标完成率</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w:t>
      </w:r>
    </w:p>
    <w:p>
      <w:pPr>
        <w:spacing w:line="56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3</w:t>
      </w:r>
      <w:r>
        <w:rPr>
          <w:rFonts w:hint="eastAsia" w:ascii="仿宋_GB2312" w:hAnsi="仿宋_GB2312" w:eastAsia="仿宋_GB2312" w:cs="仿宋_GB2312"/>
          <w:color w:val="auto"/>
          <w:sz w:val="32"/>
          <w:szCs w:val="32"/>
          <w:highlight w:val="none"/>
        </w:rPr>
        <w:t>：公共文化体育设施维修和设备购置，指标值：</w:t>
      </w:r>
      <w:r>
        <w:rPr>
          <w:rFonts w:hint="eastAsia" w:ascii="仿宋_GB2312" w:hAnsi="仿宋_GB2312" w:eastAsia="仿宋_GB2312" w:cs="仿宋_GB2312"/>
          <w:color w:val="auto"/>
          <w:sz w:val="32"/>
          <w:szCs w:val="32"/>
          <w:highlight w:val="none"/>
          <w:lang w:eastAsia="zh-CN"/>
        </w:rPr>
        <w:t>小于等于</w:t>
      </w:r>
      <w:r>
        <w:rPr>
          <w:rFonts w:ascii="仿宋_GB2312" w:hAnsi="仿宋_GB2312" w:eastAsia="仿宋_GB2312" w:cs="仿宋_GB2312"/>
          <w:color w:val="auto"/>
          <w:sz w:val="32"/>
          <w:szCs w:val="32"/>
          <w:highlight w:val="none"/>
        </w:rPr>
        <w:t>94.64</w:t>
      </w:r>
      <w:r>
        <w:rPr>
          <w:rFonts w:hint="eastAsia" w:ascii="仿宋_GB2312" w:hAnsi="仿宋_GB2312" w:eastAsia="仿宋_GB2312" w:cs="仿宋_GB2312"/>
          <w:color w:val="auto"/>
          <w:sz w:val="32"/>
          <w:szCs w:val="32"/>
          <w:highlight w:val="none"/>
        </w:rPr>
        <w:t>万元，实际完成值：</w:t>
      </w:r>
      <w:r>
        <w:rPr>
          <w:rFonts w:ascii="仿宋_GB2312" w:hAnsi="仿宋_GB2312" w:eastAsia="仿宋_GB2312" w:cs="仿宋_GB2312"/>
          <w:color w:val="auto"/>
          <w:sz w:val="32"/>
          <w:szCs w:val="32"/>
          <w:highlight w:val="none"/>
        </w:rPr>
        <w:t>95.64</w:t>
      </w:r>
      <w:r>
        <w:rPr>
          <w:rFonts w:hint="eastAsia" w:ascii="仿宋_GB2312" w:hAnsi="仿宋_GB2312" w:eastAsia="仿宋_GB2312" w:cs="仿宋_GB2312"/>
          <w:color w:val="auto"/>
          <w:sz w:val="32"/>
          <w:szCs w:val="32"/>
          <w:highlight w:val="none"/>
        </w:rPr>
        <w:t>万元，指标完成率</w:t>
      </w:r>
      <w:r>
        <w:rPr>
          <w:rFonts w:hint="eastAsia" w:ascii="仿宋_GB2312" w:hAnsi="仿宋_GB2312" w:eastAsia="仿宋_GB2312" w:cs="仿宋_GB2312"/>
          <w:color w:val="auto"/>
          <w:sz w:val="32"/>
          <w:szCs w:val="32"/>
          <w:highlight w:val="none"/>
          <w:lang w:val="en-US" w:eastAsia="zh-CN"/>
        </w:rPr>
        <w:t>0</w:t>
      </w:r>
      <w:r>
        <w:rPr>
          <w:rFonts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rPr>
        <w:t>。偏差原因：指标预期指标值设置偏低导致，改进措施：落实好绩效管理制度，加强相关部门，岗位的协作能力，加强绩效审核环节。</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lang w:val="en-US" w:eastAsia="zh-CN"/>
        </w:rPr>
        <w:t>项目效益类指标包括经济效益、社会效益、生态效益、服务对象满意度四个方面，权重分为24分，实际得分24分</w:t>
      </w:r>
      <w:r>
        <w:rPr>
          <w:rFonts w:hint="eastAsia" w:ascii="仿宋_GB2312" w:cs="仿宋_GB2312"/>
          <w:color w:val="auto"/>
          <w:sz w:val="28"/>
          <w:szCs w:val="28"/>
          <w:highlight w:val="none"/>
        </w:rPr>
        <w:t>。</w:t>
      </w:r>
    </w:p>
    <w:p>
      <w:pPr>
        <w:pStyle w:val="6"/>
        <w:numPr>
          <w:ilvl w:val="0"/>
          <w:numId w:val="4"/>
        </w:numPr>
        <w:bidi w:val="0"/>
        <w:rPr>
          <w:rFonts w:hint="eastAsia" w:ascii="仿宋_GB2312" w:hAnsi="仿宋_GB2312" w:cs="仿宋_GB2312"/>
          <w:b/>
          <w:bCs/>
          <w:color w:val="auto"/>
          <w:sz w:val="28"/>
          <w:szCs w:val="28"/>
          <w:highlight w:val="none"/>
          <w:lang w:val="en-US" w:eastAsia="zh-CN"/>
        </w:rPr>
      </w:pPr>
      <w:r>
        <w:rPr>
          <w:rFonts w:hint="eastAsia" w:ascii="仿宋_GB2312" w:hAnsi="仿宋_GB2312" w:cs="仿宋_GB2312"/>
          <w:b/>
          <w:bCs/>
          <w:color w:val="auto"/>
          <w:sz w:val="28"/>
          <w:szCs w:val="28"/>
          <w:highlight w:val="none"/>
          <w:lang w:val="en-US" w:eastAsia="zh-CN"/>
        </w:rPr>
        <w:t>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numPr>
          <w:ilvl w:val="0"/>
          <w:numId w:val="0"/>
        </w:numPr>
        <w:ind w:firstLine="1120" w:firstLineChars="400"/>
        <w:rPr>
          <w:rFonts w:hint="eastAsia"/>
          <w:color w:val="auto"/>
          <w:highlight w:val="none"/>
          <w:lang w:val="en-US" w:eastAsia="zh-CN"/>
        </w:rPr>
      </w:pPr>
      <w:r>
        <w:rPr>
          <w:rFonts w:hint="eastAsia"/>
          <w:color w:val="auto"/>
          <w:highlight w:val="none"/>
          <w:lang w:val="en-US" w:eastAsia="zh-CN"/>
        </w:rPr>
        <w:t>无</w:t>
      </w:r>
    </w:p>
    <w:p>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rPr>
        <w:t>：充分发挥宣传和社会服务阵地作用，指标值：效果明显，实际完成值：达成年度指标，指标完成率</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w:t>
      </w:r>
    </w:p>
    <w:p>
      <w:pPr>
        <w:spacing w:line="560" w:lineRule="exact"/>
        <w:ind w:firstLine="640" w:firstLineChars="200"/>
        <w:outlineLvl w:val="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rPr>
        <w:t>：满足群众精神文化需求，提升广大农牧民生活幸福感，指标值：逐步提高，实际完成值：达成年度指标，指标完成率</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w:t>
      </w:r>
    </w:p>
    <w:p>
      <w:pPr>
        <w:pStyle w:val="6"/>
        <w:bidi w:val="0"/>
        <w:rPr>
          <w:rFonts w:hint="eastAsia"/>
          <w:color w:val="auto"/>
          <w:highlight w:val="none"/>
          <w:lang w:val="en-US" w:eastAsia="zh-CN"/>
        </w:rPr>
      </w:pPr>
      <w:r>
        <w:rPr>
          <w:rFonts w:hint="eastAsia"/>
          <w:color w:val="auto"/>
          <w:highlight w:val="none"/>
          <w:lang w:val="en-US" w:eastAsia="zh-CN"/>
        </w:rPr>
        <w:t>3.生态效益指标完成情况分析</w:t>
      </w:r>
    </w:p>
    <w:p>
      <w:pPr>
        <w:pStyle w:val="6"/>
        <w:bidi w:val="0"/>
        <w:rPr>
          <w:rFonts w:hint="eastAsia" w:cs="仿宋_GB2312"/>
          <w:color w:val="auto"/>
          <w:sz w:val="28"/>
          <w:szCs w:val="28"/>
          <w:highlight w:val="none"/>
          <w:lang w:val="en-US" w:eastAsia="zh-CN"/>
        </w:rPr>
      </w:pPr>
      <w:r>
        <w:rPr>
          <w:rFonts w:hint="eastAsia" w:ascii="仿宋_GB2312" w:hAnsi="仿宋_GB2312" w:eastAsia="仿宋_GB2312" w:cs="仿宋_GB2312"/>
          <w:b w:val="0"/>
          <w:bCs w:val="0"/>
          <w:color w:val="auto"/>
          <w:kern w:val="2"/>
          <w:sz w:val="32"/>
          <w:szCs w:val="32"/>
          <w:highlight w:val="none"/>
          <w:lang w:val="en-US" w:eastAsia="zh-CN" w:bidi="ar-SA"/>
        </w:rPr>
        <w:t>无</w:t>
      </w:r>
    </w:p>
    <w:p>
      <w:pPr>
        <w:pStyle w:val="6"/>
        <w:bidi w:val="0"/>
        <w:rPr>
          <w:rFonts w:hint="eastAsia"/>
          <w:color w:val="auto"/>
          <w:highlight w:val="none"/>
          <w:lang w:val="en-US" w:eastAsia="zh-CN"/>
        </w:rPr>
      </w:pPr>
      <w:r>
        <w:rPr>
          <w:rFonts w:hint="eastAsia"/>
          <w:color w:val="auto"/>
          <w:highlight w:val="none"/>
          <w:lang w:val="en-US" w:eastAsia="zh-CN"/>
        </w:rPr>
        <w:t>4.满意度指标完成情况分析</w:t>
      </w:r>
    </w:p>
    <w:bookmarkEnd w:id="15"/>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w:t>
      </w:r>
      <w:r>
        <w:rPr>
          <w:rFonts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rPr>
        <w:t>：社会公众对文化体育服务满意度，指标值：</w:t>
      </w:r>
      <w:r>
        <w:rPr>
          <w:rFonts w:hint="eastAsia" w:ascii="仿宋_GB2312" w:hAnsi="仿宋_GB2312" w:eastAsia="仿宋_GB2312" w:cs="仿宋_GB2312"/>
          <w:color w:val="auto"/>
          <w:sz w:val="32"/>
          <w:szCs w:val="32"/>
          <w:highlight w:val="none"/>
          <w:lang w:eastAsia="zh-CN"/>
        </w:rPr>
        <w:t>大于等于</w:t>
      </w:r>
      <w:r>
        <w:rPr>
          <w:rFonts w:ascii="仿宋_GB2312" w:hAnsi="仿宋_GB2312" w:eastAsia="仿宋_GB2312" w:cs="仿宋_GB2312"/>
          <w:color w:val="auto"/>
          <w:sz w:val="32"/>
          <w:szCs w:val="32"/>
          <w:highlight w:val="none"/>
        </w:rPr>
        <w:t>95%</w:t>
      </w:r>
      <w:r>
        <w:rPr>
          <w:rFonts w:hint="eastAsia" w:ascii="仿宋_GB2312" w:hAnsi="仿宋_GB2312" w:eastAsia="仿宋_GB2312" w:cs="仿宋_GB2312"/>
          <w:color w:val="auto"/>
          <w:sz w:val="32"/>
          <w:szCs w:val="32"/>
          <w:highlight w:val="none"/>
        </w:rPr>
        <w:t>，实际完成值：</w:t>
      </w:r>
      <w:r>
        <w:rPr>
          <w:rFonts w:ascii="仿宋_GB2312" w:hAnsi="仿宋_GB2312" w:eastAsia="仿宋_GB2312" w:cs="仿宋_GB2312"/>
          <w:color w:val="auto"/>
          <w:sz w:val="32"/>
          <w:szCs w:val="32"/>
          <w:highlight w:val="none"/>
        </w:rPr>
        <w:t>95%</w:t>
      </w:r>
      <w:r>
        <w:rPr>
          <w:rFonts w:hint="eastAsia" w:ascii="仿宋_GB2312" w:hAnsi="仿宋_GB2312" w:eastAsia="仿宋_GB2312" w:cs="仿宋_GB2312"/>
          <w:color w:val="auto"/>
          <w:sz w:val="32"/>
          <w:szCs w:val="32"/>
          <w:highlight w:val="none"/>
        </w:rPr>
        <w:t>，指标完成率</w:t>
      </w:r>
      <w:r>
        <w:rPr>
          <w:rFonts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w:t>
      </w:r>
    </w:p>
    <w:p>
      <w:pPr>
        <w:pStyle w:val="4"/>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pPr>
        <w:bidi w:val="0"/>
        <w:rPr>
          <w:rFonts w:hint="eastAsia"/>
          <w:color w:val="auto"/>
          <w:highlight w:val="none"/>
          <w:lang w:val="en-US" w:eastAsia="zh-CN"/>
        </w:rPr>
      </w:pPr>
      <w:r>
        <w:rPr>
          <w:rFonts w:hint="eastAsia"/>
          <w:color w:val="auto"/>
          <w:highlight w:val="none"/>
          <w:lang w:val="en-US" w:eastAsia="zh-CN"/>
        </w:rPr>
        <w:t>本项目全年预算数为141.2万元，全年到位数为141.2万元，全年执行数为141.2万元，预算执行率为100%。</w:t>
      </w:r>
    </w:p>
    <w:p>
      <w:pPr>
        <w:bidi w:val="0"/>
        <w:rPr>
          <w:rFonts w:hint="eastAsia"/>
          <w:color w:val="auto"/>
          <w:highlight w:val="none"/>
          <w:lang w:val="en-US" w:eastAsia="zh-CN"/>
        </w:rPr>
      </w:pPr>
      <w:r>
        <w:rPr>
          <w:rFonts w:hint="eastAsia"/>
          <w:color w:val="auto"/>
          <w:highlight w:val="none"/>
          <w:lang w:val="en-US" w:eastAsia="zh-CN"/>
        </w:rPr>
        <w:t>本</w:t>
      </w:r>
      <w:r>
        <w:rPr>
          <w:rFonts w:hint="eastAsia"/>
          <w:color w:val="auto"/>
          <w:highlight w:val="none"/>
          <w:lang w:val="zh-TW" w:eastAsia="zh-TW"/>
        </w:rPr>
        <w:t>项目共设置</w:t>
      </w:r>
      <w:r>
        <w:rPr>
          <w:rFonts w:hint="eastAsia"/>
          <w:color w:val="auto"/>
          <w:highlight w:val="none"/>
          <w:lang w:val="en-US" w:eastAsia="zh-CN"/>
        </w:rPr>
        <w:t>三级指标数量30</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29个，扣分指标数量1个，经分析计算所有三级指标完成率得出本项目总体完成率为94.7</w:t>
      </w:r>
      <w:r>
        <w:rPr>
          <w:rFonts w:hint="eastAsia"/>
          <w:color w:val="auto"/>
          <w:highlight w:val="none"/>
          <w:lang w:val="zh-TW" w:eastAsia="zh-TW"/>
        </w:rPr>
        <w:t>%。</w:t>
      </w:r>
    </w:p>
    <w:p>
      <w:pPr>
        <w:pStyle w:val="2"/>
        <w:rPr>
          <w:rFonts w:hint="default"/>
          <w:color w:val="auto"/>
          <w:highlight w:val="none"/>
          <w:lang w:val="zh-TW" w:eastAsia="zh-CN"/>
        </w:rPr>
      </w:pPr>
      <w:r>
        <w:rPr>
          <w:rFonts w:hint="eastAsia"/>
          <w:color w:val="auto"/>
          <w:highlight w:val="none"/>
          <w:lang w:val="en-US" w:eastAsia="zh-CN"/>
        </w:rPr>
        <w:t>综上所述本项目预算执行率与总体完成率之间的偏差为-5.3%。</w:t>
      </w:r>
    </w:p>
    <w:p>
      <w:pPr>
        <w:pStyle w:val="4"/>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5"/>
        <w:numPr>
          <w:ilvl w:val="0"/>
          <w:numId w:val="5"/>
        </w:numPr>
        <w:ind w:firstLine="643"/>
        <w:rPr>
          <w:color w:val="auto"/>
          <w:highlight w:val="none"/>
        </w:rPr>
      </w:pPr>
      <w:bookmarkStart w:id="16" w:name="_Toc28290"/>
      <w:bookmarkStart w:id="17" w:name="_Toc1921"/>
      <w:r>
        <w:rPr>
          <w:rFonts w:hint="eastAsia"/>
          <w:color w:val="auto"/>
          <w:highlight w:val="none"/>
        </w:rPr>
        <w:t>主要经验及做法</w:t>
      </w:r>
    </w:p>
    <w:bookmarkEnd w:id="16"/>
    <w:bookmarkEnd w:id="17"/>
    <w:p>
      <w:pPr>
        <w:spacing w:line="56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0"/>
        <w:spacing w:before="0" w:after="0" w:line="560" w:lineRule="exact"/>
        <w:ind w:firstLine="640" w:firstLineChars="200"/>
        <w:jc w:val="left"/>
        <w:rPr>
          <w:rFonts w:ascii="Times New Roman" w:hAnsi="Times New Roman" w:eastAsia="仿宋_GB2312"/>
          <w:b w:val="0"/>
          <w:bCs w:val="0"/>
          <w:color w:val="auto"/>
          <w:kern w:val="2"/>
          <w:highlight w:val="none"/>
        </w:rPr>
      </w:pPr>
      <w:r>
        <w:rPr>
          <w:rFonts w:hint="eastAsia" w:ascii="Times New Roman" w:hAnsi="Times New Roman" w:eastAsia="仿宋_GB2312"/>
          <w:b w:val="0"/>
          <w:bCs w:val="0"/>
          <w:color w:val="auto"/>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5"/>
        <w:numPr>
          <w:ilvl w:val="0"/>
          <w:numId w:val="5"/>
        </w:numPr>
        <w:ind w:firstLine="643"/>
        <w:rPr>
          <w:color w:val="auto"/>
          <w:highlight w:val="none"/>
        </w:rPr>
      </w:pPr>
      <w:r>
        <w:rPr>
          <w:rFonts w:hint="eastAsia"/>
          <w:color w:val="auto"/>
          <w:highlight w:val="none"/>
        </w:rPr>
        <w:t>存在的问题及原因分析</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rPr>
        <w:t>因轮岗、调动等因素使单位绩效工作人员流动频繁，造成了工作衔接不到位的情况。</w:t>
      </w:r>
    </w:p>
    <w:p>
      <w:pPr>
        <w:pStyle w:val="4"/>
        <w:ind w:firstLine="640"/>
        <w:rPr>
          <w:color w:val="auto"/>
          <w:highlight w:val="none"/>
        </w:rPr>
      </w:pPr>
      <w:r>
        <w:rPr>
          <w:rFonts w:hint="eastAsia"/>
          <w:color w:val="auto"/>
          <w:highlight w:val="none"/>
          <w:lang w:eastAsia="zh-CN"/>
        </w:rPr>
        <w:t>七</w:t>
      </w:r>
      <w:r>
        <w:rPr>
          <w:rFonts w:hint="eastAsia"/>
          <w:color w:val="auto"/>
          <w:highlight w:val="none"/>
        </w:rPr>
        <w:t>、有关建议</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rPr>
        <w:t>多进行有关绩效管理工作方面的培训。积极组织第三方开展绩效管理工作培训，进一步夯实业务基础，提高我单位绩效人员水平。</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rPr>
        <w:t>专门设定对绩效工作人员定职、定岗、定责等相关制度措施，进一步提升我单位绩效管理工作业务水平，扎实做好绩效管理工作。</w:t>
      </w:r>
    </w:p>
    <w:p>
      <w:pPr>
        <w:pStyle w:val="4"/>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4"/>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rPr>
          <w:rFonts w:hint="default"/>
          <w:color w:val="auto"/>
          <w:highlight w:val="none"/>
          <w:lang w:val="en-US" w:eastAsia="zh-CN"/>
        </w:rPr>
      </w:pPr>
    </w:p>
    <w:p>
      <w:pPr>
        <w:rPr>
          <w:color w:val="auto"/>
          <w:highlight w:val="none"/>
        </w:rPr>
      </w:pPr>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246FFD"/>
    <w:multiLevelType w:val="singleLevel"/>
    <w:tmpl w:val="C5246FFD"/>
    <w:lvl w:ilvl="0" w:tentative="0">
      <w:start w:val="1"/>
      <w:numFmt w:val="decimal"/>
      <w:lvlText w:val="%1."/>
      <w:lvlJc w:val="left"/>
      <w:pPr>
        <w:tabs>
          <w:tab w:val="left" w:pos="312"/>
        </w:tabs>
      </w:p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abstractNum w:abstractNumId="4">
    <w:nsid w:val="6D57B1D2"/>
    <w:multiLevelType w:val="singleLevel"/>
    <w:tmpl w:val="6D57B1D2"/>
    <w:lvl w:ilvl="0" w:tentative="0">
      <w:start w:val="1"/>
      <w:numFmt w:val="decimal"/>
      <w:lvlText w:val="%1."/>
      <w:lvlJc w:val="left"/>
      <w:pPr>
        <w:tabs>
          <w:tab w:val="left" w:pos="312"/>
        </w:tabs>
      </w:p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wODZhN2FiMTc4NWI5NDcxODQ5M2JlZDEwOTFmNGMifQ=="/>
  </w:docVars>
  <w:rsids>
    <w:rsidRoot w:val="00000000"/>
    <w:rsid w:val="00D104A8"/>
    <w:rsid w:val="02D0244B"/>
    <w:rsid w:val="05902CF3"/>
    <w:rsid w:val="0BEB6F66"/>
    <w:rsid w:val="0D8F7A35"/>
    <w:rsid w:val="14E629C1"/>
    <w:rsid w:val="1557566D"/>
    <w:rsid w:val="165027E8"/>
    <w:rsid w:val="17B35DB7"/>
    <w:rsid w:val="18C72BB8"/>
    <w:rsid w:val="20A0436C"/>
    <w:rsid w:val="349B22FF"/>
    <w:rsid w:val="35496A51"/>
    <w:rsid w:val="36631C6B"/>
    <w:rsid w:val="37F232A7"/>
    <w:rsid w:val="39330366"/>
    <w:rsid w:val="3A742699"/>
    <w:rsid w:val="3A751F6D"/>
    <w:rsid w:val="3B4E3A9B"/>
    <w:rsid w:val="3D3A6A73"/>
    <w:rsid w:val="432D1637"/>
    <w:rsid w:val="4B945D75"/>
    <w:rsid w:val="4EDC0AC0"/>
    <w:rsid w:val="52C55120"/>
    <w:rsid w:val="53381D82"/>
    <w:rsid w:val="53F8370C"/>
    <w:rsid w:val="56282AB7"/>
    <w:rsid w:val="5DA27C6B"/>
    <w:rsid w:val="68437083"/>
    <w:rsid w:val="6E8B7C84"/>
    <w:rsid w:val="70F03B20"/>
    <w:rsid w:val="761C40F8"/>
    <w:rsid w:val="777079EF"/>
    <w:rsid w:val="796E5CAB"/>
    <w:rsid w:val="7A1B1D4A"/>
    <w:rsid w:val="7CC7235D"/>
    <w:rsid w:val="7D171F25"/>
    <w:rsid w:val="7EBA15D1"/>
    <w:rsid w:val="7F2C0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7">
    <w:name w:val="annotation text"/>
    <w:basedOn w:val="1"/>
    <w:qFormat/>
    <w:uiPriority w:val="0"/>
    <w:pPr>
      <w:jc w:val="left"/>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Title"/>
    <w:basedOn w:val="1"/>
    <w:next w:val="1"/>
    <w:qFormat/>
    <w:uiPriority w:val="99"/>
    <w:pPr>
      <w:widowControl/>
      <w:spacing w:before="240" w:after="60"/>
      <w:jc w:val="center"/>
      <w:outlineLvl w:val="0"/>
    </w:pPr>
    <w:rPr>
      <w:rFonts w:ascii="Calibri Light" w:hAnsi="Calibri Light"/>
      <w:b/>
      <w:bCs/>
      <w:kern w:val="28"/>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8773</Words>
  <Characters>9431</Characters>
  <Lines>0</Lines>
  <Paragraphs>0</Paragraphs>
  <TotalTime>12</TotalTime>
  <ScaleCrop>false</ScaleCrop>
  <LinksUpToDate>false</LinksUpToDate>
  <CharactersWithSpaces>9435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2024-08-20T02:03:22Z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F6C9537472134F279EF70ADDA862A4DE_13</vt:lpwstr>
  </property>
</Properties>
</file>