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9E569">
      <w:pPr>
        <w:jc w:val="center"/>
        <w:rPr>
          <w:rFonts w:ascii="宋体" w:hAnsi="宋体" w:eastAsia="宋体" w:cs="Arial"/>
          <w:b/>
          <w:bCs/>
          <w:color w:val="auto"/>
          <w:sz w:val="36"/>
          <w:szCs w:val="36"/>
          <w:highlight w:val="none"/>
        </w:rPr>
      </w:pPr>
      <w:bookmarkStart w:id="18" w:name="_GoBack"/>
      <w:bookmarkEnd w:id="18"/>
    </w:p>
    <w:p w14:paraId="57355F60">
      <w:pPr>
        <w:jc w:val="center"/>
        <w:rPr>
          <w:rFonts w:ascii="宋体" w:hAnsi="宋体" w:eastAsia="宋体" w:cs="Arial"/>
          <w:b/>
          <w:bCs/>
          <w:color w:val="auto"/>
          <w:sz w:val="36"/>
          <w:szCs w:val="36"/>
          <w:highlight w:val="none"/>
        </w:rPr>
      </w:pPr>
    </w:p>
    <w:p w14:paraId="54FAC5A7">
      <w:pPr>
        <w:jc w:val="center"/>
        <w:rPr>
          <w:rFonts w:ascii="宋体" w:hAnsi="宋体" w:eastAsia="宋体" w:cs="Arial"/>
          <w:b/>
          <w:bCs/>
          <w:color w:val="auto"/>
          <w:sz w:val="36"/>
          <w:szCs w:val="36"/>
          <w:highlight w:val="none"/>
        </w:rPr>
      </w:pPr>
    </w:p>
    <w:p w14:paraId="1ABA05BF">
      <w:pPr>
        <w:spacing w:line="240" w:lineRule="atLeast"/>
        <w:ind w:left="0" w:leftChars="0" w:firstLine="0" w:firstLineChars="0"/>
        <w:jc w:val="center"/>
        <w:rPr>
          <w:rFonts w:hint="eastAsia"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lang w:eastAsia="zh-CN"/>
        </w:rPr>
        <w:t>2023年城乡义务教育生均公用经费县级配套（小学）</w:t>
      </w:r>
      <w:r>
        <w:rPr>
          <w:rFonts w:hint="eastAsia" w:ascii="黑体" w:hAnsi="黑体" w:eastAsia="黑体" w:cs="黑体"/>
          <w:b/>
          <w:bCs/>
          <w:color w:val="auto"/>
          <w:sz w:val="40"/>
          <w:szCs w:val="40"/>
          <w:highlight w:val="none"/>
        </w:rPr>
        <w:t>绩效评价报告</w:t>
      </w:r>
    </w:p>
    <w:p w14:paraId="6F215F0E">
      <w:pPr>
        <w:spacing w:line="240" w:lineRule="atLeast"/>
        <w:ind w:left="0" w:leftChars="0" w:firstLine="0" w:firstLineChars="0"/>
        <w:jc w:val="center"/>
        <w:rPr>
          <w:rFonts w:hint="eastAsia" w:ascii="黑体" w:hAnsi="黑体" w:eastAsia="黑体" w:cs="黑体"/>
          <w:b/>
          <w:bCs/>
          <w:color w:val="auto"/>
          <w:sz w:val="40"/>
          <w:szCs w:val="40"/>
          <w:highlight w:val="none"/>
        </w:rPr>
      </w:pPr>
    </w:p>
    <w:p w14:paraId="22082728">
      <w:pPr>
        <w:spacing w:line="240" w:lineRule="atLeast"/>
        <w:jc w:val="center"/>
        <w:rPr>
          <w:rFonts w:ascii="宋体" w:hAnsi="宋体" w:eastAsia="宋体" w:cs="Arial"/>
          <w:b/>
          <w:bCs/>
          <w:color w:val="auto"/>
          <w:sz w:val="36"/>
          <w:szCs w:val="36"/>
          <w:highlight w:val="none"/>
        </w:rPr>
      </w:pPr>
    </w:p>
    <w:p w14:paraId="116F8AD2">
      <w:pPr>
        <w:spacing w:line="240" w:lineRule="atLeast"/>
        <w:jc w:val="center"/>
        <w:rPr>
          <w:rFonts w:ascii="宋体" w:hAnsi="宋体" w:eastAsia="宋体" w:cs="Arial"/>
          <w:b/>
          <w:bCs/>
          <w:color w:val="auto"/>
          <w:sz w:val="36"/>
          <w:szCs w:val="36"/>
          <w:highlight w:val="none"/>
        </w:rPr>
      </w:pPr>
    </w:p>
    <w:p w14:paraId="152D3BC8">
      <w:pPr>
        <w:spacing w:line="240" w:lineRule="atLeast"/>
        <w:jc w:val="center"/>
        <w:rPr>
          <w:rFonts w:ascii="宋体" w:hAnsi="宋体" w:eastAsia="宋体" w:cs="Arial"/>
          <w:b/>
          <w:bCs/>
          <w:color w:val="auto"/>
          <w:sz w:val="36"/>
          <w:szCs w:val="36"/>
          <w:highlight w:val="none"/>
        </w:rPr>
      </w:pPr>
    </w:p>
    <w:p w14:paraId="647AFAD1">
      <w:pPr>
        <w:spacing w:line="240" w:lineRule="auto"/>
        <w:ind w:left="0" w:leftChars="0" w:firstLine="0" w:firstLineChars="0"/>
        <w:jc w:val="both"/>
        <w:rPr>
          <w:rFonts w:ascii="宋体" w:hAnsi="宋体" w:eastAsia="宋体" w:cs="Arial"/>
          <w:b/>
          <w:bCs/>
          <w:color w:val="auto"/>
          <w:sz w:val="36"/>
          <w:szCs w:val="36"/>
          <w:highlight w:val="none"/>
        </w:rPr>
      </w:pPr>
    </w:p>
    <w:p w14:paraId="0A0DD51A">
      <w:pPr>
        <w:pStyle w:val="6"/>
        <w:rPr>
          <w:color w:val="auto"/>
          <w:highlight w:val="none"/>
        </w:rPr>
      </w:pPr>
    </w:p>
    <w:p w14:paraId="6426C75D">
      <w:pPr>
        <w:spacing w:line="700" w:lineRule="exact"/>
        <w:ind w:firstLine="800" w:firstLineChars="250"/>
        <w:jc w:val="left"/>
        <w:rPr>
          <w:rFonts w:hint="eastAsia" w:ascii="黑体" w:eastAsia="黑体"/>
          <w:color w:val="auto"/>
          <w:sz w:val="32"/>
          <w:szCs w:val="32"/>
          <w:highlight w:val="none"/>
        </w:rPr>
      </w:pPr>
      <w:r>
        <w:rPr>
          <w:rFonts w:hint="eastAsia" w:ascii="黑体" w:eastAsia="黑体"/>
          <w:color w:val="auto"/>
          <w:sz w:val="32"/>
          <w:szCs w:val="32"/>
          <w:highlight w:val="none"/>
        </w:rPr>
        <w:t>项目名称：2023年城乡义务教育生均公用经费县级配套（小学）</w:t>
      </w:r>
    </w:p>
    <w:p w14:paraId="7740E827">
      <w:pPr>
        <w:spacing w:line="700" w:lineRule="exact"/>
        <w:ind w:firstLine="800" w:firstLineChars="250"/>
        <w:jc w:val="left"/>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实施单位（公章）：托克逊县第二小学</w:t>
      </w:r>
    </w:p>
    <w:p w14:paraId="5231493C">
      <w:pPr>
        <w:spacing w:line="700" w:lineRule="exact"/>
        <w:ind w:firstLine="800" w:firstLineChars="250"/>
        <w:jc w:val="left"/>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项目负责人（签章）：钟文萍</w:t>
      </w:r>
    </w:p>
    <w:p w14:paraId="22AC7D57">
      <w:pPr>
        <w:spacing w:line="700" w:lineRule="exact"/>
        <w:ind w:firstLine="800" w:firstLineChars="250"/>
        <w:jc w:val="left"/>
        <w:rPr>
          <w:rFonts w:hint="default" w:ascii="黑体" w:eastAsia="黑体"/>
          <w:color w:val="auto"/>
          <w:sz w:val="32"/>
          <w:szCs w:val="32"/>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20日</w:t>
      </w:r>
    </w:p>
    <w:p w14:paraId="4E8890F4">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托克逊县</w:t>
      </w:r>
      <w:r>
        <w:rPr>
          <w:rFonts w:hint="eastAsia" w:ascii="黑体" w:hAnsi="黑体" w:eastAsia="黑体" w:cs="黑体"/>
          <w:b/>
          <w:bCs/>
          <w:color w:val="auto"/>
          <w:sz w:val="36"/>
          <w:szCs w:val="36"/>
          <w:highlight w:val="none"/>
        </w:rPr>
        <w:t>项目支出绩效评价报告</w:t>
      </w:r>
    </w:p>
    <w:p w14:paraId="78DBF5DF">
      <w:pPr>
        <w:pStyle w:val="4"/>
        <w:ind w:firstLine="640"/>
        <w:rPr>
          <w:color w:val="auto"/>
          <w:highlight w:val="none"/>
        </w:rPr>
      </w:pPr>
      <w:r>
        <w:rPr>
          <w:rFonts w:hint="eastAsia"/>
          <w:color w:val="auto"/>
          <w:highlight w:val="none"/>
        </w:rPr>
        <w:t>一、基本情况</w:t>
      </w:r>
    </w:p>
    <w:p w14:paraId="06700EFA">
      <w:pPr>
        <w:pStyle w:val="6"/>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14:paraId="3AE985D7">
      <w:pPr>
        <w:pStyle w:val="5"/>
        <w:ind w:firstLine="643"/>
        <w:rPr>
          <w:color w:val="auto"/>
          <w:highlight w:val="none"/>
        </w:rPr>
      </w:pPr>
      <w:r>
        <w:rPr>
          <w:rFonts w:hint="eastAsia"/>
          <w:color w:val="auto"/>
          <w:highlight w:val="none"/>
          <w:lang w:val="en-US" w:eastAsia="zh-CN"/>
        </w:rPr>
        <w:t>1.</w:t>
      </w:r>
      <w:r>
        <w:rPr>
          <w:rFonts w:hint="eastAsia"/>
          <w:color w:val="auto"/>
          <w:highlight w:val="none"/>
        </w:rPr>
        <w:t>项目概况</w:t>
      </w:r>
    </w:p>
    <w:p w14:paraId="493EA25C">
      <w:pPr>
        <w:pStyle w:val="6"/>
        <w:ind w:firstLine="562"/>
        <w:rPr>
          <w:rFonts w:hint="default" w:hAnsi="Times New Roman" w:cs="Times New Roman"/>
          <w:b w:val="0"/>
          <w:bCs/>
          <w:color w:val="auto"/>
          <w:kern w:val="2"/>
          <w:sz w:val="30"/>
          <w:szCs w:val="30"/>
          <w:highlight w:val="none"/>
          <w:lang w:val="en-US" w:eastAsia="zh-CN" w:bidi="ar-SA"/>
        </w:rPr>
      </w:pPr>
      <w:r>
        <w:rPr>
          <w:rFonts w:hint="eastAsia" w:hAnsi="Times New Roman" w:cs="Times New Roman"/>
          <w:b w:val="0"/>
          <w:bCs/>
          <w:color w:val="auto"/>
          <w:kern w:val="2"/>
          <w:sz w:val="30"/>
          <w:szCs w:val="30"/>
          <w:highlight w:val="none"/>
          <w:lang w:val="en-US" w:eastAsia="zh-CN" w:bidi="ar-SA"/>
        </w:rPr>
        <w:t>为保障托克逊县第二小学有序开展教育教学活动，托克逊县人民政府2023年度安排了2023年城乡义务教育生均公用经费县级配套（小学），主要用于保障学校电费、邮电费、办公费等正常支出。2023年城乡义务教育生均公用经费县级配套（小学）涉及资金合计16.07万元，项目主管部门为托克逊县教育局。</w:t>
      </w:r>
    </w:p>
    <w:p w14:paraId="77A2F984">
      <w:pPr>
        <w:pStyle w:val="6"/>
        <w:ind w:firstLine="562"/>
        <w:rPr>
          <w:color w:val="auto"/>
          <w:highlight w:val="none"/>
        </w:rPr>
      </w:pPr>
      <w:r>
        <w:rPr>
          <w:rFonts w:hint="eastAsia"/>
          <w:color w:val="auto"/>
          <w:highlight w:val="none"/>
        </w:rPr>
        <w:t>2.项目实施主体</w:t>
      </w:r>
    </w:p>
    <w:p w14:paraId="23B444B6">
      <w:pPr>
        <w:ind w:firstLine="562"/>
        <w:rPr>
          <w:rFonts w:hint="eastAsia"/>
          <w:b/>
          <w:color w:val="auto"/>
          <w:highlight w:val="none"/>
        </w:rPr>
      </w:pPr>
      <w:r>
        <w:rPr>
          <w:rFonts w:hint="eastAsia"/>
          <w:b/>
          <w:color w:val="auto"/>
          <w:highlight w:val="none"/>
        </w:rPr>
        <w:t>（1）单位职能</w:t>
      </w:r>
    </w:p>
    <w:p w14:paraId="73A26A92">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宣传贯彻执行党和国家的教育方针、政策、法律法规等，坚持依法治教、依法治学，贯彻执行</w:t>
      </w:r>
      <w:r>
        <w:rPr>
          <w:rFonts w:hint="eastAsia" w:ascii="仿宋_GB2312" w:cs="Times New Roman"/>
          <w:b w:val="0"/>
          <w:bCs/>
          <w:color w:val="auto"/>
          <w:kern w:val="2"/>
          <w:sz w:val="30"/>
          <w:szCs w:val="30"/>
          <w:highlight w:val="none"/>
          <w:lang w:val="en-US" w:eastAsia="zh-CN" w:bidi="ar-SA"/>
        </w:rPr>
        <w:t>县</w:t>
      </w:r>
      <w:r>
        <w:rPr>
          <w:rFonts w:hint="eastAsia" w:ascii="仿宋_GB2312" w:hAnsi="Times New Roman" w:eastAsia="仿宋_GB2312" w:cs="Times New Roman"/>
          <w:b w:val="0"/>
          <w:bCs/>
          <w:color w:val="auto"/>
          <w:kern w:val="2"/>
          <w:sz w:val="30"/>
          <w:szCs w:val="30"/>
          <w:highlight w:val="none"/>
          <w:lang w:val="en-US" w:eastAsia="zh-CN" w:bidi="ar-SA"/>
        </w:rPr>
        <w:t>教育局的行政规章制度。</w:t>
      </w:r>
    </w:p>
    <w:p w14:paraId="2C2F9A30">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配合县</w:t>
      </w:r>
      <w:r>
        <w:rPr>
          <w:rFonts w:hint="eastAsia" w:ascii="仿宋_GB2312" w:cs="Times New Roman"/>
          <w:b w:val="0"/>
          <w:bCs/>
          <w:color w:val="auto"/>
          <w:kern w:val="2"/>
          <w:sz w:val="30"/>
          <w:szCs w:val="30"/>
          <w:highlight w:val="none"/>
          <w:lang w:val="en-US" w:eastAsia="zh-CN" w:bidi="ar-SA"/>
        </w:rPr>
        <w:t>、镇</w:t>
      </w:r>
      <w:r>
        <w:rPr>
          <w:rFonts w:hint="eastAsia" w:ascii="仿宋_GB2312" w:hAnsi="Times New Roman" w:eastAsia="仿宋_GB2312" w:cs="Times New Roman"/>
          <w:b w:val="0"/>
          <w:bCs/>
          <w:color w:val="auto"/>
          <w:kern w:val="2"/>
          <w:sz w:val="30"/>
          <w:szCs w:val="30"/>
          <w:highlight w:val="none"/>
          <w:lang w:val="en-US" w:eastAsia="zh-CN" w:bidi="ar-SA"/>
        </w:rPr>
        <w:t>人民政府制定符合党的教育方针和国家教育法律法规以及本</w:t>
      </w:r>
      <w:r>
        <w:rPr>
          <w:rFonts w:hint="eastAsia" w:ascii="仿宋_GB2312" w:cs="Times New Roman"/>
          <w:b w:val="0"/>
          <w:bCs/>
          <w:color w:val="auto"/>
          <w:kern w:val="2"/>
          <w:sz w:val="30"/>
          <w:szCs w:val="30"/>
          <w:highlight w:val="none"/>
          <w:lang w:val="en-US" w:eastAsia="zh-CN" w:bidi="ar-SA"/>
        </w:rPr>
        <w:t>校</w:t>
      </w:r>
      <w:r>
        <w:rPr>
          <w:rFonts w:hint="eastAsia" w:ascii="仿宋_GB2312" w:hAnsi="Times New Roman" w:eastAsia="仿宋_GB2312" w:cs="Times New Roman"/>
          <w:b w:val="0"/>
          <w:bCs/>
          <w:color w:val="auto"/>
          <w:kern w:val="2"/>
          <w:sz w:val="30"/>
          <w:szCs w:val="30"/>
          <w:highlight w:val="none"/>
          <w:lang w:val="en-US" w:eastAsia="zh-CN" w:bidi="ar-SA"/>
        </w:rPr>
        <w:t>实际的教育发展规划和学校布局调整规划，并抓好组织实施和落实工作。</w:t>
      </w:r>
    </w:p>
    <w:p w14:paraId="7971F68C">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组织开展本</w:t>
      </w:r>
      <w:r>
        <w:rPr>
          <w:rFonts w:hint="eastAsia" w:ascii="仿宋_GB2312" w:cs="Times New Roman"/>
          <w:b w:val="0"/>
          <w:bCs/>
          <w:color w:val="auto"/>
          <w:kern w:val="2"/>
          <w:sz w:val="30"/>
          <w:szCs w:val="30"/>
          <w:highlight w:val="none"/>
          <w:lang w:val="en-US" w:eastAsia="zh-CN" w:bidi="ar-SA"/>
        </w:rPr>
        <w:t>校</w:t>
      </w:r>
      <w:r>
        <w:rPr>
          <w:rFonts w:hint="eastAsia" w:ascii="仿宋_GB2312" w:hAnsi="Times New Roman" w:eastAsia="仿宋_GB2312" w:cs="Times New Roman"/>
          <w:b w:val="0"/>
          <w:bCs/>
          <w:color w:val="auto"/>
          <w:kern w:val="2"/>
          <w:sz w:val="30"/>
          <w:szCs w:val="30"/>
          <w:highlight w:val="none"/>
          <w:lang w:val="en-US" w:eastAsia="zh-CN" w:bidi="ar-SA"/>
        </w:rPr>
        <w:t>的教育教学科研和教育教学改革，科研兴教，科研兴校。负责对本</w:t>
      </w:r>
      <w:r>
        <w:rPr>
          <w:rFonts w:hint="eastAsia" w:ascii="仿宋_GB2312" w:cs="Times New Roman"/>
          <w:b w:val="0"/>
          <w:bCs/>
          <w:color w:val="auto"/>
          <w:kern w:val="2"/>
          <w:sz w:val="30"/>
          <w:szCs w:val="30"/>
          <w:highlight w:val="none"/>
          <w:lang w:val="en-US" w:eastAsia="zh-CN" w:bidi="ar-SA"/>
        </w:rPr>
        <w:t>校</w:t>
      </w:r>
      <w:r>
        <w:rPr>
          <w:rFonts w:hint="eastAsia" w:ascii="仿宋_GB2312" w:hAnsi="Times New Roman" w:eastAsia="仿宋_GB2312" w:cs="Times New Roman"/>
          <w:b w:val="0"/>
          <w:bCs/>
          <w:color w:val="auto"/>
          <w:kern w:val="2"/>
          <w:sz w:val="30"/>
          <w:szCs w:val="30"/>
          <w:highlight w:val="none"/>
          <w:lang w:val="en-US" w:eastAsia="zh-CN" w:bidi="ar-SA"/>
        </w:rPr>
        <w:t xml:space="preserve">教育教学业务的具体管理，负责教育教学管理及教研教改工作，全力推进素质教育实施。 </w:t>
      </w:r>
    </w:p>
    <w:p w14:paraId="031FF677">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按照干部和教师的职数、编制和管理权限，负责本</w:t>
      </w:r>
      <w:r>
        <w:rPr>
          <w:rFonts w:hint="eastAsia" w:ascii="仿宋_GB2312" w:cs="Times New Roman"/>
          <w:b w:val="0"/>
          <w:bCs/>
          <w:color w:val="auto"/>
          <w:kern w:val="2"/>
          <w:sz w:val="30"/>
          <w:szCs w:val="30"/>
          <w:highlight w:val="none"/>
          <w:lang w:val="en-US" w:eastAsia="zh-CN" w:bidi="ar-SA"/>
        </w:rPr>
        <w:t>校</w:t>
      </w:r>
      <w:r>
        <w:rPr>
          <w:rFonts w:hint="eastAsia" w:ascii="仿宋_GB2312" w:hAnsi="Times New Roman" w:eastAsia="仿宋_GB2312" w:cs="Times New Roman"/>
          <w:b w:val="0"/>
          <w:bCs/>
          <w:color w:val="auto"/>
          <w:kern w:val="2"/>
          <w:sz w:val="30"/>
          <w:szCs w:val="30"/>
          <w:highlight w:val="none"/>
          <w:lang w:val="en-US" w:eastAsia="zh-CN" w:bidi="ar-SA"/>
        </w:rPr>
        <w:t>教师人事管理、继续教育、考核考评等工作。</w:t>
      </w:r>
    </w:p>
    <w:p w14:paraId="5F7FB358">
      <w:pPr>
        <w:pStyle w:val="11"/>
        <w:widowControl/>
        <w:shd w:val="clear" w:color="auto"/>
        <w:spacing w:beforeAutospacing="0" w:afterAutospacing="0" w:line="560" w:lineRule="exact"/>
        <w:ind w:firstLine="720" w:firstLineChars="240"/>
        <w:jc w:val="both"/>
        <w:rPr>
          <w:rFonts w:hint="eastAsia" w:ascii="仿宋_GB2312" w:hAnsi="Times New Roman" w:eastAsia="仿宋_GB2312" w:cs="Times New Roman"/>
          <w:b w:val="0"/>
          <w:bCs/>
          <w:color w:val="auto"/>
          <w:kern w:val="2"/>
          <w:sz w:val="30"/>
          <w:szCs w:val="30"/>
          <w:highlight w:val="none"/>
          <w:lang w:val="en-US" w:eastAsia="zh-CN" w:bidi="ar-SA"/>
        </w:rPr>
      </w:pPr>
      <w:r>
        <w:rPr>
          <w:rFonts w:hint="eastAsia" w:ascii="仿宋_GB2312" w:cs="Times New Roman"/>
          <w:b w:val="0"/>
          <w:bCs/>
          <w:color w:val="auto"/>
          <w:kern w:val="2"/>
          <w:sz w:val="30"/>
          <w:szCs w:val="30"/>
          <w:highlight w:val="none"/>
          <w:lang w:val="en-US" w:eastAsia="zh-CN" w:bidi="ar-SA"/>
        </w:rPr>
        <w:t>按照义务教育课程计划，开齐课程</w:t>
      </w:r>
      <w:r>
        <w:rPr>
          <w:rFonts w:hint="eastAsia" w:ascii="仿宋_GB2312" w:hAnsi="Times New Roman" w:eastAsia="仿宋_GB2312" w:cs="Times New Roman"/>
          <w:b w:val="0"/>
          <w:bCs/>
          <w:color w:val="auto"/>
          <w:kern w:val="2"/>
          <w:sz w:val="30"/>
          <w:szCs w:val="30"/>
          <w:highlight w:val="none"/>
          <w:lang w:val="en-US" w:eastAsia="zh-CN" w:bidi="ar-SA"/>
        </w:rPr>
        <w:t>。</w:t>
      </w:r>
      <w:r>
        <w:rPr>
          <w:rFonts w:hint="eastAsia" w:ascii="仿宋_GB2312" w:cs="Times New Roman"/>
          <w:b w:val="0"/>
          <w:bCs/>
          <w:color w:val="auto"/>
          <w:kern w:val="2"/>
          <w:sz w:val="30"/>
          <w:szCs w:val="30"/>
          <w:highlight w:val="none"/>
          <w:lang w:val="en-US" w:eastAsia="zh-CN" w:bidi="ar-SA"/>
        </w:rPr>
        <w:t>开足课时，认真实施学校的教育教学管理，全面推进素质教育，全面提高教育教学质量。</w:t>
      </w:r>
    </w:p>
    <w:p w14:paraId="580C7706">
      <w:pPr>
        <w:shd w:val="clea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14:paraId="6E61DC33">
      <w:pPr>
        <w:ind w:firstLine="560"/>
        <w:rPr>
          <w:rFonts w:hint="eastAsia"/>
          <w:color w:val="auto"/>
          <w:highlight w:val="none"/>
          <w:lang w:val="en-US" w:eastAsia="zh-CN"/>
        </w:rPr>
      </w:pPr>
      <w:r>
        <w:rPr>
          <w:rFonts w:hint="eastAsia"/>
          <w:color w:val="auto"/>
          <w:highlight w:val="none"/>
          <w:lang w:val="en-US" w:eastAsia="zh-CN"/>
        </w:rPr>
        <w:t>托克逊县第二小学单位无下属预算单位，下设有5个科室，主要有：办公室、财务室、教务处、德育办、安全办。托克逊县第二小学人员编制数共68人，年初实有在职人员86人，退休人员45人。年末实有在职人数83人，退休人员47人。</w:t>
      </w:r>
    </w:p>
    <w:p w14:paraId="0154E787">
      <w:pPr>
        <w:ind w:firstLine="560"/>
        <w:rPr>
          <w:rFonts w:hint="eastAsia"/>
          <w:color w:val="auto"/>
          <w:highlight w:val="none"/>
          <w:lang w:val="en-US" w:eastAsia="zh-CN"/>
        </w:rPr>
      </w:pPr>
      <w:r>
        <w:rPr>
          <w:rFonts w:hint="eastAsia"/>
          <w:color w:val="auto"/>
          <w:highlight w:val="none"/>
          <w:lang w:val="en-US" w:eastAsia="zh-CN"/>
        </w:rPr>
        <w:t>3.主要内容及实施情况</w:t>
      </w:r>
    </w:p>
    <w:p w14:paraId="4FDA18F9">
      <w:pPr>
        <w:ind w:firstLine="560"/>
        <w:rPr>
          <w:rFonts w:hint="eastAsia"/>
          <w:color w:val="auto"/>
          <w:highlight w:val="none"/>
          <w:lang w:val="en-US" w:eastAsia="zh-CN"/>
        </w:rPr>
      </w:pPr>
      <w:r>
        <w:rPr>
          <w:rFonts w:hint="eastAsia"/>
          <w:color w:val="auto"/>
          <w:highlight w:val="none"/>
          <w:lang w:val="en-US" w:eastAsia="zh-CN"/>
        </w:rPr>
        <w:t>项目名称：2023年城乡义务教育生均公用经费县级配套（小学）</w:t>
      </w:r>
    </w:p>
    <w:p w14:paraId="64F446BA">
      <w:pPr>
        <w:ind w:firstLine="560"/>
        <w:rPr>
          <w:rFonts w:hint="default"/>
          <w:color w:val="auto"/>
          <w:highlight w:val="none"/>
          <w:lang w:val="en-US" w:eastAsia="zh-CN"/>
        </w:rPr>
      </w:pPr>
      <w:r>
        <w:rPr>
          <w:rFonts w:hint="eastAsia"/>
          <w:color w:val="auto"/>
          <w:highlight w:val="none"/>
          <w:lang w:val="en-US" w:eastAsia="zh-CN"/>
        </w:rPr>
        <w:t>项目主要内容：该项经费主要用于保障我校正常运转，完成教育教学活动和其他日常工作任务等方面的支出，进一步规范和加强城乡义务教育学校公用经费管理，提高资金使用效益，推进义务教育均衡发展，确保义务教育阶段学生不因贫困而辍学。</w:t>
      </w:r>
    </w:p>
    <w:p w14:paraId="7308A8D0">
      <w:pPr>
        <w:ind w:firstLine="560"/>
        <w:rPr>
          <w:rFonts w:hint="eastAsia"/>
          <w:color w:val="auto"/>
          <w:highlight w:val="none"/>
          <w:lang w:val="en-US" w:eastAsia="zh-CN"/>
        </w:rPr>
      </w:pPr>
      <w:r>
        <w:rPr>
          <w:rFonts w:hint="eastAsia"/>
          <w:color w:val="auto"/>
          <w:highlight w:val="none"/>
          <w:lang w:val="en-US" w:eastAsia="zh-CN"/>
        </w:rPr>
        <w:t>项目实施时间：本项目实施时间为2023年1月-2023年12月</w:t>
      </w:r>
    </w:p>
    <w:p w14:paraId="38E83159">
      <w:pPr>
        <w:ind w:firstLine="560"/>
        <w:rPr>
          <w:rFonts w:hint="eastAsia"/>
          <w:color w:val="auto"/>
          <w:highlight w:val="none"/>
          <w:lang w:val="en-US" w:eastAsia="zh-CN"/>
        </w:rPr>
      </w:pPr>
      <w:r>
        <w:rPr>
          <w:rFonts w:hint="eastAsia"/>
          <w:color w:val="auto"/>
          <w:highlight w:val="none"/>
          <w:lang w:val="en-US" w:eastAsia="zh-CN"/>
        </w:rPr>
        <w:t>项目实施情况：</w:t>
      </w:r>
      <w:r>
        <w:rPr>
          <w:rFonts w:hint="default"/>
          <w:color w:val="auto"/>
          <w:highlight w:val="none"/>
          <w:lang w:val="en-US" w:eastAsia="zh-CN"/>
        </w:rPr>
        <w:t>2023年城乡义务教育生均公用经费县级配套（小学）</w:t>
      </w:r>
      <w:r>
        <w:rPr>
          <w:rFonts w:hint="eastAsia"/>
          <w:color w:val="auto"/>
          <w:highlight w:val="none"/>
          <w:lang w:val="en-US" w:eastAsia="zh-CN"/>
        </w:rPr>
        <w:t>资金根据2022年我校小学在校生人数和补助标准分配，2023年我校按照实际需要申请拨付，共计支出资金16.07万元，资金全部用于校园电费、办公费、培训费支出，有效保障了第二小学的基本运转，保证各项教育教学活动正常开展，促进了义务教育发展，保障了适龄入学儿童享受公平的义务教育。</w:t>
      </w:r>
    </w:p>
    <w:p w14:paraId="46FA8B88">
      <w:pPr>
        <w:ind w:firstLine="560"/>
        <w:rPr>
          <w:rFonts w:hint="eastAsia"/>
          <w:color w:val="auto"/>
          <w:highlight w:val="none"/>
          <w:lang w:val="en-US" w:eastAsia="zh-CN"/>
        </w:rPr>
      </w:pPr>
      <w:r>
        <w:rPr>
          <w:rFonts w:hint="eastAsia"/>
          <w:color w:val="auto"/>
          <w:highlight w:val="none"/>
          <w:lang w:val="en-US" w:eastAsia="zh-CN"/>
        </w:rPr>
        <w:t xml:space="preserve"> 2023年我校通过使用公用经费为1518名小学学生提供义务教育，确保了九年义务育保障机制政策按规定得到落实，一定程度减轻了家庭经济困难学生的经济负担，提高了我县农村义务教育阶段国语教育覆盖率，完善了城乡义务教育体系，持续推进了义务教育教育事业发展。</w:t>
      </w:r>
    </w:p>
    <w:p w14:paraId="751CD3B2">
      <w:pPr>
        <w:ind w:firstLine="560"/>
        <w:rPr>
          <w:rFonts w:hint="eastAsia"/>
          <w:color w:val="auto"/>
          <w:highlight w:val="none"/>
          <w:lang w:val="en-US" w:eastAsia="zh-CN"/>
        </w:rPr>
      </w:pPr>
      <w:r>
        <w:rPr>
          <w:rFonts w:hint="eastAsia"/>
          <w:color w:val="auto"/>
          <w:highlight w:val="none"/>
          <w:lang w:val="en-US" w:eastAsia="zh-CN"/>
        </w:rPr>
        <w:t>4.资金投入和使用情况</w:t>
      </w:r>
    </w:p>
    <w:p w14:paraId="48F4E1ED">
      <w:pPr>
        <w:ind w:firstLine="560"/>
        <w:rPr>
          <w:rFonts w:hint="eastAsia"/>
          <w:color w:val="auto"/>
          <w:highlight w:val="none"/>
          <w:lang w:val="en-US" w:eastAsia="zh-CN"/>
        </w:rPr>
      </w:pPr>
      <w:r>
        <w:rPr>
          <w:rFonts w:hint="eastAsia"/>
          <w:color w:val="auto"/>
          <w:highlight w:val="none"/>
          <w:lang w:val="en-US" w:eastAsia="zh-CN"/>
        </w:rPr>
        <w:t>（1）项目资金安排落实、总投入等情况分析</w:t>
      </w:r>
    </w:p>
    <w:p w14:paraId="33F5BB1C">
      <w:pPr>
        <w:ind w:firstLine="560"/>
        <w:rPr>
          <w:rFonts w:hint="eastAsia"/>
          <w:color w:val="auto"/>
          <w:highlight w:val="none"/>
          <w:lang w:val="en-US" w:eastAsia="zh-CN"/>
        </w:rPr>
      </w:pPr>
      <w:r>
        <w:rPr>
          <w:rFonts w:hint="eastAsia"/>
          <w:color w:val="auto"/>
          <w:highlight w:val="none"/>
          <w:lang w:val="en-US" w:eastAsia="zh-CN"/>
        </w:rPr>
        <w:t>托克逊县第二小学城乡义务教育生均公用经费县级配套（小学）项目中县级配套资金16.07万元，其他资金0万元，2023年实际收到预算资金16.07万元，预算资金到位率为100%。</w:t>
      </w:r>
    </w:p>
    <w:p w14:paraId="61E2800F">
      <w:pPr>
        <w:ind w:firstLine="560"/>
        <w:rPr>
          <w:rFonts w:hint="eastAsia"/>
          <w:color w:val="auto"/>
          <w:highlight w:val="none"/>
          <w:lang w:val="en-US" w:eastAsia="zh-CN"/>
        </w:rPr>
      </w:pPr>
      <w:r>
        <w:rPr>
          <w:rFonts w:hint="eastAsia"/>
          <w:color w:val="auto"/>
          <w:highlight w:val="none"/>
          <w:lang w:val="en-US" w:eastAsia="zh-CN"/>
        </w:rPr>
        <w:t>（2）项目资金实际使用情况分析</w:t>
      </w:r>
    </w:p>
    <w:p w14:paraId="49611691">
      <w:pPr>
        <w:ind w:firstLine="560"/>
        <w:rPr>
          <w:rFonts w:hint="eastAsia"/>
          <w:color w:val="auto"/>
          <w:highlight w:val="none"/>
          <w:lang w:val="en-US" w:eastAsia="zh-CN"/>
        </w:rPr>
      </w:pPr>
      <w:r>
        <w:rPr>
          <w:rFonts w:hint="eastAsia"/>
          <w:color w:val="auto"/>
          <w:highlight w:val="none"/>
          <w:lang w:val="en-US" w:eastAsia="zh-CN"/>
        </w:rPr>
        <w:t>截止到2023年12月31日，本项目实际支付资金16.07万元，预算执行率100%。项目资金主要用于支付办公费2.60455万元，水费1.44225万元，电费2万元，邮电费2万元，维修费6.3212万元，培训费0.9476万元，其他商品和服务支出0.7540元。</w:t>
      </w:r>
    </w:p>
    <w:p w14:paraId="7691442A">
      <w:pPr>
        <w:ind w:firstLine="560"/>
        <w:rPr>
          <w:rFonts w:hint="eastAsia"/>
          <w:color w:val="auto"/>
          <w:highlight w:val="none"/>
          <w:lang w:val="en-US" w:eastAsia="zh-CN"/>
        </w:rPr>
      </w:pPr>
      <w:r>
        <w:rPr>
          <w:rFonts w:hint="eastAsia"/>
          <w:color w:val="auto"/>
          <w:highlight w:val="none"/>
          <w:lang w:val="en-US" w:eastAsia="zh-CN"/>
        </w:rPr>
        <w:t>（二）项目绩效目标</w:t>
      </w:r>
    </w:p>
    <w:p w14:paraId="62103095">
      <w:pPr>
        <w:ind w:firstLine="560"/>
        <w:rPr>
          <w:rFonts w:hint="eastAsia"/>
          <w:color w:val="auto"/>
          <w:highlight w:val="none"/>
          <w:lang w:val="en-US" w:eastAsia="zh-CN"/>
        </w:rPr>
      </w:pPr>
      <w:r>
        <w:rPr>
          <w:rFonts w:hint="eastAsia"/>
          <w:color w:val="auto"/>
          <w:highlight w:val="none"/>
          <w:lang w:val="en-US" w:eastAsia="zh-CN"/>
        </w:rPr>
        <w:t>1.总体目标</w:t>
      </w:r>
    </w:p>
    <w:p w14:paraId="360E58DF">
      <w:pPr>
        <w:ind w:firstLine="560"/>
        <w:rPr>
          <w:rFonts w:hint="default"/>
          <w:color w:val="auto"/>
          <w:highlight w:val="none"/>
          <w:lang w:val="en-US" w:eastAsia="zh-CN"/>
        </w:rPr>
      </w:pPr>
      <w:r>
        <w:rPr>
          <w:rFonts w:hint="eastAsia"/>
          <w:color w:val="auto"/>
          <w:highlight w:val="none"/>
          <w:lang w:val="en-US" w:eastAsia="zh-CN"/>
        </w:rPr>
        <w:t>本项目绩效总体目标为：保障1518名学生享受城乡九年义务教育，改善学生教育教学环境、提高教育教学质量。 进一步优化教育机构，促进教育公平，优化结构，优先保障、强化管理，最终提高教育经费使用效益。</w:t>
      </w:r>
    </w:p>
    <w:p w14:paraId="4BC0BCC2">
      <w:pPr>
        <w:ind w:firstLine="560"/>
        <w:rPr>
          <w:rFonts w:hint="eastAsia"/>
          <w:color w:val="auto"/>
          <w:highlight w:val="none"/>
          <w:lang w:val="en-US" w:eastAsia="zh-CN"/>
        </w:rPr>
      </w:pPr>
      <w:r>
        <w:rPr>
          <w:rFonts w:hint="eastAsia"/>
          <w:color w:val="auto"/>
          <w:highlight w:val="none"/>
          <w:lang w:val="en-US" w:eastAsia="zh-CN"/>
        </w:rPr>
        <w:t>2.阶段性目标</w:t>
      </w:r>
    </w:p>
    <w:p w14:paraId="12821AB1">
      <w:pPr>
        <w:ind w:firstLine="560"/>
        <w:rPr>
          <w:rFonts w:hint="eastAsia" w:hAnsi="Arial" w:cs="宋体"/>
          <w:bCs/>
          <w:color w:val="auto"/>
          <w:highlight w:val="none"/>
        </w:rPr>
      </w:pPr>
      <w:r>
        <w:rPr>
          <w:rFonts w:hint="eastAsia"/>
          <w:color w:val="auto"/>
          <w:highlight w:val="none"/>
          <w:lang w:val="en-US" w:eastAsia="zh-CN"/>
        </w:rPr>
        <w:t>根据《预算法》、《财政支出绩效评价管理暂行办法》（财预〔2020〕10</w:t>
      </w:r>
      <w:r>
        <w:rPr>
          <w:rFonts w:hint="eastAsia" w:hAnsi="Arial" w:cs="宋体"/>
          <w:bCs/>
          <w:color w:val="auto"/>
          <w:highlight w:val="none"/>
        </w:rPr>
        <w:t>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25EE6A17">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5D12E838">
      <w:pPr>
        <w:ind w:firstLine="560"/>
        <w:rPr>
          <w:color w:val="auto"/>
          <w:highlight w:val="none"/>
        </w:rPr>
      </w:pPr>
      <w:r>
        <w:rPr>
          <w:rFonts w:hint="eastAsia"/>
          <w:color w:val="auto"/>
          <w:highlight w:val="none"/>
        </w:rPr>
        <w:t>①数量指标</w:t>
      </w:r>
    </w:p>
    <w:p w14:paraId="3A9FA205">
      <w:pPr>
        <w:ind w:firstLine="560"/>
        <w:rPr>
          <w:rFonts w:hint="eastAsia"/>
          <w:color w:val="auto"/>
          <w:highlight w:val="none"/>
        </w:rPr>
      </w:pPr>
      <w:r>
        <w:rPr>
          <w:rFonts w:hint="eastAsia"/>
          <w:color w:val="auto"/>
          <w:highlight w:val="none"/>
        </w:rPr>
        <w:t>“享受义务教育（小学阶段）学生数量”指标，预期指标值为</w:t>
      </w:r>
      <w:r>
        <w:rPr>
          <w:rFonts w:hint="eastAsia"/>
          <w:color w:val="auto"/>
          <w:highlight w:val="none"/>
          <w:lang w:val="en-US" w:eastAsia="zh-CN"/>
        </w:rPr>
        <w:t>1518人</w:t>
      </w:r>
      <w:r>
        <w:rPr>
          <w:rFonts w:hint="eastAsia"/>
          <w:color w:val="auto"/>
          <w:highlight w:val="none"/>
        </w:rPr>
        <w:t>；</w:t>
      </w:r>
    </w:p>
    <w:p w14:paraId="56148B35">
      <w:pPr>
        <w:ind w:firstLine="560"/>
        <w:rPr>
          <w:rFonts w:hint="eastAsia"/>
          <w:color w:val="auto"/>
          <w:highlight w:val="none"/>
        </w:rPr>
      </w:pPr>
      <w:r>
        <w:rPr>
          <w:rFonts w:hint="eastAsia"/>
          <w:color w:val="auto"/>
          <w:highlight w:val="none"/>
        </w:rPr>
        <w:t>“</w:t>
      </w:r>
      <w:r>
        <w:rPr>
          <w:rFonts w:hint="eastAsia"/>
          <w:color w:val="auto"/>
          <w:highlight w:val="none"/>
          <w:lang w:eastAsia="zh-CN"/>
        </w:rPr>
        <w:t>学生取暖费补助人数</w:t>
      </w:r>
      <w:r>
        <w:rPr>
          <w:rFonts w:hint="eastAsia"/>
          <w:color w:val="auto"/>
          <w:highlight w:val="none"/>
        </w:rPr>
        <w:t>”指标，预期指标值为</w:t>
      </w:r>
      <w:r>
        <w:rPr>
          <w:rFonts w:hint="eastAsia"/>
          <w:color w:val="auto"/>
          <w:highlight w:val="none"/>
          <w:lang w:val="en-US" w:eastAsia="zh-CN"/>
        </w:rPr>
        <w:t>1518人</w:t>
      </w:r>
      <w:r>
        <w:rPr>
          <w:rFonts w:hint="eastAsia"/>
          <w:color w:val="auto"/>
          <w:highlight w:val="none"/>
        </w:rPr>
        <w:t>。</w:t>
      </w:r>
    </w:p>
    <w:p w14:paraId="4EFA280F">
      <w:pPr>
        <w:ind w:firstLine="560"/>
        <w:rPr>
          <w:color w:val="auto"/>
          <w:highlight w:val="none"/>
        </w:rPr>
      </w:pPr>
      <w:r>
        <w:rPr>
          <w:rFonts w:hint="eastAsia"/>
          <w:color w:val="auto"/>
          <w:highlight w:val="none"/>
        </w:rPr>
        <w:t>②质量指标</w:t>
      </w:r>
    </w:p>
    <w:p w14:paraId="0D529059">
      <w:pPr>
        <w:ind w:firstLine="560"/>
        <w:rPr>
          <w:color w:val="auto"/>
          <w:highlight w:val="none"/>
        </w:rPr>
      </w:pPr>
      <w:r>
        <w:rPr>
          <w:rFonts w:hint="eastAsia"/>
          <w:color w:val="auto"/>
          <w:highlight w:val="none"/>
        </w:rPr>
        <w:t>“</w:t>
      </w:r>
      <w:r>
        <w:rPr>
          <w:rFonts w:hint="eastAsia"/>
          <w:color w:val="auto"/>
          <w:highlight w:val="none"/>
          <w:lang w:eastAsia="zh-CN"/>
        </w:rPr>
        <w:t>九年义务教育巩固率</w:t>
      </w:r>
      <w:r>
        <w:rPr>
          <w:rFonts w:hint="eastAsia"/>
          <w:color w:val="auto"/>
          <w:highlight w:val="none"/>
        </w:rPr>
        <w:t>”指标，预期指标值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434BF779">
      <w:pPr>
        <w:ind w:firstLine="560"/>
        <w:rPr>
          <w:rFonts w:hint="eastAsia"/>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3424260E">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74BC2FBD">
      <w:pPr>
        <w:ind w:firstLine="560"/>
        <w:rPr>
          <w:rFonts w:hint="default"/>
          <w:color w:val="auto"/>
          <w:highlight w:val="none"/>
          <w:lang w:val="en-US" w:eastAsia="zh-CN"/>
        </w:rPr>
      </w:pPr>
      <w:r>
        <w:rPr>
          <w:rFonts w:hint="eastAsia"/>
          <w:color w:val="auto"/>
          <w:highlight w:val="none"/>
          <w:lang w:eastAsia="zh-CN"/>
        </w:rPr>
        <w:t>“</w:t>
      </w:r>
      <w:r>
        <w:rPr>
          <w:rFonts w:hint="eastAsia"/>
          <w:color w:val="auto"/>
          <w:highlight w:val="none"/>
        </w:rPr>
        <w:t>资金拨付及时率</w:t>
      </w:r>
      <w:r>
        <w:rPr>
          <w:rFonts w:hint="eastAsia"/>
          <w:color w:val="auto"/>
          <w:highlight w:val="none"/>
          <w:lang w:eastAsia="zh-CN"/>
        </w:rPr>
        <w:t>”指标，预期指标值为</w:t>
      </w:r>
      <w:r>
        <w:rPr>
          <w:rFonts w:hint="eastAsia"/>
          <w:color w:val="auto"/>
          <w:highlight w:val="none"/>
          <w:lang w:val="en-US" w:eastAsia="zh-CN"/>
        </w:rPr>
        <w:t>100%。</w:t>
      </w:r>
    </w:p>
    <w:p w14:paraId="2982B5EF">
      <w:pPr>
        <w:ind w:firstLine="562"/>
        <w:rPr>
          <w:rFonts w:hint="eastAsia"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color w:val="auto"/>
          <w:highlight w:val="none"/>
          <w:lang w:eastAsia="zh-CN"/>
        </w:rPr>
        <w:t>项目</w:t>
      </w:r>
      <w:r>
        <w:rPr>
          <w:rFonts w:hint="eastAsia" w:ascii="仿宋" w:hAnsi="仿宋" w:eastAsia="仿宋"/>
          <w:b/>
          <w:color w:val="auto"/>
          <w:highlight w:val="none"/>
        </w:rPr>
        <w:t>成本指标</w:t>
      </w:r>
    </w:p>
    <w:p w14:paraId="17030EB1">
      <w:pPr>
        <w:ind w:firstLine="560"/>
        <w:rPr>
          <w:rFonts w:hint="eastAsia"/>
          <w:color w:val="auto"/>
          <w:highlight w:val="none"/>
        </w:rPr>
      </w:pPr>
      <w:r>
        <w:rPr>
          <w:rFonts w:hint="eastAsia"/>
          <w:color w:val="auto"/>
          <w:highlight w:val="none"/>
        </w:rPr>
        <w:t>①经济</w:t>
      </w:r>
      <w:r>
        <w:rPr>
          <w:rFonts w:hint="eastAsia"/>
          <w:color w:val="auto"/>
          <w:highlight w:val="none"/>
          <w:lang w:eastAsia="zh-CN"/>
        </w:rPr>
        <w:t>成本</w:t>
      </w:r>
      <w:r>
        <w:rPr>
          <w:rFonts w:hint="eastAsia"/>
          <w:color w:val="auto"/>
          <w:highlight w:val="none"/>
        </w:rPr>
        <w:t>指标</w:t>
      </w:r>
    </w:p>
    <w:p w14:paraId="695D463C">
      <w:pPr>
        <w:ind w:firstLine="560"/>
        <w:rPr>
          <w:color w:val="auto"/>
          <w:highlight w:val="none"/>
        </w:rPr>
      </w:pPr>
      <w:r>
        <w:rPr>
          <w:rFonts w:hint="eastAsia"/>
          <w:color w:val="auto"/>
          <w:highlight w:val="none"/>
        </w:rPr>
        <w:t>“</w:t>
      </w:r>
      <w:r>
        <w:rPr>
          <w:rFonts w:hint="eastAsia"/>
          <w:color w:val="auto"/>
          <w:highlight w:val="none"/>
          <w:lang w:eastAsia="zh-CN"/>
        </w:rPr>
        <w:t>义务教育小学阶段公用经费生均标准</w:t>
      </w:r>
      <w:r>
        <w:rPr>
          <w:rFonts w:hint="eastAsia"/>
          <w:color w:val="auto"/>
          <w:highlight w:val="none"/>
        </w:rPr>
        <w:t>”指标，预期指标值</w:t>
      </w:r>
      <w:r>
        <w:rPr>
          <w:rFonts w:hint="eastAsia"/>
          <w:color w:val="auto"/>
          <w:highlight w:val="none"/>
          <w:lang w:eastAsia="zh-CN"/>
        </w:rPr>
        <w:t>为</w:t>
      </w:r>
      <w:r>
        <w:rPr>
          <w:rFonts w:hint="eastAsia"/>
          <w:color w:val="auto"/>
          <w:highlight w:val="none"/>
          <w:lang w:val="en-US" w:eastAsia="zh-CN"/>
        </w:rPr>
        <w:t>91元/学年</w:t>
      </w:r>
      <w:r>
        <w:rPr>
          <w:rFonts w:hint="eastAsia"/>
          <w:color w:val="auto"/>
          <w:highlight w:val="none"/>
        </w:rPr>
        <w:t>；</w:t>
      </w:r>
    </w:p>
    <w:p w14:paraId="20A9385B">
      <w:pPr>
        <w:ind w:firstLine="560"/>
        <w:rPr>
          <w:color w:val="auto"/>
          <w:highlight w:val="none"/>
        </w:rPr>
      </w:pPr>
      <w:r>
        <w:rPr>
          <w:rFonts w:hint="eastAsia"/>
          <w:color w:val="auto"/>
          <w:highlight w:val="none"/>
        </w:rPr>
        <w:t>“</w:t>
      </w:r>
      <w:r>
        <w:rPr>
          <w:rFonts w:hint="eastAsia"/>
          <w:color w:val="auto"/>
          <w:highlight w:val="none"/>
          <w:lang w:eastAsia="zh-CN"/>
        </w:rPr>
        <w:t>学生取暖费生均补助标准</w:t>
      </w:r>
      <w:r>
        <w:rPr>
          <w:rFonts w:hint="eastAsia"/>
          <w:color w:val="auto"/>
          <w:highlight w:val="none"/>
        </w:rPr>
        <w:t>”指标，预期指标值</w:t>
      </w:r>
      <w:r>
        <w:rPr>
          <w:rFonts w:hint="eastAsia"/>
          <w:color w:val="auto"/>
          <w:highlight w:val="none"/>
          <w:lang w:eastAsia="zh-CN"/>
        </w:rPr>
        <w:t>为</w:t>
      </w:r>
      <w:r>
        <w:rPr>
          <w:rFonts w:hint="eastAsia"/>
          <w:color w:val="auto"/>
          <w:highlight w:val="none"/>
          <w:lang w:val="en-US" w:eastAsia="zh-CN"/>
        </w:rPr>
        <w:t>12元/学年</w:t>
      </w:r>
      <w:r>
        <w:rPr>
          <w:rFonts w:hint="eastAsia"/>
          <w:color w:val="auto"/>
          <w:highlight w:val="none"/>
        </w:rPr>
        <w:t>；</w:t>
      </w:r>
    </w:p>
    <w:p w14:paraId="79D3F33C">
      <w:pPr>
        <w:ind w:firstLine="562"/>
        <w:rPr>
          <w:rFonts w:hint="eastAsia"/>
          <w:color w:val="auto"/>
          <w:highlight w:val="none"/>
        </w:rPr>
      </w:pPr>
      <w:r>
        <w:rPr>
          <w:rFonts w:hint="eastAsia"/>
          <w:color w:val="auto"/>
          <w:highlight w:val="none"/>
        </w:rPr>
        <w:t>“</w:t>
      </w:r>
      <w:r>
        <w:rPr>
          <w:rFonts w:hint="eastAsia"/>
          <w:color w:val="auto"/>
          <w:highlight w:val="none"/>
          <w:lang w:eastAsia="zh-CN"/>
        </w:rPr>
        <w:t>义务教育小学阶段公用经费人员变动预拨资金</w:t>
      </w:r>
      <w:r>
        <w:rPr>
          <w:rFonts w:hint="eastAsia"/>
          <w:color w:val="auto"/>
          <w:highlight w:val="none"/>
        </w:rPr>
        <w:t>”指标，预期指标值为</w:t>
      </w:r>
      <w:r>
        <w:rPr>
          <w:rFonts w:hint="eastAsia"/>
          <w:color w:val="auto"/>
          <w:highlight w:val="none"/>
          <w:lang w:val="en-US" w:eastAsia="zh-CN"/>
        </w:rPr>
        <w:t>4497.8元</w:t>
      </w:r>
      <w:r>
        <w:rPr>
          <w:rFonts w:hint="eastAsia"/>
          <w:color w:val="auto"/>
          <w:highlight w:val="none"/>
        </w:rPr>
        <w:t>。</w:t>
      </w:r>
    </w:p>
    <w:p w14:paraId="3AAEE47E">
      <w:pPr>
        <w:ind w:firstLine="560"/>
        <w:rPr>
          <w:rFonts w:hint="eastAsia"/>
          <w:color w:val="auto"/>
          <w:highlight w:val="none"/>
        </w:rPr>
      </w:pPr>
      <w:r>
        <w:rPr>
          <w:rFonts w:hint="eastAsia"/>
          <w:color w:val="auto"/>
          <w:highlight w:val="none"/>
        </w:rPr>
        <w:t>②社会</w:t>
      </w:r>
      <w:r>
        <w:rPr>
          <w:rFonts w:hint="eastAsia"/>
          <w:color w:val="auto"/>
          <w:highlight w:val="none"/>
          <w:lang w:eastAsia="zh-CN"/>
        </w:rPr>
        <w:t>成本</w:t>
      </w:r>
      <w:r>
        <w:rPr>
          <w:rFonts w:hint="eastAsia"/>
          <w:color w:val="auto"/>
          <w:highlight w:val="none"/>
        </w:rPr>
        <w:t>指标</w:t>
      </w:r>
    </w:p>
    <w:p w14:paraId="5ABE450C">
      <w:pPr>
        <w:ind w:firstLine="560"/>
        <w:rPr>
          <w:rFonts w:hint="eastAsia"/>
          <w:color w:val="auto"/>
          <w:highlight w:val="none"/>
          <w:lang w:val="en-US" w:eastAsia="zh-CN"/>
        </w:rPr>
      </w:pPr>
      <w:r>
        <w:rPr>
          <w:rFonts w:hint="eastAsia"/>
          <w:color w:val="auto"/>
          <w:highlight w:val="none"/>
          <w:lang w:val="en-US" w:eastAsia="zh-CN"/>
        </w:rPr>
        <w:t>无</w:t>
      </w:r>
    </w:p>
    <w:p w14:paraId="6931804E">
      <w:pPr>
        <w:ind w:firstLine="560"/>
        <w:rPr>
          <w:color w:val="auto"/>
          <w:highlight w:val="none"/>
        </w:rPr>
      </w:pPr>
      <w:r>
        <w:rPr>
          <w:rFonts w:hint="eastAsia"/>
          <w:color w:val="auto"/>
          <w:highlight w:val="none"/>
        </w:rPr>
        <w:t>③</w:t>
      </w:r>
      <w:r>
        <w:rPr>
          <w:rFonts w:hint="eastAsia"/>
          <w:color w:val="auto"/>
          <w:highlight w:val="none"/>
          <w:lang w:eastAsia="zh-CN"/>
        </w:rPr>
        <w:t>生态环境成本</w:t>
      </w:r>
      <w:r>
        <w:rPr>
          <w:rFonts w:hint="eastAsia"/>
          <w:color w:val="auto"/>
          <w:highlight w:val="none"/>
        </w:rPr>
        <w:t>指标</w:t>
      </w:r>
    </w:p>
    <w:p w14:paraId="6A64F24A">
      <w:pPr>
        <w:ind w:firstLine="560"/>
        <w:rPr>
          <w:rFonts w:hint="eastAsia"/>
          <w:highlight w:val="none"/>
        </w:rPr>
      </w:pPr>
      <w:r>
        <w:rPr>
          <w:rFonts w:hint="eastAsia"/>
          <w:color w:val="auto"/>
          <w:highlight w:val="none"/>
          <w:lang w:val="en-US" w:eastAsia="zh-CN"/>
        </w:rPr>
        <w:t>无</w:t>
      </w:r>
    </w:p>
    <w:p w14:paraId="66FAF38A">
      <w:pPr>
        <w:ind w:firstLine="562"/>
        <w:rPr>
          <w:rFonts w:ascii="仿宋" w:hAnsi="仿宋" w:eastAsia="仿宋"/>
          <w:b/>
          <w:color w:val="auto"/>
          <w:highlight w:val="none"/>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3</w:t>
      </w:r>
      <w:r>
        <w:rPr>
          <w:rFonts w:hint="eastAsia" w:ascii="仿宋" w:hAnsi="仿宋" w:eastAsia="仿宋"/>
          <w:b/>
          <w:color w:val="auto"/>
          <w:highlight w:val="none"/>
        </w:rPr>
        <w:t>）项目效益目标</w:t>
      </w:r>
    </w:p>
    <w:p w14:paraId="48953D8D">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14:paraId="4EBD68F6">
      <w:pPr>
        <w:ind w:firstLine="560"/>
        <w:rPr>
          <w:rFonts w:hint="eastAsia"/>
          <w:color w:val="auto"/>
          <w:highlight w:val="none"/>
          <w:lang w:val="en-US" w:eastAsia="zh-CN"/>
        </w:rPr>
      </w:pPr>
      <w:r>
        <w:rPr>
          <w:rFonts w:hint="eastAsia"/>
          <w:color w:val="auto"/>
          <w:highlight w:val="none"/>
          <w:lang w:val="en-US" w:eastAsia="zh-CN"/>
        </w:rPr>
        <w:t>无</w:t>
      </w:r>
    </w:p>
    <w:p w14:paraId="36A428DC">
      <w:pPr>
        <w:ind w:firstLine="560"/>
        <w:rPr>
          <w:color w:val="auto"/>
          <w:highlight w:val="none"/>
        </w:rPr>
      </w:pPr>
      <w:r>
        <w:rPr>
          <w:rFonts w:hint="eastAsia"/>
          <w:color w:val="auto"/>
          <w:highlight w:val="none"/>
        </w:rPr>
        <w:t>②社会效益指标</w:t>
      </w:r>
    </w:p>
    <w:p w14:paraId="22591A1B">
      <w:pPr>
        <w:ind w:firstLine="560"/>
        <w:rPr>
          <w:color w:val="auto"/>
          <w:highlight w:val="none"/>
        </w:rPr>
      </w:pPr>
      <w:r>
        <w:rPr>
          <w:rFonts w:hint="eastAsia"/>
          <w:color w:val="auto"/>
          <w:highlight w:val="none"/>
        </w:rPr>
        <w:t>“</w:t>
      </w:r>
      <w:r>
        <w:rPr>
          <w:rFonts w:hint="eastAsia"/>
          <w:color w:val="auto"/>
          <w:highlight w:val="none"/>
          <w:lang w:eastAsia="zh-CN"/>
        </w:rPr>
        <w:t>保障学生义务教育，促进教育公平</w:t>
      </w:r>
      <w:r>
        <w:rPr>
          <w:rFonts w:hint="eastAsia"/>
          <w:color w:val="auto"/>
          <w:highlight w:val="none"/>
        </w:rPr>
        <w:t>”指标，预期指标值为有效</w:t>
      </w:r>
      <w:r>
        <w:rPr>
          <w:rFonts w:hint="eastAsia"/>
          <w:color w:val="auto"/>
          <w:highlight w:val="none"/>
          <w:lang w:val="en-US" w:eastAsia="zh-CN"/>
        </w:rPr>
        <w:t>保障</w:t>
      </w:r>
      <w:r>
        <w:rPr>
          <w:rFonts w:hint="eastAsia"/>
          <w:color w:val="auto"/>
          <w:highlight w:val="none"/>
        </w:rPr>
        <w:t>；</w:t>
      </w:r>
    </w:p>
    <w:p w14:paraId="1B9210B8">
      <w:pPr>
        <w:ind w:firstLine="560"/>
        <w:rPr>
          <w:color w:val="auto"/>
          <w:highlight w:val="none"/>
        </w:rPr>
      </w:pPr>
      <w:r>
        <w:rPr>
          <w:rFonts w:hint="eastAsia"/>
          <w:color w:val="auto"/>
          <w:highlight w:val="none"/>
        </w:rPr>
        <w:t>“</w:t>
      </w:r>
      <w:r>
        <w:rPr>
          <w:rFonts w:hint="eastAsia"/>
          <w:color w:val="auto"/>
          <w:highlight w:val="none"/>
          <w:lang w:eastAsia="zh-CN"/>
        </w:rPr>
        <w:t>减轻学生就学经济负担</w:t>
      </w:r>
      <w:r>
        <w:rPr>
          <w:rFonts w:hint="eastAsia"/>
          <w:color w:val="auto"/>
          <w:highlight w:val="none"/>
        </w:rPr>
        <w:t>”指标，预期指标值为有效</w:t>
      </w:r>
      <w:r>
        <w:rPr>
          <w:rFonts w:hint="eastAsia"/>
          <w:color w:val="auto"/>
          <w:highlight w:val="none"/>
          <w:lang w:val="en-US" w:eastAsia="zh-CN"/>
        </w:rPr>
        <w:t>减轻</w:t>
      </w:r>
      <w:r>
        <w:rPr>
          <w:rFonts w:hint="eastAsia"/>
          <w:color w:val="auto"/>
          <w:highlight w:val="none"/>
        </w:rPr>
        <w:t>。</w:t>
      </w:r>
    </w:p>
    <w:p w14:paraId="4AB38AF0">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14:paraId="75B2C4E7">
      <w:pPr>
        <w:ind w:firstLine="560"/>
        <w:rPr>
          <w:color w:val="auto"/>
          <w:highlight w:val="none"/>
        </w:rPr>
      </w:pPr>
      <w:r>
        <w:rPr>
          <w:rFonts w:hint="eastAsia"/>
          <w:color w:val="auto"/>
          <w:highlight w:val="none"/>
          <w:lang w:val="en-US" w:eastAsia="zh-CN"/>
        </w:rPr>
        <w:t>无。</w:t>
      </w:r>
    </w:p>
    <w:p w14:paraId="3DC5CEF9">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066A207D">
      <w:pPr>
        <w:ind w:firstLine="560"/>
        <w:rPr>
          <w:color w:val="auto"/>
          <w:highlight w:val="none"/>
        </w:rPr>
      </w:pPr>
      <w:r>
        <w:rPr>
          <w:rFonts w:hint="eastAsia"/>
          <w:color w:val="auto"/>
          <w:highlight w:val="none"/>
        </w:rPr>
        <w:t>①满意度指标</w:t>
      </w:r>
    </w:p>
    <w:p w14:paraId="7B951002">
      <w:pPr>
        <w:ind w:firstLine="560"/>
        <w:rPr>
          <w:rFonts w:hint="eastAsia"/>
          <w:color w:val="auto"/>
          <w:highlight w:val="none"/>
        </w:rPr>
      </w:pPr>
      <w:r>
        <w:rPr>
          <w:rFonts w:hint="eastAsia"/>
          <w:color w:val="auto"/>
          <w:highlight w:val="none"/>
        </w:rPr>
        <w:t>“</w:t>
      </w:r>
      <w:r>
        <w:rPr>
          <w:rFonts w:hint="eastAsia"/>
          <w:color w:val="auto"/>
          <w:highlight w:val="none"/>
          <w:lang w:eastAsia="zh-CN"/>
        </w:rPr>
        <w:t>学生和老师的满意度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436D497D">
      <w:pPr>
        <w:pStyle w:val="16"/>
        <w:ind w:left="0" w:leftChars="0" w:firstLine="560" w:firstLineChars="200"/>
        <w:rPr>
          <w:highlight w:val="none"/>
        </w:rPr>
      </w:pPr>
      <w:r>
        <w:rPr>
          <w:rFonts w:hint="eastAsia"/>
          <w:color w:val="auto"/>
          <w:highlight w:val="none"/>
        </w:rPr>
        <w:t>“</w:t>
      </w:r>
      <w:r>
        <w:rPr>
          <w:rFonts w:hint="eastAsia"/>
          <w:color w:val="auto"/>
          <w:highlight w:val="none"/>
          <w:lang w:eastAsia="zh-CN"/>
        </w:rPr>
        <w:t>家长的满意度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4CFBF705">
      <w:pPr>
        <w:pStyle w:val="4"/>
        <w:ind w:firstLine="640"/>
        <w:rPr>
          <w:color w:val="auto"/>
          <w:highlight w:val="none"/>
        </w:rPr>
      </w:pPr>
      <w:r>
        <w:rPr>
          <w:rFonts w:hint="eastAsia"/>
          <w:color w:val="auto"/>
          <w:highlight w:val="none"/>
        </w:rPr>
        <w:t>二、绩效评价工作开展情况</w:t>
      </w:r>
    </w:p>
    <w:p w14:paraId="0189D33B">
      <w:pPr>
        <w:pStyle w:val="5"/>
        <w:numPr>
          <w:ilvl w:val="0"/>
          <w:numId w:val="1"/>
        </w:numPr>
        <w:ind w:firstLine="643"/>
        <w:rPr>
          <w:rFonts w:ascii="楷体" w:hAnsi="楷体" w:cs="楷体"/>
          <w:color w:val="auto"/>
          <w:szCs w:val="32"/>
          <w:highlight w:val="none"/>
        </w:rPr>
      </w:pPr>
      <w:bookmarkStart w:id="0" w:name="_Toc12868"/>
      <w:bookmarkStart w:id="1" w:name="_Toc480473081"/>
      <w:bookmarkStart w:id="2" w:name="_Toc21664"/>
      <w:bookmarkStart w:id="3" w:name="_Toc5258"/>
      <w:bookmarkStart w:id="4" w:name="_Toc26632"/>
      <w:bookmarkStart w:id="5" w:name="_Toc22169_WPSOffice_Level2"/>
      <w:bookmarkStart w:id="6" w:name="_Toc5462343"/>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456BFF2D">
      <w:pPr>
        <w:pStyle w:val="6"/>
        <w:ind w:firstLine="562"/>
        <w:rPr>
          <w:rFonts w:hint="eastAsia"/>
          <w:highlight w:val="none"/>
        </w:rPr>
      </w:pPr>
      <w:r>
        <w:rPr>
          <w:rFonts w:hint="eastAsia"/>
          <w:highlight w:val="none"/>
        </w:rPr>
        <w:t>1.绩效评价的目的</w:t>
      </w:r>
    </w:p>
    <w:p w14:paraId="67A71A16">
      <w:pPr>
        <w:ind w:firstLine="560"/>
        <w:rPr>
          <w:highlight w:val="none"/>
        </w:rPr>
      </w:pPr>
      <w:r>
        <w:rPr>
          <w:rFonts w:hint="eastAsia"/>
          <w:highlight w:val="none"/>
        </w:rPr>
        <w:t>为全面实施预算绩效管理，建立科学、合理的项目支出绩效评价管理体系，提高财政资源配置效率和使用效益，根据</w:t>
      </w:r>
      <w:r>
        <w:rPr>
          <w:rFonts w:hint="eastAsia"/>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w:t>
      </w:r>
      <w:r>
        <w:rPr>
          <w:rFonts w:hint="eastAsia"/>
          <w:highlight w:val="none"/>
        </w:rPr>
        <w:t>本次部门项目支出绩效评价工作。通过绩效评价，促进本单位发现问题、总结经验、改进工作</w:t>
      </w:r>
      <w:r>
        <w:rPr>
          <w:rFonts w:hint="eastAsia"/>
          <w:highlight w:val="none"/>
          <w:lang w:eastAsia="zh-CN"/>
        </w:rPr>
        <w:t>。</w:t>
      </w:r>
      <w:r>
        <w:rPr>
          <w:rFonts w:hint="eastAsia"/>
          <w:highlight w:val="none"/>
          <w:lang w:val="en-US" w:eastAsia="zh-CN"/>
        </w:rPr>
        <w:t>绩效评价</w:t>
      </w:r>
      <w:r>
        <w:rPr>
          <w:rFonts w:hint="eastAsia"/>
          <w:highlight w:val="none"/>
        </w:rPr>
        <w:t>旨在</w:t>
      </w:r>
      <w:r>
        <w:rPr>
          <w:rFonts w:hint="eastAsia"/>
          <w:color w:val="auto"/>
          <w:highlight w:val="none"/>
        </w:rPr>
        <w:t>评价</w:t>
      </w:r>
      <w:r>
        <w:rPr>
          <w:rFonts w:hint="eastAsia"/>
          <w:color w:val="auto"/>
          <w:highlight w:val="none"/>
          <w:lang w:eastAsia="zh-CN"/>
        </w:rPr>
        <w:t>本</w:t>
      </w:r>
      <w:r>
        <w:rPr>
          <w:rFonts w:hint="eastAsia"/>
          <w:color w:val="auto"/>
          <w:highlight w:val="none"/>
        </w:rPr>
        <w:t>项目前期</w:t>
      </w:r>
      <w:r>
        <w:rPr>
          <w:rFonts w:hint="eastAsia"/>
          <w:highlight w:val="none"/>
        </w:rPr>
        <w:t>审批、实施过程及实施效果，促进预算管理不断完善，加快绩效目标的实现，保证财政资金有效、合理使用，具体绩效评价的目的细分如下：</w:t>
      </w:r>
    </w:p>
    <w:p w14:paraId="2918FA92">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14:paraId="11544BAD">
      <w:pPr>
        <w:ind w:firstLine="560"/>
        <w:rPr>
          <w:highlight w:val="none"/>
        </w:rPr>
      </w:pPr>
      <w:r>
        <w:rPr>
          <w:rFonts w:hint="eastAsia"/>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4B90899D">
      <w:pPr>
        <w:ind w:firstLine="560"/>
        <w:rPr>
          <w:highlight w:val="none"/>
        </w:rPr>
      </w:pPr>
      <w:r>
        <w:rPr>
          <w:rFonts w:hint="eastAsia"/>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57437D4F">
      <w:pPr>
        <w:spacing w:line="600" w:lineRule="exact"/>
        <w:ind w:firstLine="560"/>
        <w:rPr>
          <w:rFonts w:hint="eastAsia"/>
          <w:highlight w:val="none"/>
        </w:rPr>
      </w:pPr>
      <w:r>
        <w:rPr>
          <w:rFonts w:hint="eastAsia"/>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3117D85F">
      <w:pPr>
        <w:pStyle w:val="6"/>
        <w:ind w:firstLine="562"/>
        <w:rPr>
          <w:rFonts w:hint="eastAsia"/>
          <w:highlight w:val="none"/>
        </w:rPr>
      </w:pPr>
      <w:r>
        <w:rPr>
          <w:rFonts w:hint="eastAsia"/>
          <w:highlight w:val="none"/>
        </w:rPr>
        <w:t>2.绩效评价对象</w:t>
      </w:r>
    </w:p>
    <w:p w14:paraId="4BC370BA">
      <w:pPr>
        <w:spacing w:line="600" w:lineRule="exact"/>
        <w:ind w:firstLine="560"/>
        <w:rPr>
          <w:rFonts w:hint="eastAsia" w:ascii="Times New Roman" w:hAnsi="Times New Roman" w:cs="Times New Roman"/>
          <w:highlight w:val="none"/>
        </w:rPr>
      </w:pPr>
      <w:r>
        <w:rPr>
          <w:rFonts w:hint="eastAsia" w:ascii="Times New Roman" w:hAnsi="Times New Roman" w:cs="Times New Roman"/>
          <w:highlight w:val="none"/>
        </w:rPr>
        <w:t>此次我单位根据《财政支出绩效评价管理暂行办法》（财预〔2020〕10号）文件要求实施评价工作，本次评价对象为</w:t>
      </w:r>
      <w:r>
        <w:rPr>
          <w:rFonts w:hint="eastAsia"/>
          <w:color w:val="auto"/>
          <w:highlight w:val="none"/>
          <w:lang w:val="en-US" w:eastAsia="zh-CN"/>
        </w:rPr>
        <w:t>2023年城乡义务教育生均公用经费县级配套（小学）</w:t>
      </w:r>
      <w:r>
        <w:rPr>
          <w:rFonts w:hint="eastAsia" w:ascii="Times New Roman" w:hAnsi="Times New Roman" w:cs="Times New Roman"/>
          <w:highlight w:val="none"/>
        </w:rPr>
        <w:t>，评价核心为项目</w:t>
      </w:r>
      <w:r>
        <w:rPr>
          <w:rFonts w:hint="eastAsia" w:ascii="Times New Roman" w:hAnsi="Times New Roman" w:cs="Times New Roman"/>
          <w:highlight w:val="none"/>
          <w:lang w:val="en-US" w:eastAsia="zh-CN"/>
        </w:rPr>
        <w:t>的资金投入、产出及效益</w:t>
      </w:r>
      <w:r>
        <w:rPr>
          <w:rFonts w:hint="eastAsia" w:ascii="Times New Roman" w:hAnsi="Times New Roman" w:cs="Times New Roman"/>
          <w:highlight w:val="none"/>
        </w:rPr>
        <w:t>。</w:t>
      </w:r>
    </w:p>
    <w:p w14:paraId="2C104704">
      <w:pPr>
        <w:pStyle w:val="6"/>
        <w:ind w:firstLine="562"/>
        <w:rPr>
          <w:rFonts w:hint="eastAsia"/>
          <w:highlight w:val="none"/>
        </w:rPr>
      </w:pPr>
      <w:r>
        <w:rPr>
          <w:rFonts w:hint="eastAsia"/>
          <w:highlight w:val="none"/>
        </w:rPr>
        <w:t>3.绩效评价范围</w:t>
      </w:r>
    </w:p>
    <w:p w14:paraId="072DB7E8">
      <w:pPr>
        <w:ind w:firstLine="560"/>
        <w:rPr>
          <w:highlight w:val="none"/>
        </w:rPr>
      </w:pP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highlight w:val="none"/>
        </w:rPr>
        <w:t>方面进行综合绩效评价。</w:t>
      </w:r>
    </w:p>
    <w:p w14:paraId="42D821D4">
      <w:pPr>
        <w:pStyle w:val="5"/>
        <w:numPr>
          <w:ilvl w:val="0"/>
          <w:numId w:val="1"/>
        </w:numPr>
        <w:ind w:firstLine="643"/>
        <w:rPr>
          <w:highlight w:val="none"/>
        </w:rPr>
      </w:pPr>
      <w:r>
        <w:rPr>
          <w:rFonts w:hint="eastAsia"/>
          <w:highlight w:val="none"/>
        </w:rPr>
        <w:t>绩效评价原则、评价指标体系、评价方法评价标准</w:t>
      </w:r>
    </w:p>
    <w:p w14:paraId="6BDA69EA">
      <w:pPr>
        <w:pStyle w:val="6"/>
        <w:ind w:firstLine="562"/>
        <w:rPr>
          <w:highlight w:val="none"/>
        </w:rPr>
      </w:pPr>
      <w:r>
        <w:rPr>
          <w:rFonts w:hint="eastAsia"/>
          <w:highlight w:val="none"/>
        </w:rPr>
        <w:t>1.绩效评价原则</w:t>
      </w:r>
    </w:p>
    <w:p w14:paraId="7A17182A">
      <w:pPr>
        <w:ind w:firstLine="560"/>
        <w:rPr>
          <w:highlight w:val="none"/>
        </w:rPr>
      </w:pPr>
      <w:r>
        <w:rPr>
          <w:rFonts w:hint="eastAsia"/>
          <w:highlight w:val="none"/>
        </w:rPr>
        <w:t>依据《中华人民共和国预算法》《中共 中央国务院关于全面实施预算绩效管理的意见》（中发〔2018〕34号）《项目支出绩效评价管理办法》（财预〔2020〕10号</w:t>
      </w:r>
      <w:r>
        <w:rPr>
          <w:rFonts w:hint="eastAsia"/>
          <w:highlight w:val="none"/>
          <w:lang w:eastAsia="zh-CN"/>
        </w:rPr>
        <w:t>）</w:t>
      </w:r>
      <w:r>
        <w:rPr>
          <w:rFonts w:hint="eastAsia"/>
          <w:highlight w:val="none"/>
        </w:rPr>
        <w:t>《自治区党委自治区人民政府关于全面实施预算绩效管理的实施意见》（新党发〔2018〕30号）《自治区财政支出绩效评价管理暂行办法》（新财预〔2018〕189号）等要求，绩效评价应遵循如下原则：</w:t>
      </w:r>
    </w:p>
    <w:p w14:paraId="490ADCBC">
      <w:pPr>
        <w:ind w:firstLine="560"/>
        <w:rPr>
          <w:highlight w:val="none"/>
        </w:rPr>
      </w:pPr>
      <w:r>
        <w:rPr>
          <w:rFonts w:hint="eastAsia"/>
          <w:highlight w:val="none"/>
        </w:rPr>
        <w:t>（1）科学公正。绩效评价应当运用科学合理的方法，按照规范的程序，对项目绩效进行客观、公正的反映。</w:t>
      </w:r>
    </w:p>
    <w:p w14:paraId="485BA995">
      <w:pPr>
        <w:snapToGrid w:val="0"/>
        <w:ind w:firstLine="560"/>
        <w:rPr>
          <w:highlight w:val="none"/>
        </w:rPr>
      </w:pPr>
      <w:r>
        <w:rPr>
          <w:rFonts w:hint="eastAsia"/>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902A27D">
      <w:pPr>
        <w:snapToGrid w:val="0"/>
        <w:ind w:firstLine="560"/>
        <w:rPr>
          <w:highlight w:val="none"/>
        </w:rPr>
      </w:pPr>
      <w:r>
        <w:rPr>
          <w:rFonts w:hint="eastAsia"/>
          <w:highlight w:val="none"/>
        </w:rPr>
        <w:t>（3）激励约束。绩效评价结果应与预算安排、政策调整、改进管理实质性挂钩，体现奖优罚劣和激励相容导向，有效要安排、低效要压减、无效要问责。</w:t>
      </w:r>
    </w:p>
    <w:p w14:paraId="630FA40F">
      <w:pPr>
        <w:snapToGrid w:val="0"/>
        <w:ind w:firstLine="560"/>
        <w:rPr>
          <w:highlight w:val="none"/>
        </w:rPr>
      </w:pPr>
      <w:r>
        <w:rPr>
          <w:rFonts w:hint="eastAsia"/>
          <w:highlight w:val="none"/>
        </w:rPr>
        <w:t>（4）公开透明。绩效评价结果应依法依规公开，并自觉接受社会监督。</w:t>
      </w:r>
    </w:p>
    <w:p w14:paraId="04A25364">
      <w:pPr>
        <w:snapToGrid w:val="0"/>
        <w:ind w:firstLine="560"/>
        <w:rPr>
          <w:highlight w:val="none"/>
        </w:rPr>
      </w:pPr>
      <w:r>
        <w:rPr>
          <w:rFonts w:hint="eastAsia"/>
          <w:highlight w:val="none"/>
        </w:rPr>
        <w:t>根据以上原则</w:t>
      </w:r>
      <w:r>
        <w:rPr>
          <w:rFonts w:hint="eastAsia"/>
          <w:highlight w:val="none"/>
          <w:lang w:eastAsia="zh-CN"/>
        </w:rPr>
        <w:t>，</w:t>
      </w:r>
      <w:r>
        <w:rPr>
          <w:rFonts w:hint="eastAsia"/>
          <w:highlight w:val="none"/>
        </w:rPr>
        <w:t>绩效评价应遵循如下要求:</w:t>
      </w:r>
    </w:p>
    <w:p w14:paraId="07BDF87D">
      <w:pPr>
        <w:snapToGrid w:val="0"/>
        <w:ind w:firstLine="560"/>
        <w:rPr>
          <w:highlight w:val="none"/>
        </w:rPr>
      </w:pPr>
      <w:r>
        <w:rPr>
          <w:rFonts w:hint="eastAsia"/>
          <w:highlight w:val="none"/>
        </w:rPr>
        <w:t>（1）在数据采集时</w:t>
      </w:r>
      <w:r>
        <w:rPr>
          <w:rFonts w:hint="eastAsia"/>
          <w:highlight w:val="none"/>
          <w:lang w:eastAsia="zh-CN"/>
        </w:rPr>
        <w:t>，</w:t>
      </w:r>
      <w:r>
        <w:rPr>
          <w:rFonts w:hint="eastAsia"/>
          <w:highlight w:val="none"/>
        </w:rPr>
        <w:t>采取客观数据</w:t>
      </w:r>
      <w:r>
        <w:rPr>
          <w:rFonts w:hint="eastAsia"/>
          <w:highlight w:val="none"/>
          <w:lang w:eastAsia="zh-CN"/>
        </w:rPr>
        <w:t>，</w:t>
      </w:r>
      <w:r>
        <w:rPr>
          <w:rFonts w:hint="eastAsia"/>
          <w:highlight w:val="none"/>
        </w:rPr>
        <w:t>主管部门审查、社会中介组织复查</w:t>
      </w:r>
      <w:r>
        <w:rPr>
          <w:rFonts w:hint="eastAsia"/>
          <w:highlight w:val="none"/>
          <w:lang w:eastAsia="zh-CN"/>
        </w:rPr>
        <w:t>，</w:t>
      </w:r>
      <w:r>
        <w:rPr>
          <w:rFonts w:hint="eastAsia"/>
          <w:highlight w:val="none"/>
        </w:rPr>
        <w:t>与问卷调查相结合的形式</w:t>
      </w:r>
      <w:r>
        <w:rPr>
          <w:rFonts w:hint="eastAsia"/>
          <w:highlight w:val="none"/>
          <w:lang w:eastAsia="zh-CN"/>
        </w:rPr>
        <w:t>，</w:t>
      </w:r>
      <w:r>
        <w:rPr>
          <w:rFonts w:hint="eastAsia"/>
          <w:highlight w:val="none"/>
        </w:rPr>
        <w:t>以保证各项指标的真实性。</w:t>
      </w:r>
    </w:p>
    <w:p w14:paraId="74F98270">
      <w:pPr>
        <w:snapToGrid w:val="0"/>
        <w:ind w:firstLine="560"/>
        <w:rPr>
          <w:highlight w:val="none"/>
        </w:rPr>
      </w:pPr>
      <w:r>
        <w:rPr>
          <w:rFonts w:hint="eastAsia"/>
          <w:highlight w:val="none"/>
        </w:rPr>
        <w:t>（2）保证评价结果的真实性、公正性</w:t>
      </w:r>
      <w:r>
        <w:rPr>
          <w:rFonts w:hint="eastAsia"/>
          <w:highlight w:val="none"/>
          <w:lang w:eastAsia="zh-CN"/>
        </w:rPr>
        <w:t>，</w:t>
      </w:r>
      <w:r>
        <w:rPr>
          <w:rFonts w:hint="eastAsia"/>
          <w:highlight w:val="none"/>
        </w:rPr>
        <w:t>提高评价报告的公信力。</w:t>
      </w:r>
    </w:p>
    <w:p w14:paraId="558CF124">
      <w:pPr>
        <w:spacing w:line="600" w:lineRule="exact"/>
        <w:ind w:firstLine="560"/>
        <w:rPr>
          <w:highlight w:val="none"/>
        </w:rPr>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14:paraId="73895F8B">
      <w:pPr>
        <w:pStyle w:val="6"/>
        <w:ind w:firstLine="562"/>
        <w:rPr>
          <w:highlight w:val="none"/>
        </w:rPr>
      </w:pPr>
      <w:bookmarkStart w:id="8" w:name="_Toc1913"/>
      <w:bookmarkStart w:id="9" w:name="_Toc419984722"/>
      <w:bookmarkStart w:id="10" w:name="_Toc26131"/>
      <w:bookmarkStart w:id="11" w:name="_Toc428278230"/>
      <w:r>
        <w:rPr>
          <w:rFonts w:hint="eastAsia"/>
          <w:highlight w:val="none"/>
        </w:rPr>
        <w:t>2.绩效评价指标体系</w:t>
      </w:r>
      <w:bookmarkEnd w:id="8"/>
      <w:bookmarkEnd w:id="9"/>
      <w:bookmarkEnd w:id="10"/>
      <w:bookmarkEnd w:id="11"/>
    </w:p>
    <w:p w14:paraId="4B1B33AB">
      <w:pPr>
        <w:ind w:firstLine="560"/>
        <w:rPr>
          <w:rFonts w:hint="eastAsia"/>
          <w:highlight w:val="none"/>
          <w:lang w:eastAsia="zh-CN"/>
        </w:rPr>
      </w:pPr>
      <w:r>
        <w:rPr>
          <w:rFonts w:hint="eastAsia"/>
          <w:highlight w:val="none"/>
        </w:rPr>
        <w:t>我单位</w:t>
      </w:r>
      <w:r>
        <w:rPr>
          <w:rFonts w:hint="eastAsia"/>
          <w:highlight w:val="none"/>
          <w:lang w:val="zh-TW" w:eastAsia="zh-TW"/>
        </w:rPr>
        <w:t>根据项目的</w:t>
      </w:r>
      <w:r>
        <w:rPr>
          <w:rFonts w:hint="eastAsia"/>
          <w:highlight w:val="none"/>
        </w:rPr>
        <w:t>实施</w:t>
      </w:r>
      <w:r>
        <w:rPr>
          <w:rFonts w:hint="eastAsia"/>
          <w:highlight w:val="none"/>
          <w:lang w:val="zh-TW" w:eastAsia="zh-TW"/>
        </w:rPr>
        <w:t>资料研读及前期调研，结合项目的实际开展情况，按照《项目支出绩效评价管理办法》（财预〔2020〕10号）文件要求</w:t>
      </w:r>
      <w:r>
        <w:rPr>
          <w:rFonts w:hint="eastAsia"/>
          <w:highlight w:val="none"/>
          <w:lang w:val="zh-TW" w:eastAsia="zh-CN"/>
        </w:rPr>
        <w:t>，</w:t>
      </w:r>
      <w:r>
        <w:rPr>
          <w:rFonts w:hint="eastAsia"/>
          <w:highlight w:val="none"/>
        </w:rPr>
        <w:t>结合项目特点，经与专家组充分协商，设置指标体系结构如下</w:t>
      </w:r>
      <w:r>
        <w:rPr>
          <w:rFonts w:hint="eastAsia"/>
          <w:highlight w:val="none"/>
          <w:lang w:val="zh-TW" w:eastAsia="zh-TW"/>
        </w:rPr>
        <w:t>：设置一级指标共</w:t>
      </w:r>
      <w:r>
        <w:rPr>
          <w:rFonts w:hint="eastAsia"/>
          <w:highlight w:val="none"/>
          <w:lang w:val="en-US" w:eastAsia="zh-CN"/>
        </w:rPr>
        <w:t>5</w:t>
      </w:r>
      <w:r>
        <w:rPr>
          <w:rFonts w:hint="eastAsia"/>
          <w:highlight w:val="none"/>
          <w:lang w:val="zh-TW" w:eastAsia="zh-TW"/>
        </w:rPr>
        <w:t>个，包括：决策指标（2</w:t>
      </w:r>
      <w:r>
        <w:rPr>
          <w:rFonts w:hint="eastAsia"/>
          <w:highlight w:val="none"/>
          <w:lang w:val="en-US" w:eastAsia="zh-CN"/>
        </w:rPr>
        <w:t>0分</w:t>
      </w:r>
      <w:r>
        <w:rPr>
          <w:rFonts w:hint="eastAsia"/>
          <w:highlight w:val="none"/>
          <w:lang w:val="zh-TW" w:eastAsia="zh-TW"/>
        </w:rPr>
        <w:t>）、过程指标（</w:t>
      </w:r>
      <w:r>
        <w:rPr>
          <w:rFonts w:hint="eastAsia"/>
          <w:highlight w:val="none"/>
          <w:lang w:val="en-US" w:eastAsia="zh-CN"/>
        </w:rPr>
        <w:t>20分</w:t>
      </w:r>
      <w:r>
        <w:rPr>
          <w:rFonts w:hint="eastAsia"/>
          <w:highlight w:val="none"/>
          <w:lang w:val="zh-TW" w:eastAsia="zh-TW"/>
        </w:rPr>
        <w:t>）、产出指标（</w:t>
      </w:r>
      <w:r>
        <w:rPr>
          <w:rFonts w:hint="eastAsia"/>
          <w:highlight w:val="none"/>
          <w:lang w:val="en-US" w:eastAsia="zh-CN"/>
        </w:rPr>
        <w:t>24分</w:t>
      </w:r>
      <w:r>
        <w:rPr>
          <w:rFonts w:hint="eastAsia"/>
          <w:highlight w:val="none"/>
          <w:lang w:val="zh-TW" w:eastAsia="zh-TW"/>
        </w:rPr>
        <w:t>）、</w:t>
      </w:r>
      <w:r>
        <w:rPr>
          <w:rFonts w:hint="eastAsia"/>
          <w:highlight w:val="none"/>
          <w:lang w:val="en-US" w:eastAsia="zh-CN"/>
        </w:rPr>
        <w:t>成本指标（12分）、</w:t>
      </w:r>
      <w:r>
        <w:rPr>
          <w:rFonts w:hint="eastAsia"/>
          <w:highlight w:val="none"/>
          <w:lang w:val="zh-TW" w:eastAsia="zh-TW"/>
        </w:rPr>
        <w:t>效益指标（</w:t>
      </w:r>
      <w:r>
        <w:rPr>
          <w:rFonts w:hint="eastAsia"/>
          <w:highlight w:val="none"/>
          <w:lang w:val="en-US" w:eastAsia="zh-CN"/>
        </w:rPr>
        <w:t>24分</w:t>
      </w:r>
      <w:r>
        <w:rPr>
          <w:rFonts w:hint="eastAsia"/>
          <w:highlight w:val="none"/>
          <w:lang w:val="zh-TW" w:eastAsia="zh-TW"/>
        </w:rPr>
        <w:t>）</w:t>
      </w:r>
      <w:r>
        <w:rPr>
          <w:rFonts w:hint="eastAsia"/>
          <w:highlight w:val="none"/>
          <w:lang w:val="zh-TW" w:eastAsia="zh-CN"/>
        </w:rPr>
        <w:t>，</w:t>
      </w:r>
      <w:r>
        <w:rPr>
          <w:rFonts w:hint="eastAsia"/>
          <w:highlight w:val="none"/>
        </w:rPr>
        <w:t>主要围绕资金使用、项目管理、资源配置等方面，客观分析项目的产出</w:t>
      </w:r>
      <w:r>
        <w:rPr>
          <w:rFonts w:hint="eastAsia"/>
          <w:highlight w:val="none"/>
          <w:lang w:eastAsia="zh-CN"/>
        </w:rPr>
        <w:t>、</w:t>
      </w:r>
      <w:r>
        <w:rPr>
          <w:rFonts w:hint="eastAsia"/>
          <w:highlight w:val="none"/>
        </w:rPr>
        <w:t>效果，从而考察项目预算定额标准的合理性，进而提出完善意见。整个评价框架构成体现从投入、过程到产出、效果和影响的绩效逻辑路径。详细指标体系见“附件</w:t>
      </w:r>
      <w:r>
        <w:rPr>
          <w:rFonts w:hint="eastAsia"/>
          <w:highlight w:val="none"/>
          <w:lang w:val="en-US" w:eastAsia="zh-CN"/>
        </w:rPr>
        <w:t>1</w:t>
      </w:r>
      <w:r>
        <w:rPr>
          <w:rFonts w:hint="eastAsia"/>
          <w:highlight w:val="none"/>
        </w:rPr>
        <w:t>：项目支出绩效评价</w:t>
      </w:r>
      <w:r>
        <w:rPr>
          <w:rFonts w:hint="eastAsia"/>
          <w:highlight w:val="none"/>
          <w:lang w:val="en-US" w:eastAsia="zh-CN"/>
        </w:rPr>
        <w:t>指标</w:t>
      </w:r>
      <w:r>
        <w:rPr>
          <w:rFonts w:hint="eastAsia"/>
          <w:highlight w:val="none"/>
        </w:rPr>
        <w:t>体系</w:t>
      </w:r>
      <w:r>
        <w:rPr>
          <w:rFonts w:hint="eastAsia"/>
          <w:highlight w:val="none"/>
          <w:lang w:val="en-US" w:eastAsia="zh-CN"/>
        </w:rPr>
        <w:t>表</w:t>
      </w:r>
      <w:r>
        <w:rPr>
          <w:rFonts w:hint="eastAsia"/>
          <w:highlight w:val="none"/>
        </w:rPr>
        <w:t>和项目综合得分表”。</w:t>
      </w:r>
    </w:p>
    <w:p w14:paraId="2B58D20C">
      <w:pPr>
        <w:pStyle w:val="6"/>
        <w:ind w:firstLine="562"/>
        <w:rPr>
          <w:highlight w:val="none"/>
        </w:rPr>
      </w:pPr>
      <w:r>
        <w:rPr>
          <w:rFonts w:hint="eastAsia"/>
          <w:highlight w:val="none"/>
        </w:rPr>
        <w:t>3.评价方法</w:t>
      </w:r>
    </w:p>
    <w:p w14:paraId="2447CBC0">
      <w:pPr>
        <w:ind w:firstLine="560"/>
        <w:rPr>
          <w:highlight w:val="none"/>
        </w:rPr>
      </w:pPr>
      <w:r>
        <w:rPr>
          <w:rFonts w:hint="eastAsia"/>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B6004DE">
      <w:pPr>
        <w:ind w:firstLine="560"/>
        <w:rPr>
          <w:highlight w:val="none"/>
        </w:rPr>
      </w:pPr>
      <w:r>
        <w:rPr>
          <w:rFonts w:hint="eastAsia"/>
          <w:highlight w:val="none"/>
        </w:rPr>
        <w:t>三级指标分析环节：总体采用比较法，同时辅以文献法、成本效益法、因素分析法以及公众评判法，根据不同三级指标类型进行逐项分析。</w:t>
      </w:r>
    </w:p>
    <w:p w14:paraId="0A0511C7">
      <w:pPr>
        <w:ind w:firstLine="560"/>
        <w:rPr>
          <w:highlight w:val="none"/>
        </w:rPr>
      </w:pPr>
      <w:r>
        <w:rPr>
          <w:highlight w:val="none"/>
        </w:rPr>
        <w:t>①</w:t>
      </w:r>
      <w:r>
        <w:rPr>
          <w:rFonts w:hint="eastAsia"/>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4A9FB73">
      <w:pPr>
        <w:ind w:firstLine="560"/>
        <w:rPr>
          <w:rFonts w:hint="eastAsia"/>
          <w:highlight w:val="none"/>
          <w:lang w:val="en-US" w:eastAsia="zh-CN"/>
        </w:rPr>
      </w:pPr>
      <w:r>
        <w:rPr>
          <w:highlight w:val="none"/>
        </w:rPr>
        <w:t>②</w:t>
      </w:r>
      <w:r>
        <w:rPr>
          <w:rFonts w:hint="eastAsia"/>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highlight w:val="none"/>
          <w:lang w:val="en-US" w:eastAsia="zh-CN"/>
        </w:rPr>
        <w:t>:</w:t>
      </w:r>
    </w:p>
    <w:p w14:paraId="46135D5C">
      <w:pPr>
        <w:bidi w:val="0"/>
        <w:rPr>
          <w:rFonts w:hint="eastAsia"/>
          <w:highlight w:val="none"/>
          <w:lang w:val="en-US" w:eastAsia="zh-CN"/>
        </w:rPr>
      </w:pPr>
      <w:r>
        <w:rPr>
          <w:rFonts w:hint="eastAsia"/>
          <w:highlight w:val="none"/>
        </w:rPr>
        <w:t>立项依据充分性</w:t>
      </w:r>
      <w:r>
        <w:rPr>
          <w:rFonts w:hint="eastAsia"/>
          <w:highlight w:val="none"/>
          <w:lang w:eastAsia="zh-CN"/>
        </w:rPr>
        <w:t>：</w:t>
      </w:r>
      <w:r>
        <w:rPr>
          <w:rFonts w:hint="eastAsia"/>
          <w:highlight w:val="none"/>
        </w:rPr>
        <w:t>比较法、文献法</w:t>
      </w:r>
      <w:r>
        <w:rPr>
          <w:rFonts w:hint="eastAsia"/>
          <w:highlight w:val="none"/>
          <w:lang w:eastAsia="zh-CN"/>
        </w:rPr>
        <w:t>，</w:t>
      </w:r>
      <w:r>
        <w:rPr>
          <w:rFonts w:hint="eastAsia"/>
          <w:highlight w:val="none"/>
        </w:rPr>
        <w:t>查找法律法规政策以及规划，对比实际执行内容和政策支持内容是否匹配。</w:t>
      </w:r>
    </w:p>
    <w:p w14:paraId="732E5BC4">
      <w:pPr>
        <w:pStyle w:val="2"/>
        <w:rPr>
          <w:rFonts w:hint="eastAsia"/>
          <w:highlight w:val="none"/>
          <w:lang w:val="en-US" w:eastAsia="zh-CN"/>
        </w:rPr>
      </w:pPr>
      <w:r>
        <w:rPr>
          <w:rFonts w:hint="eastAsia"/>
          <w:highlight w:val="none"/>
          <w:lang w:val="en-US" w:eastAsia="zh-CN"/>
        </w:rPr>
        <w:t>立项程序规范性：比较法、文献法，查找相关项目设立的政策和文件要求，对比分析实际执行程序是否按照政策及文件要求执行，分析立项程序的规范性。</w:t>
      </w:r>
    </w:p>
    <w:p w14:paraId="0F82CB3B">
      <w:pPr>
        <w:pStyle w:val="2"/>
        <w:rPr>
          <w:rFonts w:hint="eastAsia"/>
          <w:highlight w:val="none"/>
          <w:lang w:val="en-US" w:eastAsia="zh-CN"/>
        </w:rPr>
      </w:pPr>
      <w:r>
        <w:rPr>
          <w:rFonts w:hint="eastAsia"/>
          <w:highlight w:val="none"/>
          <w:lang w:val="en-US" w:eastAsia="zh-CN"/>
        </w:rPr>
        <w:t>绩效目标合理性：比较法，对比分析年初编制项目支出绩效目标表与项目内容的相关性、资金的匹配性等。</w:t>
      </w:r>
    </w:p>
    <w:p w14:paraId="62677C21">
      <w:pPr>
        <w:pStyle w:val="2"/>
        <w:rPr>
          <w:rFonts w:hint="eastAsia"/>
          <w:highlight w:val="none"/>
          <w:lang w:val="en-US" w:eastAsia="zh-CN"/>
        </w:rPr>
      </w:pPr>
      <w:r>
        <w:rPr>
          <w:rFonts w:hint="eastAsia"/>
          <w:highlight w:val="none"/>
          <w:lang w:val="en-US" w:eastAsia="zh-CN"/>
        </w:rPr>
        <w:t>绩效指标明确性：比较法，比较分析年初编制项目支出绩效目标表是否符合双七原则，是否可衡量。</w:t>
      </w:r>
    </w:p>
    <w:p w14:paraId="79E52A6B">
      <w:pPr>
        <w:pStyle w:val="2"/>
        <w:rPr>
          <w:rFonts w:hint="eastAsia"/>
          <w:highlight w:val="none"/>
          <w:lang w:val="en-US" w:eastAsia="zh-CN"/>
        </w:rPr>
      </w:pPr>
      <w:r>
        <w:rPr>
          <w:rFonts w:hint="eastAsia"/>
          <w:highlight w:val="none"/>
          <w:lang w:val="en-US" w:eastAsia="zh-CN"/>
        </w:rPr>
        <w:t>预算编制科学性：成本效益分析法，分析在产出一定的情况下，成本取值是否有依据，是否经过询价，是否按照市场最低成本编制。</w:t>
      </w:r>
    </w:p>
    <w:p w14:paraId="1495D216">
      <w:pPr>
        <w:pStyle w:val="2"/>
        <w:rPr>
          <w:rFonts w:hint="eastAsia"/>
          <w:highlight w:val="none"/>
          <w:lang w:val="en-US" w:eastAsia="zh-CN"/>
        </w:rPr>
      </w:pPr>
      <w:r>
        <w:rPr>
          <w:rFonts w:hint="eastAsia"/>
          <w:highlight w:val="none"/>
          <w:lang w:val="en-US" w:eastAsia="zh-CN"/>
        </w:rPr>
        <w:t>资金分配合理性：因素分析法，综合分析资金的分配依据是否充分，分配金额是否与项目实施单位需求金额一致，</w:t>
      </w:r>
    </w:p>
    <w:p w14:paraId="43982F6E">
      <w:pPr>
        <w:pStyle w:val="2"/>
        <w:rPr>
          <w:rFonts w:hint="eastAsia"/>
          <w:highlight w:val="none"/>
          <w:lang w:val="en-US" w:eastAsia="zh-CN"/>
        </w:rPr>
      </w:pPr>
      <w:r>
        <w:rPr>
          <w:rFonts w:hint="eastAsia"/>
          <w:highlight w:val="none"/>
          <w:lang w:val="en-US" w:eastAsia="zh-CN"/>
        </w:rPr>
        <w:t>资金到位率：比较法，资金到位率预期指标值应为100%，通过实际计算，分析实际完成值和预期指标值之间的差距和原因。</w:t>
      </w:r>
    </w:p>
    <w:p w14:paraId="7E181304">
      <w:pPr>
        <w:pStyle w:val="2"/>
        <w:rPr>
          <w:rFonts w:hint="eastAsia"/>
          <w:highlight w:val="none"/>
          <w:lang w:val="en-US" w:eastAsia="zh-CN"/>
        </w:rPr>
      </w:pPr>
      <w:r>
        <w:rPr>
          <w:rFonts w:hint="eastAsia"/>
          <w:highlight w:val="none"/>
          <w:lang w:val="en-US" w:eastAsia="zh-CN"/>
        </w:rPr>
        <w:t>预算执行率：比较法，预算执行率预期指标值应为100%，通过实际计算，分析实际完成值和预期指标值之间的差距和原因。</w:t>
      </w:r>
    </w:p>
    <w:p w14:paraId="61A804D9">
      <w:pPr>
        <w:pStyle w:val="2"/>
        <w:rPr>
          <w:rFonts w:hint="eastAsia"/>
          <w:highlight w:val="none"/>
          <w:lang w:val="en-US" w:eastAsia="zh-CN"/>
        </w:rPr>
      </w:pPr>
      <w:r>
        <w:rPr>
          <w:rFonts w:hint="eastAsia"/>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37A35EE2">
      <w:pPr>
        <w:pStyle w:val="2"/>
        <w:rPr>
          <w:rFonts w:hint="eastAsia"/>
          <w:highlight w:val="none"/>
          <w:lang w:val="en-US" w:eastAsia="zh-CN"/>
        </w:rPr>
      </w:pPr>
      <w:r>
        <w:rPr>
          <w:rFonts w:hint="eastAsia"/>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5B8611A1">
      <w:pPr>
        <w:pStyle w:val="2"/>
        <w:rPr>
          <w:rFonts w:hint="eastAsia"/>
          <w:highlight w:val="none"/>
          <w:lang w:val="en-US" w:eastAsia="zh-CN"/>
        </w:rPr>
      </w:pPr>
      <w:r>
        <w:rPr>
          <w:rFonts w:hint="eastAsia"/>
          <w:highlight w:val="none"/>
          <w:lang w:val="en-US" w:eastAsia="zh-CN"/>
        </w:rPr>
        <w:t>制度执行有效性：比较法，结合项目实际实施过程性文件，根据已建设的财务管理制度和项目管理制度综合分析制度执行的有效性。</w:t>
      </w:r>
    </w:p>
    <w:p w14:paraId="2DBBCA1A">
      <w:pPr>
        <w:pStyle w:val="2"/>
        <w:rPr>
          <w:rFonts w:hint="eastAsia"/>
          <w:highlight w:val="none"/>
          <w:lang w:val="en-US" w:eastAsia="zh-CN"/>
        </w:rPr>
      </w:pPr>
      <w:r>
        <w:rPr>
          <w:rFonts w:hint="eastAsia"/>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C36EA08">
      <w:pPr>
        <w:bidi w:val="0"/>
        <w:rPr>
          <w:rFonts w:hint="eastAsia"/>
          <w:color w:val="FF0000"/>
          <w:highlight w:val="none"/>
        </w:rPr>
      </w:pPr>
      <w:r>
        <w:rPr>
          <w:rFonts w:hint="eastAsia"/>
          <w:highlight w:val="none"/>
          <w:lang w:val="en-US" w:eastAsia="zh-CN"/>
        </w:rPr>
        <w:t>定性指标：公众评判法，通过问卷及抽样调查等方式评价本项目实施后社会公众对于其实施效果的满意程度。</w:t>
      </w:r>
    </w:p>
    <w:p w14:paraId="628D1C27">
      <w:pPr>
        <w:pStyle w:val="6"/>
        <w:ind w:firstLine="562"/>
        <w:rPr>
          <w:highlight w:val="none"/>
        </w:rPr>
      </w:pPr>
      <w:r>
        <w:rPr>
          <w:rFonts w:hint="eastAsia"/>
          <w:highlight w:val="none"/>
        </w:rPr>
        <w:t>4.评价标准</w:t>
      </w:r>
    </w:p>
    <w:p w14:paraId="2BEDEA70">
      <w:pPr>
        <w:ind w:firstLine="560"/>
        <w:rPr>
          <w:highlight w:val="none"/>
        </w:rPr>
      </w:pPr>
      <w:r>
        <w:rPr>
          <w:rFonts w:hint="eastAsia"/>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39BED5F">
      <w:pPr>
        <w:pStyle w:val="5"/>
        <w:numPr>
          <w:ilvl w:val="0"/>
          <w:numId w:val="1"/>
        </w:numPr>
        <w:ind w:firstLine="643"/>
        <w:rPr>
          <w:highlight w:val="none"/>
        </w:rPr>
      </w:pPr>
      <w:r>
        <w:rPr>
          <w:rFonts w:hint="eastAsia"/>
          <w:highlight w:val="none"/>
        </w:rPr>
        <w:t>绩效评价工作过程</w:t>
      </w:r>
    </w:p>
    <w:p w14:paraId="4BFB8F27">
      <w:pPr>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1.前期准备</w:t>
      </w:r>
    </w:p>
    <w:p w14:paraId="6887EF12">
      <w:pPr>
        <w:rPr>
          <w:rFonts w:hint="eastAsia" w:ascii="Times New Roman" w:hAnsi="Times New Roman" w:cs="Times New Roman"/>
          <w:highlight w:val="none"/>
          <w:lang w:val="zh-TW" w:eastAsia="zh-TW"/>
        </w:rPr>
      </w:pPr>
      <w:r>
        <w:rPr>
          <w:rFonts w:hint="eastAsia" w:ascii="Times New Roman" w:hAnsi="Times New Roman" w:cs="Times New Roman"/>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highlight w:val="none"/>
          <w:lang w:val="en-US" w:eastAsia="zh-CN"/>
        </w:rPr>
        <w:t>成员和职责如下：</w:t>
      </w:r>
    </w:p>
    <w:p w14:paraId="6B76B2B1">
      <w:pPr>
        <w:ind w:firstLine="560"/>
        <w:rPr>
          <w:rFonts w:hint="default"/>
          <w:color w:val="auto"/>
          <w:highlight w:val="none"/>
          <w:lang w:val="en-US" w:eastAsia="zh-CN"/>
        </w:rPr>
      </w:pPr>
      <w:r>
        <w:rPr>
          <w:rFonts w:hint="eastAsia"/>
          <w:highlight w:val="none"/>
          <w:lang w:val="en-US" w:eastAsia="zh-CN"/>
        </w:rPr>
        <w:t>（1）评价组组长</w:t>
      </w:r>
      <w:r>
        <w:rPr>
          <w:rFonts w:hint="eastAsia"/>
          <w:color w:val="auto"/>
          <w:highlight w:val="none"/>
          <w:lang w:val="en-US" w:eastAsia="zh-CN"/>
        </w:rPr>
        <w:t>：钟文萍，</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4CC5A417">
      <w:pPr>
        <w:ind w:firstLine="560"/>
        <w:rPr>
          <w:rFonts w:hint="eastAsia"/>
          <w:color w:val="auto"/>
          <w:highlight w:val="none"/>
          <w:lang w:val="en-US" w:eastAsia="zh-CN"/>
        </w:rPr>
      </w:pPr>
      <w:r>
        <w:rPr>
          <w:rFonts w:hint="eastAsia"/>
          <w:color w:val="auto"/>
          <w:highlight w:val="none"/>
          <w:lang w:val="en-US" w:eastAsia="zh-CN"/>
        </w:rPr>
        <w:t>（2）评价组成员：马艳丽、古再丽努尔，</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7C70B031">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（3）评价组成员：张大强、阿扎地古丽，</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28859209">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5D8A82D9">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48EBEE78">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1654F252">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01476576">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10</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3438EFB0">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61F94713">
      <w:pPr>
        <w:rPr>
          <w:rFonts w:hint="eastAsia" w:ascii="Times New Roman" w:hAnsi="Times New Roman" w:cs="Times New Roman"/>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highlight w:val="none"/>
          <w:lang w:val="en-US" w:eastAsia="zh-CN"/>
        </w:rPr>
        <w:t>绩效评价项目小组依照整理、分析后的项目材料、数据资料，依据评价形成的初步结论，按照</w:t>
      </w:r>
      <w:r>
        <w:rPr>
          <w:rFonts w:hint="eastAsia" w:cs="Times New Roman"/>
          <w:highlight w:val="none"/>
          <w:lang w:val="en-US" w:eastAsia="zh-CN"/>
        </w:rPr>
        <w:t>绩效系统中统一</w:t>
      </w:r>
      <w:r>
        <w:rPr>
          <w:rFonts w:hint="eastAsia" w:ascii="Times New Roman" w:hAnsi="Times New Roman" w:cs="Times New Roman"/>
          <w:highlight w:val="none"/>
          <w:lang w:val="en-US" w:eastAsia="zh-CN"/>
        </w:rPr>
        <w:t>的格式和内容要求撰写绩效评价初步报告，最终形成评价结果。</w:t>
      </w:r>
    </w:p>
    <w:p w14:paraId="39602E44">
      <w:pPr>
        <w:pStyle w:val="6"/>
        <w:ind w:firstLine="562"/>
        <w:rPr>
          <w:rFonts w:hint="eastAsia"/>
          <w:highlight w:val="none"/>
        </w:rPr>
      </w:pPr>
      <w:bookmarkStart w:id="12" w:name="_Toc5055"/>
      <w:r>
        <w:rPr>
          <w:rFonts w:hint="eastAsia"/>
          <w:highlight w:val="none"/>
          <w:lang w:val="en-US" w:eastAsia="zh-CN"/>
        </w:rPr>
        <w:t>4.</w:t>
      </w:r>
      <w:r>
        <w:rPr>
          <w:rFonts w:hint="eastAsia"/>
          <w:highlight w:val="none"/>
        </w:rPr>
        <w:t>问题整改</w:t>
      </w:r>
    </w:p>
    <w:p w14:paraId="1AC5C9E6">
      <w:pPr>
        <w:ind w:firstLine="560"/>
        <w:rPr>
          <w:highlight w:val="none"/>
        </w:rPr>
      </w:pPr>
      <w:r>
        <w:rPr>
          <w:rFonts w:hint="eastAsia"/>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A8C1285">
      <w:pPr>
        <w:pStyle w:val="6"/>
        <w:bidi w:val="0"/>
        <w:rPr>
          <w:rFonts w:hint="eastAsia"/>
          <w:highlight w:val="none"/>
          <w:lang w:val="en-US" w:eastAsia="zh-CN"/>
        </w:rPr>
      </w:pPr>
      <w:r>
        <w:rPr>
          <w:rFonts w:hint="eastAsia"/>
          <w:highlight w:val="none"/>
          <w:lang w:val="en-US" w:eastAsia="zh-CN"/>
        </w:rPr>
        <w:t>5.归集档案</w:t>
      </w:r>
      <w:bookmarkEnd w:id="12"/>
    </w:p>
    <w:p w14:paraId="0FB83922">
      <w:pPr>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　</w:t>
      </w:r>
    </w:p>
    <w:p w14:paraId="7DA16A5E">
      <w:pPr>
        <w:pStyle w:val="4"/>
        <w:numPr>
          <w:ilvl w:val="0"/>
          <w:numId w:val="2"/>
        </w:numPr>
        <w:ind w:firstLine="640"/>
        <w:rPr>
          <w:color w:val="auto"/>
          <w:highlight w:val="none"/>
        </w:rPr>
      </w:pPr>
      <w:r>
        <w:rPr>
          <w:rFonts w:hint="eastAsia"/>
          <w:color w:val="auto"/>
          <w:highlight w:val="none"/>
        </w:rPr>
        <w:t>综合评价情况及评价结论</w:t>
      </w:r>
    </w:p>
    <w:p w14:paraId="64E9B586">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1290A08C">
      <w:pPr>
        <w:bidi w:val="0"/>
        <w:rPr>
          <w:rFonts w:hint="eastAsia"/>
          <w:color w:val="auto"/>
          <w:highlight w:val="none"/>
          <w:lang w:val="en-US" w:eastAsia="zh-CN"/>
        </w:rPr>
      </w:pPr>
      <w:bookmarkStart w:id="14" w:name="_Toc68364666"/>
      <w:r>
        <w:rPr>
          <w:rFonts w:hint="eastAsia"/>
          <w:color w:val="auto"/>
          <w:highlight w:val="none"/>
          <w:lang w:val="en-US" w:eastAsia="zh-CN"/>
        </w:rPr>
        <w:t>经评价，本项目较大程度达成了年初设立的绩效目标，项目总体组织规范，完成了工作目标，在实施过程中取得了良好的成效，具体表现在以下几个方面：</w:t>
      </w:r>
    </w:p>
    <w:p w14:paraId="3D29057A">
      <w:pPr>
        <w:numPr>
          <w:ilvl w:val="0"/>
          <w:numId w:val="3"/>
        </w:numPr>
        <w:bidi w:val="0"/>
        <w:rPr>
          <w:rFonts w:hint="eastAsia"/>
          <w:color w:val="auto"/>
          <w:highlight w:val="none"/>
          <w:lang w:val="en-US" w:eastAsia="zh-CN"/>
        </w:rPr>
      </w:pPr>
      <w:r>
        <w:rPr>
          <w:rFonts w:hint="eastAsia"/>
          <w:color w:val="auto"/>
          <w:highlight w:val="none"/>
          <w:lang w:val="en-US" w:eastAsia="zh-CN"/>
        </w:rPr>
        <w:t>根据《中华人民共和国义务教育法》《国务院关于统筹推进县域内城乡义务教育一体化改革发展的若干意见》（国发[2016]40号）等相关法律法规及文件意见，本项目立项依据充分；本项目为</w:t>
      </w:r>
      <w:r>
        <w:rPr>
          <w:rFonts w:hint="default"/>
          <w:color w:val="auto"/>
          <w:highlight w:val="none"/>
          <w:lang w:val="en-US" w:eastAsia="zh-CN"/>
        </w:rPr>
        <w:t>城乡义务教育生均公用经费</w:t>
      </w:r>
      <w:r>
        <w:rPr>
          <w:rFonts w:hint="eastAsia"/>
          <w:color w:val="auto"/>
          <w:highlight w:val="none"/>
          <w:lang w:val="en-US" w:eastAsia="zh-CN"/>
        </w:rPr>
        <w:t>的</w:t>
      </w:r>
      <w:r>
        <w:rPr>
          <w:rFonts w:hint="default"/>
          <w:color w:val="auto"/>
          <w:highlight w:val="none"/>
          <w:lang w:val="en-US" w:eastAsia="zh-CN"/>
        </w:rPr>
        <w:t>县级配套</w:t>
      </w:r>
      <w:r>
        <w:rPr>
          <w:rFonts w:hint="eastAsia"/>
          <w:color w:val="auto"/>
          <w:highlight w:val="none"/>
          <w:lang w:val="en-US" w:eastAsia="zh-CN"/>
        </w:rPr>
        <w:t>资金，为年初下达预算资金，立项程序规范；绩效目标按照2023年项目实际开展的工作任务设定，目标合理，与工作任务相匹配。</w:t>
      </w:r>
    </w:p>
    <w:p w14:paraId="5A660FC3">
      <w:pPr>
        <w:numPr>
          <w:ilvl w:val="0"/>
          <w:numId w:val="3"/>
        </w:numPr>
        <w:bidi w:val="0"/>
        <w:rPr>
          <w:rFonts w:hint="eastAsia"/>
          <w:color w:val="auto"/>
          <w:highlight w:val="none"/>
          <w:lang w:val="en-US" w:eastAsia="zh-CN"/>
        </w:rPr>
      </w:pPr>
      <w:r>
        <w:rPr>
          <w:rFonts w:hint="eastAsia"/>
          <w:color w:val="auto"/>
          <w:highlight w:val="none"/>
          <w:lang w:val="en-US" w:eastAsia="zh-CN"/>
        </w:rPr>
        <w:t>项目在实施过程中严格按照预算支付资金，主要用于保障校园的用电、供暖以及学校日常运行的办公经费，资金使用符合国家相关财经法规和我校的财务管理制度，符合项目预算批复内容，比存在截留挤占、挪用、虚列支出等情况。通过完善的内部控制管理制度，有效落实各项规章制度，确保了各项工作有序开展。</w:t>
      </w:r>
    </w:p>
    <w:p w14:paraId="217046B6">
      <w:pPr>
        <w:numPr>
          <w:ilvl w:val="0"/>
          <w:numId w:val="3"/>
        </w:numPr>
        <w:bidi w:val="0"/>
        <w:rPr>
          <w:rFonts w:hint="eastAsia"/>
          <w:color w:val="auto"/>
          <w:highlight w:val="none"/>
          <w:lang w:val="en-US" w:eastAsia="zh-CN"/>
        </w:rPr>
      </w:pPr>
      <w:r>
        <w:rPr>
          <w:rFonts w:hint="eastAsia"/>
          <w:color w:val="auto"/>
          <w:highlight w:val="none"/>
          <w:lang w:val="en-US" w:eastAsia="zh-CN"/>
        </w:rPr>
        <w:t>通过使用本项目资金基本保障了我校冬季正常供暖，保障了我校正常开展教育教学活动。2023年为我校1518名小学学生提供了城乡义务教育，确保了九年义务育保障机制政策按规定得到落实，一定程度减轻了家庭经济困难学生的经济负担，提高了我县农村义务教育阶段国语教育覆盖率，完善了城乡义务教育体系，持续推进了义务教育教育事业发展。</w:t>
      </w:r>
    </w:p>
    <w:p w14:paraId="125ED930">
      <w:pPr>
        <w:numPr>
          <w:ilvl w:val="0"/>
          <w:numId w:val="3"/>
        </w:numPr>
        <w:bidi w:val="0"/>
        <w:rPr>
          <w:rFonts w:hint="eastAsia"/>
          <w:color w:val="auto"/>
          <w:highlight w:val="none"/>
          <w:lang w:val="en-US" w:eastAsia="zh-CN"/>
        </w:rPr>
      </w:pPr>
      <w:r>
        <w:rPr>
          <w:rFonts w:hint="eastAsia"/>
          <w:color w:val="auto"/>
          <w:highlight w:val="none"/>
          <w:lang w:val="en-US" w:eastAsia="zh-CN"/>
        </w:rPr>
        <w:t>本项目各项工作虽然按规定完成，但在预算绩效管理方面仍然存在问题。一是项目成本指标设置不规范不明确，未有效反映项目预算支出计划，导致难以衡量成本指标支出控制情况；二是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三是该项目的预算资金来源于中央专项、自治区专项以及县级配套资金，虽然资金来源不同，但用于同一用途同一受益对象，绩效目标设置时按照资金来源分别设置了绩效目标表，导致对县级配套资金支出的印证材料难以单独证明，对项目整体情况难以全面评价。</w:t>
      </w:r>
    </w:p>
    <w:p w14:paraId="17691C50">
      <w:pPr>
        <w:pStyle w:val="5"/>
        <w:bidi w:val="0"/>
        <w:rPr>
          <w:rFonts w:hint="eastAsia"/>
          <w:color w:val="auto"/>
          <w:highlight w:val="none"/>
        </w:rPr>
      </w:pPr>
      <w:r>
        <w:rPr>
          <w:rFonts w:hint="eastAsia"/>
          <w:color w:val="auto"/>
          <w:highlight w:val="none"/>
        </w:rPr>
        <w:t>（二）综合评价结论</w:t>
      </w:r>
    </w:p>
    <w:bookmarkEnd w:id="14"/>
    <w:p w14:paraId="6719C85D">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98分，绩效评级为“优秀”。综合评价结论如下：本项目决策指标共设置6个，满分20分，得分率90%；项目过程指标共设置5个，满分20分，得分率100%；项目产出指标共设置5个，满分24分，得分率100%；项目成本指标共设置3个，满分12分，得分率100%；项目效益指标共设置4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2F55F587">
      <w:pPr>
        <w:pStyle w:val="4"/>
        <w:numPr>
          <w:ilvl w:val="0"/>
          <w:numId w:val="2"/>
        </w:numPr>
        <w:ind w:firstLine="640"/>
        <w:rPr>
          <w:rFonts w:hint="eastAsia"/>
          <w:color w:val="auto"/>
          <w:highlight w:val="none"/>
        </w:rPr>
      </w:pPr>
      <w:r>
        <w:rPr>
          <w:rFonts w:hint="eastAsia"/>
          <w:color w:val="auto"/>
          <w:highlight w:val="none"/>
        </w:rPr>
        <w:t>绩效评价指标分析</w:t>
      </w:r>
    </w:p>
    <w:p w14:paraId="467598EF">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0FD4E019">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val="en-US" w:eastAsia="zh-CN"/>
        </w:rPr>
        <w:t>3</w:t>
      </w:r>
      <w:r>
        <w:rPr>
          <w:rFonts w:hint="eastAsia"/>
          <w:color w:val="auto"/>
          <w:highlight w:val="none"/>
          <w:lang w:eastAsia="zh-CN"/>
        </w:rPr>
        <w:t>个二级指标和</w:t>
      </w:r>
      <w:r>
        <w:rPr>
          <w:rFonts w:hint="eastAsia"/>
          <w:color w:val="auto"/>
          <w:highlight w:val="none"/>
          <w:lang w:val="en-US" w:eastAsia="zh-CN"/>
        </w:rPr>
        <w:t>6</w:t>
      </w:r>
      <w:r>
        <w:rPr>
          <w:rFonts w:hint="eastAsia"/>
          <w:color w:val="auto"/>
          <w:highlight w:val="none"/>
          <w:lang w:eastAsia="zh-CN"/>
        </w:rPr>
        <w:t>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w:t>
      </w:r>
    </w:p>
    <w:p w14:paraId="6D493793">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173278E9">
      <w:pPr>
        <w:bidi w:val="0"/>
        <w:rPr>
          <w:rFonts w:hint="eastAsia"/>
          <w:b/>
          <w:bCs/>
          <w:color w:val="auto"/>
          <w:highlight w:val="none"/>
        </w:rPr>
      </w:pPr>
      <w:r>
        <w:rPr>
          <w:rFonts w:hint="eastAsia"/>
          <w:b/>
          <w:bCs/>
          <w:color w:val="auto"/>
          <w:highlight w:val="none"/>
        </w:rPr>
        <w:t>（1）立项依据充分性：</w:t>
      </w:r>
    </w:p>
    <w:p w14:paraId="7CBDB728">
      <w:pPr>
        <w:bidi w:val="0"/>
        <w:rPr>
          <w:rFonts w:hint="eastAsia"/>
          <w:color w:val="auto"/>
          <w:highlight w:val="none"/>
        </w:rPr>
      </w:pPr>
      <w:r>
        <w:rPr>
          <w:rFonts w:hint="eastAsia"/>
          <w:color w:val="auto"/>
          <w:highlight w:val="none"/>
          <w:lang w:val="en-US" w:eastAsia="zh-CN"/>
        </w:rPr>
        <w:t>项目立项符合《中华人民共和国义务教育法》《国务院关于统筹推进县域内城乡义务教育一体化改革发展的若干意见》（国发[2016]40号）等国家相关决定、通知以及国民经济发展规划和相关政策；项目立项与我单位开展教育教学管理这一部门职责范围相符，属于部门履职所需；根据《财政资金直接支付申请书》，本项目资金性质为专项资金，功能分类分别为2050202，经济分类为商品和服务支出支出，根据《中华人民共和国预算法》</w:t>
      </w:r>
      <w:r>
        <w:rPr>
          <w:rFonts w:hint="eastAsia"/>
          <w:color w:val="auto"/>
          <w:highlight w:val="none"/>
        </w:rPr>
        <w:t>属于公共财政支持范围，符合中央、地方事权支出责任划分原则；经检查财政项目指标大平台，本项目不存在重复。</w:t>
      </w:r>
    </w:p>
    <w:p w14:paraId="47E783B5">
      <w:pPr>
        <w:bidi w:val="0"/>
        <w:rPr>
          <w:rFonts w:hint="eastAsia"/>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081A0187">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13275972">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项目按照规定的《中华人民共和国预算法》</w:t>
      </w:r>
      <w:r>
        <w:rPr>
          <w:rFonts w:hint="eastAsia"/>
          <w:color w:val="auto"/>
          <w:highlight w:val="none"/>
          <w:lang w:eastAsia="zh-CN"/>
        </w:rPr>
        <w:t>《中华人民共和国预算法实施条例》等</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14:paraId="4C7A8BA1">
      <w:pPr>
        <w:bidi w:val="0"/>
        <w:rPr>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3CE9387E">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7775D342">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1113F9C3">
      <w:pPr>
        <w:keepNext w:val="0"/>
        <w:keepLines w:val="0"/>
        <w:pageBreakBefore w:val="0"/>
        <w:widowControl/>
        <w:suppressLineNumbers w:val="0"/>
        <w:kinsoku/>
        <w:wordWrap/>
        <w:overflowPunct/>
        <w:topLinePunct w:val="0"/>
        <w:autoSpaceDE/>
        <w:autoSpaceDN/>
        <w:bidi w:val="0"/>
        <w:adjustRightInd/>
        <w:snapToGrid/>
        <w:ind w:right="0"/>
        <w:jc w:val="left"/>
        <w:textAlignment w:val="auto"/>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val="en-US" w:eastAsia="zh-CN"/>
        </w:rPr>
        <w:t>:</w:t>
      </w:r>
      <w:r>
        <w:rPr>
          <w:rFonts w:hint="eastAsia"/>
          <w:color w:val="auto"/>
          <w:highlight w:val="none"/>
        </w:rPr>
        <w:t>保障1518名学生享受城乡九年义务教育，改善学生教育教学环境、提高教育教学质量。 2、进一步优化教育机构，促进教育公平，优化结构，优先保障、强化管理，最终提高教育经费使用效益。</w:t>
      </w:r>
    </w:p>
    <w:p w14:paraId="1BC74408">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51BD8329">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了产出指标和效益指标</w:t>
      </w:r>
      <w:r>
        <w:rPr>
          <w:rFonts w:hint="eastAsia"/>
          <w:color w:val="auto"/>
          <w:highlight w:val="none"/>
        </w:rPr>
        <w:t>，预期产出效益和效果符合正常的业绩水平。</w:t>
      </w:r>
    </w:p>
    <w:p w14:paraId="5B62A524">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16.07</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16.07</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3949FE21">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3BB99CA5">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29E4FA16">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73100C2A">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w:t>
      </w:r>
      <w:r>
        <w:rPr>
          <w:rFonts w:hint="eastAsia"/>
          <w:color w:val="auto"/>
          <w:highlight w:val="none"/>
          <w:lang w:val="en-US" w:eastAsia="zh-CN"/>
        </w:rPr>
        <w:t>6个二级指标12个三级</w:t>
      </w:r>
      <w:r>
        <w:rPr>
          <w:rFonts w:hint="eastAsia"/>
          <w:color w:val="auto"/>
          <w:highlight w:val="none"/>
          <w:lang w:eastAsia="zh-CN"/>
        </w:rPr>
        <w:t>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83.33%</w:t>
      </w:r>
      <w:r>
        <w:rPr>
          <w:rFonts w:hint="eastAsia"/>
          <w:color w:val="auto"/>
          <w:highlight w:val="none"/>
          <w:lang w:eastAsia="zh-CN"/>
        </w:rPr>
        <w:t>；</w:t>
      </w:r>
    </w:p>
    <w:p w14:paraId="2FC3CA62">
      <w:pPr>
        <w:bidi w:val="0"/>
        <w:rPr>
          <w:rFonts w:hint="eastAsia" w:ascii="Times New Roman" w:hAnsi="Times New Roman" w:cs="Times New Roman"/>
          <w:color w:val="auto"/>
          <w:highlight w:val="none"/>
          <w:lang w:val="en-US"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《项目支出绩效目标表》，发现</w:t>
      </w:r>
      <w:r>
        <w:rPr>
          <w:rFonts w:hint="eastAsia"/>
          <w:color w:val="auto"/>
          <w:highlight w:val="none"/>
          <w:lang w:val="en-US" w:eastAsia="zh-CN"/>
        </w:rPr>
        <w:t>项目绩效指标设置不规范，成本指标设置不明确，未有效反</w:t>
      </w:r>
      <w:r>
        <w:rPr>
          <w:rFonts w:hint="eastAsia" w:ascii="Times New Roman" w:hAnsi="Times New Roman" w:cs="Times New Roman"/>
          <w:color w:val="auto"/>
          <w:highlight w:val="none"/>
          <w:lang w:val="en-US" w:eastAsia="zh-CN"/>
        </w:rPr>
        <w:t>映项目资金支出计划，导致指标业绩值不可衡量，根据评分要点，扣1.2分；改进措施：加强预算绩效管理工作的学习和考核，提高相关人员的预算管理能力，将项目绩效目标按照预算编制情况和资金支出计划合理设置成本指标和指标值。</w:t>
      </w:r>
    </w:p>
    <w:p w14:paraId="33200F1B">
      <w:pPr>
        <w:bidi w:val="0"/>
        <w:rPr>
          <w:rFonts w:hint="eastAsia"/>
          <w:highlight w:val="none"/>
          <w:lang w:eastAsia="zh-CN"/>
        </w:rPr>
      </w:pPr>
      <w:r>
        <w:rPr>
          <w:rFonts w:hint="eastAsia" w:ascii="Times New Roman" w:hAnsi="Times New Roman" w:cs="Times New Roman"/>
          <w:color w:val="auto"/>
          <w:highlight w:val="none"/>
          <w:lang w:val="en-US" w:eastAsia="zh-CN"/>
        </w:rPr>
        <w:t>③三级指标的年度指标值与年度绩效目</w:t>
      </w:r>
      <w:r>
        <w:rPr>
          <w:rFonts w:hint="eastAsia"/>
          <w:color w:val="auto"/>
          <w:highlight w:val="none"/>
          <w:lang w:eastAsia="zh-CN"/>
        </w:rPr>
        <w:t>标中任务数一致。</w:t>
      </w:r>
    </w:p>
    <w:p w14:paraId="7A7CE437">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1.8</w:t>
      </w:r>
      <w:r>
        <w:rPr>
          <w:rFonts w:hint="eastAsia" w:ascii="仿宋_GB2312" w:cs="仿宋_GB2312"/>
          <w:color w:val="auto"/>
          <w:szCs w:val="28"/>
          <w:highlight w:val="none"/>
          <w:lang w:eastAsia="zh-CN"/>
        </w:rPr>
        <w:t>分，本项目所设置绩效指标明确。</w:t>
      </w:r>
    </w:p>
    <w:p w14:paraId="586D3D3D">
      <w:pPr>
        <w:pStyle w:val="6"/>
        <w:bidi w:val="0"/>
        <w:rPr>
          <w:color w:val="auto"/>
          <w:highlight w:val="none"/>
        </w:rPr>
      </w:pPr>
      <w:r>
        <w:rPr>
          <w:rFonts w:hint="eastAsia"/>
          <w:color w:val="auto"/>
          <w:highlight w:val="none"/>
          <w:lang w:val="en-US" w:eastAsia="zh-CN"/>
        </w:rPr>
        <w:t>3.资金投入情况分析</w:t>
      </w:r>
    </w:p>
    <w:p w14:paraId="1C64F6A9">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01C2FD09">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w:t>
      </w:r>
      <w:r>
        <w:rPr>
          <w:rFonts w:hint="eastAsia" w:ascii="仿宋_GB2312" w:cs="仿宋_GB2312"/>
          <w:color w:val="auto"/>
          <w:sz w:val="28"/>
          <w:szCs w:val="28"/>
          <w:highlight w:val="none"/>
          <w:lang w:eastAsia="zh-CN"/>
        </w:rPr>
        <w:t>经过</w:t>
      </w:r>
      <w:r>
        <w:rPr>
          <w:rFonts w:hint="eastAsia" w:ascii="仿宋_GB2312" w:cs="仿宋_GB2312"/>
          <w:color w:val="auto"/>
          <w:sz w:val="28"/>
          <w:szCs w:val="28"/>
          <w:highlight w:val="none"/>
        </w:rPr>
        <w:t>科学论证</w:t>
      </w:r>
      <w:r>
        <w:rPr>
          <w:rFonts w:hint="eastAsia" w:ascii="仿宋_GB2312" w:cs="仿宋_GB2312"/>
          <w:color w:val="auto"/>
          <w:sz w:val="28"/>
          <w:szCs w:val="28"/>
          <w:highlight w:val="none"/>
          <w:lang w:eastAsia="zh-CN"/>
        </w:rPr>
        <w:t>，且预算内容与项目内容相匹配；</w:t>
      </w:r>
    </w:p>
    <w:p w14:paraId="3F8C7DF4">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16.07</w:t>
      </w:r>
      <w:r>
        <w:rPr>
          <w:rFonts w:hint="eastAsia" w:ascii="仿宋_GB2312" w:cs="仿宋_GB2312"/>
          <w:color w:val="auto"/>
          <w:sz w:val="28"/>
          <w:szCs w:val="28"/>
          <w:highlight w:val="none"/>
        </w:rPr>
        <w:t>万元，主要用于</w:t>
      </w:r>
      <w:r>
        <w:rPr>
          <w:rFonts w:hint="eastAsia" w:ascii="仿宋_GB2312" w:cs="仿宋_GB2312"/>
          <w:color w:val="auto"/>
          <w:sz w:val="28"/>
          <w:szCs w:val="28"/>
          <w:highlight w:val="none"/>
          <w:lang w:eastAsia="zh-CN"/>
        </w:rPr>
        <w:t>为小学在校生提供义务教育而正常发生的日常</w:t>
      </w:r>
      <w:r>
        <w:rPr>
          <w:rFonts w:hint="eastAsia"/>
          <w:color w:val="auto"/>
          <w:highlight w:val="none"/>
          <w:lang w:val="en-US" w:eastAsia="zh-CN"/>
        </w:rPr>
        <w:t>办公费、水费、电费、维修费等</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14:paraId="687C8E68">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ascii="仿宋_GB2312" w:cs="仿宋_GB2312"/>
          <w:color w:val="auto"/>
          <w:sz w:val="28"/>
          <w:szCs w:val="28"/>
          <w:highlight w:val="none"/>
          <w:lang w:eastAsia="zh-CN"/>
        </w:rPr>
        <w:t>由于</w:t>
      </w:r>
      <w:r>
        <w:rPr>
          <w:rFonts w:hint="eastAsia"/>
          <w:color w:val="auto"/>
          <w:highlight w:val="none"/>
          <w:lang w:eastAsia="zh-CN"/>
        </w:rPr>
        <w:t>成本指标未按照编制的预算支出填报，无法印证测算依据是否充分、标准，根据评分要点，扣0.8分；改进措施：</w:t>
      </w:r>
      <w:r>
        <w:rPr>
          <w:rFonts w:hint="eastAsia" w:ascii="仿宋_GB2312" w:cs="仿宋_GB2312"/>
          <w:color w:val="auto"/>
          <w:sz w:val="28"/>
          <w:szCs w:val="28"/>
          <w:highlight w:val="none"/>
          <w:lang w:val="en-US" w:eastAsia="zh-CN"/>
        </w:rPr>
        <w:t>注重加强预算编制工作的管理。在编报项目预算时要求指定详细的项目推进计划、明确分工、责任到人，以保证专项资金能够保质保量执行到位。</w:t>
      </w:r>
    </w:p>
    <w:p w14:paraId="0203A117">
      <w:pPr>
        <w:bidi w:val="0"/>
        <w:rPr>
          <w:rFonts w:hint="eastAsia"/>
          <w:color w:val="auto"/>
          <w:highlight w:val="none"/>
          <w:lang w:val="en-US" w:eastAsia="zh-CN"/>
        </w:rPr>
      </w:pPr>
      <w:r>
        <w:rPr>
          <w:rFonts w:hint="eastAsia"/>
          <w:color w:val="auto"/>
          <w:highlight w:val="none"/>
        </w:rPr>
        <w:t>④</w:t>
      </w:r>
      <w:r>
        <w:rPr>
          <w:rFonts w:hint="eastAsia"/>
          <w:color w:val="auto"/>
          <w:highlight w:val="none"/>
          <w:lang w:eastAsia="zh-CN"/>
        </w:rPr>
        <w:t>本</w:t>
      </w:r>
      <w:r>
        <w:rPr>
          <w:rFonts w:hint="eastAsia"/>
          <w:color w:val="auto"/>
          <w:highlight w:val="none"/>
          <w:lang w:val="en-US" w:eastAsia="zh-CN"/>
        </w:rPr>
        <w:t>项目资金主要用于支付办公费2.60455万元，水费1.44225万元，电费2万元，邮电费2万元，维修费6.3212万元，培训费0.9476万元，其他商品和服务支出0.7540元，与工作任务相匹配。</w:t>
      </w:r>
    </w:p>
    <w:p w14:paraId="51FF09DD">
      <w:pPr>
        <w:ind w:firstLine="56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w:t>
      </w:r>
      <w:r>
        <w:rPr>
          <w:rFonts w:hint="eastAsia" w:ascii="仿宋_GB2312" w:cs="仿宋_GB2312"/>
          <w:color w:val="auto"/>
          <w:sz w:val="28"/>
          <w:szCs w:val="28"/>
          <w:highlight w:val="none"/>
          <w:lang w:val="en-US" w:eastAsia="zh-CN"/>
        </w:rPr>
        <w:t>。</w:t>
      </w:r>
    </w:p>
    <w:p w14:paraId="1BBB1D8C">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72F23750">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lang w:eastAsia="zh-CN"/>
        </w:rPr>
      </w:pPr>
      <w:r>
        <w:rPr>
          <w:rFonts w:hint="eastAsia" w:ascii="仿宋_GB2312" w:hAnsi="Times New Roman" w:cs="仿宋_GB2312"/>
          <w:color w:val="auto"/>
          <w:sz w:val="28"/>
          <w:szCs w:val="28"/>
          <w:highlight w:val="none"/>
        </w:rPr>
        <w:t>①</w:t>
      </w:r>
      <w:r>
        <w:rPr>
          <w:rFonts w:hint="eastAsia" w:ascii="仿宋_GB2312" w:hAnsi="Times New Roman" w:cs="仿宋_GB2312"/>
          <w:color w:val="auto"/>
          <w:sz w:val="28"/>
          <w:szCs w:val="28"/>
          <w:highlight w:val="none"/>
          <w:lang w:val="en-US" w:eastAsia="zh-CN"/>
        </w:rPr>
        <w:t>本项目实际分配资金以关于2023年教育管理与及相关运行工作（教育费附加）托财预[2023]1号文件为依据进行资金分配，预算资金分配依据充分。</w:t>
      </w:r>
    </w:p>
    <w:p w14:paraId="50A72422">
      <w:pPr>
        <w:pStyle w:val="2"/>
        <w:rPr>
          <w:rFonts w:hint="eastAsia"/>
          <w:highlight w:val="none"/>
          <w:lang w:val="en-US" w:eastAsia="zh-CN"/>
        </w:rPr>
      </w:pPr>
      <w:r>
        <w:rPr>
          <w:rFonts w:hint="eastAsia" w:ascii="仿宋_GB2312" w:hAnsi="Times New Roman"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16.07</w:t>
      </w:r>
      <w:r>
        <w:rPr>
          <w:rFonts w:hint="eastAsia" w:ascii="仿宋_GB2312" w:hAnsi="Times New Roman" w:cs="仿宋_GB2312"/>
          <w:color w:val="auto"/>
          <w:sz w:val="28"/>
          <w:szCs w:val="28"/>
          <w:highlight w:val="none"/>
        </w:rPr>
        <w:t>万元，</w:t>
      </w:r>
      <w:r>
        <w:rPr>
          <w:rFonts w:hint="eastAsia" w:ascii="仿宋_GB2312" w:hAnsi="Times New Roman" w:cs="仿宋_GB2312"/>
          <w:color w:val="auto"/>
          <w:sz w:val="28"/>
          <w:szCs w:val="28"/>
          <w:highlight w:val="none"/>
          <w:lang w:eastAsia="zh-CN"/>
        </w:rPr>
        <w:t>预算目标</w:t>
      </w:r>
      <w:r>
        <w:rPr>
          <w:rFonts w:hint="eastAsia" w:ascii="仿宋_GB2312" w:hAnsi="Times New Roman" w:cs="仿宋_GB2312"/>
          <w:color w:val="auto"/>
          <w:sz w:val="28"/>
          <w:szCs w:val="28"/>
          <w:highlight w:val="none"/>
        </w:rPr>
        <w:t>分配资金与我单位提交</w:t>
      </w:r>
      <w:r>
        <w:rPr>
          <w:rFonts w:hint="eastAsia" w:ascii="仿宋_GB2312" w:hAnsi="Times New Roman" w:cs="仿宋_GB2312"/>
          <w:color w:val="auto"/>
          <w:sz w:val="28"/>
          <w:szCs w:val="28"/>
          <w:highlight w:val="none"/>
          <w:lang w:eastAsia="zh-CN"/>
        </w:rPr>
        <w:t>支付申请</w:t>
      </w:r>
      <w:r>
        <w:rPr>
          <w:rFonts w:hint="eastAsia" w:ascii="仿宋_GB2312" w:hAnsi="Times New Roman" w:cs="仿宋_GB2312"/>
          <w:color w:val="auto"/>
          <w:sz w:val="28"/>
          <w:szCs w:val="28"/>
          <w:highlight w:val="none"/>
        </w:rPr>
        <w:t>的资金额度一致</w:t>
      </w:r>
      <w:r>
        <w:rPr>
          <w:rFonts w:hint="eastAsia" w:ascii="仿宋_GB2312" w:cs="仿宋_GB2312"/>
          <w:color w:val="auto"/>
          <w:sz w:val="28"/>
          <w:szCs w:val="28"/>
          <w:highlight w:val="none"/>
          <w:lang w:val="en-US" w:eastAsia="zh-CN"/>
        </w:rPr>
        <w:t>。</w:t>
      </w:r>
    </w:p>
    <w:p w14:paraId="206B9EBC">
      <w:pPr>
        <w:pageBreakBefore w:val="0"/>
        <w:kinsoku/>
        <w:wordWrap/>
        <w:topLinePunct w:val="0"/>
        <w:autoSpaceDE/>
        <w:autoSpaceDN/>
        <w:bidi w:val="0"/>
        <w:spacing w:line="560" w:lineRule="exact"/>
        <w:ind w:right="0" w:rightChars="0" w:firstLine="643"/>
        <w:rPr>
          <w:rFonts w:hint="eastAsia" w:ascii="仿宋_GB2312" w:hAnsi="Times New Roman" w:eastAsia="仿宋_GB2312" w:cs="仿宋_GB2312"/>
          <w:color w:val="auto"/>
          <w:sz w:val="28"/>
          <w:szCs w:val="28"/>
          <w:highlight w:val="none"/>
          <w:lang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w:t>
      </w:r>
    </w:p>
    <w:p w14:paraId="4E2E06B7">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4F047619">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6F9BB143">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4C553E13">
      <w:pPr>
        <w:bidi w:val="0"/>
        <w:rPr>
          <w:rFonts w:hint="eastAsia"/>
          <w:b/>
          <w:bCs/>
          <w:color w:val="auto"/>
          <w:highlight w:val="none"/>
        </w:rPr>
      </w:pPr>
      <w:r>
        <w:rPr>
          <w:rFonts w:hint="eastAsia"/>
          <w:b/>
          <w:bCs/>
          <w:color w:val="auto"/>
          <w:highlight w:val="none"/>
        </w:rPr>
        <w:t>（1）资金到位率：</w:t>
      </w:r>
    </w:p>
    <w:p w14:paraId="4E2EB1E6">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16.07</w:t>
      </w:r>
      <w:r>
        <w:rPr>
          <w:rFonts w:hint="eastAsia"/>
          <w:color w:val="auto"/>
          <w:highlight w:val="none"/>
        </w:rPr>
        <w:t>万元，实际到位资金</w:t>
      </w:r>
      <w:r>
        <w:rPr>
          <w:rFonts w:hint="eastAsia"/>
          <w:color w:val="auto"/>
          <w:highlight w:val="none"/>
          <w:lang w:val="en-US" w:eastAsia="zh-CN"/>
        </w:rPr>
        <w:t>16.07</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020191A5">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4F67CD13">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47FD75DF">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16.07</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16.07</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16.07/16.07</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2D02E932">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14:paraId="20CE62D5">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55FBACD9">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中小学校公用经费</w:t>
      </w:r>
      <w:r>
        <w:rPr>
          <w:rFonts w:hint="eastAsia"/>
          <w:color w:val="auto"/>
          <w:highlight w:val="none"/>
        </w:rPr>
        <w:t>管理办法》，资金的拨付有完整的审批程序和手续，资金实际使用方向与预算批复用途一致，不存在截留、挤占、挪用、虚列支出的情况。</w:t>
      </w:r>
    </w:p>
    <w:p w14:paraId="06A173BF">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4C7887C6">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74D6AC11">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0A5F9C5D">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14:paraId="5F8280E9">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7858A9D2">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2F270D16">
      <w:pPr>
        <w:bidi w:val="0"/>
        <w:rPr>
          <w:rFonts w:hint="eastAsia"/>
          <w:color w:val="auto"/>
          <w:highlight w:val="none"/>
          <w:lang w:eastAsia="zh-CN"/>
        </w:rPr>
      </w:pPr>
      <w:r>
        <w:rPr>
          <w:rFonts w:hint="eastAsia"/>
          <w:color w:val="auto"/>
          <w:highlight w:val="none"/>
        </w:rPr>
        <w:t>该项目的</w:t>
      </w:r>
      <w:r>
        <w:rPr>
          <w:rFonts w:hint="eastAsia"/>
          <w:color w:val="auto"/>
          <w:highlight w:val="none"/>
          <w:lang w:val="en-US" w:eastAsia="zh-CN"/>
        </w:rPr>
        <w:t>实施遵守了国家相关法律法规和</w:t>
      </w:r>
      <w:r>
        <w:rPr>
          <w:rFonts w:hint="eastAsia"/>
          <w:color w:val="auto"/>
          <w:highlight w:val="none"/>
          <w:lang w:eastAsia="zh-CN"/>
        </w:rPr>
        <w:t>单位内部的《</w:t>
      </w:r>
      <w:r>
        <w:rPr>
          <w:rFonts w:hint="eastAsia"/>
          <w:color w:val="auto"/>
          <w:highlight w:val="none"/>
          <w:lang w:val="en-US" w:eastAsia="zh-CN"/>
        </w:rPr>
        <w:t>中小学校公用经费</w:t>
      </w:r>
      <w:r>
        <w:rPr>
          <w:rFonts w:hint="eastAsia"/>
          <w:color w:val="auto"/>
          <w:highlight w:val="none"/>
        </w:rPr>
        <w:t>管理办法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eastAsia="zh-CN"/>
        </w:rPr>
        <w:t>等制度和相关规定</w:t>
      </w:r>
      <w:r>
        <w:rPr>
          <w:rFonts w:hint="eastAsia"/>
          <w:color w:val="auto"/>
          <w:highlight w:val="none"/>
        </w:rPr>
        <w:t>；</w:t>
      </w:r>
      <w:r>
        <w:rPr>
          <w:rFonts w:hint="eastAsia"/>
          <w:color w:val="auto"/>
          <w:highlight w:val="none"/>
          <w:lang w:eastAsia="zh-CN"/>
        </w:rPr>
        <w:t>项目实施过程中产生的各项资料较为齐全并按照单位的《档案管理办法》及时归档。</w:t>
      </w:r>
    </w:p>
    <w:p w14:paraId="70DCE6EA">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7060297A">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19AA8DD5">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3256DEDC">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74D2A1A7">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享受义务教育（小学阶段）学生数量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1518人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1518人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w:t>
      </w:r>
      <w:r>
        <w:rPr>
          <w:rFonts w:hint="eastAsia" w:ascii="仿宋_GB2312" w:hAnsi="仿宋_GB2312" w:cs="仿宋_GB2312"/>
          <w:color w:val="auto"/>
          <w:sz w:val="28"/>
          <w:szCs w:val="28"/>
          <w:highlight w:val="none"/>
        </w:rPr>
        <w:t>标满分为</w:t>
      </w:r>
      <w:r>
        <w:rPr>
          <w:rFonts w:hint="eastAsia" w:ascii="仿宋_GB2312" w:hAns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w:t>
      </w:r>
    </w:p>
    <w:p w14:paraId="0311F1A0">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学生取暖费补助人数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1518人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1518人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w:t>
      </w:r>
    </w:p>
    <w:p w14:paraId="0CF00FCB">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14:paraId="738DD9CB">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九年义务教育巩固率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w:t>
      </w:r>
    </w:p>
    <w:p w14:paraId="68EC28D6">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w:t>
      </w:r>
    </w:p>
    <w:p w14:paraId="1B449B5B">
      <w:pPr>
        <w:pStyle w:val="6"/>
        <w:bidi w:val="0"/>
        <w:rPr>
          <w:rFonts w:hint="eastAsia"/>
          <w:color w:val="auto"/>
          <w:highlight w:val="none"/>
        </w:rPr>
      </w:pPr>
      <w:r>
        <w:rPr>
          <w:rFonts w:hint="eastAsia"/>
          <w:color w:val="auto"/>
          <w:highlight w:val="none"/>
          <w:lang w:val="en-US" w:eastAsia="zh-CN"/>
        </w:rPr>
        <w:t>3.时效指标完成情况分析</w:t>
      </w:r>
    </w:p>
    <w:p w14:paraId="16E9FEC6">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w:t>
      </w:r>
    </w:p>
    <w:p w14:paraId="30C5F99A">
      <w:pPr>
        <w:pStyle w:val="6"/>
        <w:bidi w:val="0"/>
        <w:rPr>
          <w:rFonts w:hint="eastAsia"/>
          <w:color w:val="auto"/>
          <w:highlight w:val="none"/>
        </w:rPr>
      </w:pPr>
      <w:r>
        <w:rPr>
          <w:rFonts w:hint="eastAsia"/>
          <w:color w:val="auto"/>
          <w:highlight w:val="none"/>
          <w:lang w:val="en-US" w:eastAsia="zh-CN"/>
        </w:rPr>
        <w:t>4.成本指标完成情况分析</w:t>
      </w:r>
    </w:p>
    <w:p w14:paraId="5F34B044">
      <w:pPr>
        <w:bidi w:val="0"/>
        <w:rPr>
          <w:rFonts w:hint="eastAsia" w:ascii="仿宋_GB2312" w:cs="仿宋_GB2312"/>
          <w:sz w:val="28"/>
          <w:szCs w:val="28"/>
          <w:highlight w:val="none"/>
        </w:rPr>
      </w:pPr>
      <w:r>
        <w:rPr>
          <w:rFonts w:hint="eastAsia" w:ascii="仿宋_GB2312" w:cs="仿宋_GB2312"/>
          <w:sz w:val="28"/>
          <w:szCs w:val="28"/>
          <w:highlight w:val="none"/>
        </w:rPr>
        <w:t>项目产出类指标包括</w:t>
      </w:r>
      <w:r>
        <w:rPr>
          <w:rFonts w:hint="eastAsia" w:ascii="仿宋_GB2312" w:cs="仿宋_GB2312"/>
          <w:sz w:val="28"/>
          <w:szCs w:val="28"/>
          <w:highlight w:val="none"/>
          <w:lang w:val="en-US" w:eastAsia="zh-CN"/>
        </w:rPr>
        <w:t>经济成本、社会成本、生态环境成本三</w:t>
      </w:r>
      <w:r>
        <w:rPr>
          <w:rFonts w:hint="eastAsia" w:ascii="仿宋_GB2312" w:cs="仿宋_GB2312"/>
          <w:sz w:val="28"/>
          <w:szCs w:val="28"/>
          <w:highlight w:val="none"/>
        </w:rPr>
        <w:t>方面的内容，</w:t>
      </w:r>
      <w:r>
        <w:rPr>
          <w:rFonts w:hint="eastAsia" w:ascii="仿宋_GB2312" w:cs="仿宋_GB2312"/>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，得分率</w:t>
      </w:r>
      <w:r>
        <w:rPr>
          <w:rFonts w:hint="eastAsia" w:ascii="仿宋_GB2312" w:cs="仿宋_GB2312"/>
          <w:sz w:val="28"/>
          <w:szCs w:val="28"/>
          <w:highlight w:val="none"/>
          <w:lang w:eastAsia="zh-CN"/>
        </w:rPr>
        <w:t>为</w:t>
      </w:r>
      <w:r>
        <w:rPr>
          <w:rFonts w:hint="eastAsia" w:ascii="仿宋_GB2312" w:cs="仿宋_GB2312"/>
          <w:sz w:val="28"/>
          <w:szCs w:val="28"/>
          <w:highlight w:val="none"/>
          <w:lang w:val="en-US" w:eastAsia="zh-CN"/>
        </w:rPr>
        <w:t>100%</w:t>
      </w:r>
      <w:r>
        <w:rPr>
          <w:rFonts w:hint="eastAsia" w:ascii="仿宋_GB2312" w:cs="仿宋_GB2312"/>
          <w:sz w:val="28"/>
          <w:szCs w:val="28"/>
          <w:highlight w:val="none"/>
        </w:rPr>
        <w:t>。</w:t>
      </w:r>
    </w:p>
    <w:p w14:paraId="3FE59EAF">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义务教育小学阶段公用经费生均标准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91元/人/学年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91元/人/学年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0E8546E5">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学生取暖费生均补助标准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12元/人/学年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258F64EC">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义务教育小学阶段公用经费人员变动预拨资金</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4497.8元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4497.8元</w:t>
      </w:r>
      <w:r>
        <w:rPr>
          <w:rFonts w:hint="eastAsia" w:ascii="仿宋_GB2312" w:hAnsi="仿宋_GB2312" w:cs="仿宋_GB2312"/>
          <w:color w:val="auto"/>
          <w:sz w:val="28"/>
          <w:szCs w:val="28"/>
          <w:highlight w:val="none"/>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3.6</w:t>
      </w:r>
      <w:r>
        <w:rPr>
          <w:rFonts w:hint="eastAsia" w:ascii="仿宋_GB2312" w:hAnsi="仿宋_GB2312" w:cs="仿宋_GB2312"/>
          <w:color w:val="auto"/>
          <w:sz w:val="28"/>
          <w:szCs w:val="28"/>
          <w:highlight w:val="none"/>
        </w:rPr>
        <w:t>分。</w:t>
      </w:r>
    </w:p>
    <w:p w14:paraId="669657FB">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14:paraId="56279006">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2</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4</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46680286">
      <w:pPr>
        <w:pStyle w:val="6"/>
        <w:bidi w:val="0"/>
        <w:rPr>
          <w:rFonts w:hint="eastAsia" w:cs="仿宋_GB2312"/>
          <w:b/>
          <w:bCs/>
          <w:color w:val="auto"/>
          <w:sz w:val="28"/>
          <w:szCs w:val="28"/>
          <w:highlight w:val="none"/>
          <w:lang w:val="en-US" w:eastAsia="zh-CN"/>
        </w:rPr>
      </w:pPr>
      <w:r>
        <w:rPr>
          <w:rFonts w:hint="eastAsia" w:cs="仿宋_GB2312"/>
          <w:b/>
          <w:bCs/>
          <w:color w:val="auto"/>
          <w:sz w:val="28"/>
          <w:szCs w:val="28"/>
          <w:highlight w:val="none"/>
          <w:lang w:val="en-US" w:eastAsia="zh-CN"/>
        </w:rPr>
        <w:t>1.经济效益指标完成情况分析</w:t>
      </w:r>
    </w:p>
    <w:p w14:paraId="0E168743">
      <w:pPr>
        <w:numPr>
          <w:ilvl w:val="0"/>
          <w:numId w:val="0"/>
        </w:numPr>
        <w:ind w:firstLine="560" w:firstLineChars="200"/>
        <w:rPr>
          <w:rFonts w:hint="default"/>
          <w:color w:val="auto"/>
          <w:highlight w:val="none"/>
          <w:lang w:val="en-US" w:eastAsia="zh-CN"/>
        </w:rPr>
      </w:pPr>
      <w:r>
        <w:rPr>
          <w:rFonts w:hint="eastAsia"/>
          <w:color w:val="auto"/>
          <w:highlight w:val="none"/>
          <w:lang w:val="en-US" w:eastAsia="zh-CN"/>
        </w:rPr>
        <w:t>无</w:t>
      </w:r>
    </w:p>
    <w:p w14:paraId="51BDED6B">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40FFAF45">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保障学生义务教育，促进教育公平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4EE98866">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“减轻学生就学经济负担</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有效减轻</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62EC5779">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14:paraId="43EBA69B">
      <w:pPr>
        <w:bidi w:val="0"/>
        <w:rPr>
          <w:rFonts w:hint="default"/>
          <w:color w:val="auto"/>
          <w:highlight w:val="none"/>
          <w:lang w:val="en-US" w:eastAsia="zh-CN"/>
        </w:rPr>
      </w:pPr>
      <w:r>
        <w:rPr>
          <w:rFonts w:hint="eastAsia"/>
          <w:color w:val="auto"/>
          <w:highlight w:val="none"/>
          <w:lang w:val="en-US" w:eastAsia="zh-CN"/>
        </w:rPr>
        <w:t>无</w:t>
      </w:r>
    </w:p>
    <w:p w14:paraId="75A6C1AA">
      <w:pPr>
        <w:pStyle w:val="6"/>
        <w:bidi w:val="0"/>
        <w:rPr>
          <w:rFonts w:hint="eastAsia"/>
          <w:color w:val="auto"/>
          <w:highlight w:val="none"/>
          <w:lang w:val="en-US" w:eastAsia="zh-CN"/>
        </w:rPr>
      </w:pPr>
      <w:r>
        <w:rPr>
          <w:rFonts w:hint="eastAsia"/>
          <w:color w:val="auto"/>
          <w:highlight w:val="none"/>
          <w:lang w:val="en-US" w:eastAsia="zh-CN"/>
        </w:rPr>
        <w:t>4.可持续影响指标完成情况分析</w:t>
      </w:r>
    </w:p>
    <w:p w14:paraId="7E20FC01">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无</w:t>
      </w:r>
    </w:p>
    <w:p w14:paraId="4D63DD8D">
      <w:pPr>
        <w:pStyle w:val="6"/>
        <w:bidi w:val="0"/>
        <w:rPr>
          <w:rFonts w:hint="eastAsia"/>
          <w:color w:val="auto"/>
          <w:highlight w:val="none"/>
          <w:lang w:val="en-US" w:eastAsia="zh-CN"/>
        </w:rPr>
      </w:pPr>
      <w:r>
        <w:rPr>
          <w:rFonts w:hint="eastAsia"/>
          <w:color w:val="auto"/>
          <w:highlight w:val="none"/>
          <w:lang w:val="en-US" w:eastAsia="zh-CN"/>
        </w:rPr>
        <w:t>5.满意度指标完成情况分析</w:t>
      </w:r>
    </w:p>
    <w:p w14:paraId="0DCCBF62">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学校和老师的满意度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91.33%</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r>
        <w:rPr>
          <w:rFonts w:hint="eastAsia"/>
          <w:color w:val="auto"/>
          <w:highlight w:val="none"/>
          <w:lang w:eastAsia="zh-CN"/>
        </w:rPr>
        <w:t>。</w:t>
      </w:r>
    </w:p>
    <w:p w14:paraId="6D2CA64F">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家长和学生的满意度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91.50%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bookmarkEnd w:id="15"/>
      <w:r>
        <w:rPr>
          <w:rFonts w:hint="eastAsia"/>
          <w:color w:val="auto"/>
          <w:highlight w:val="none"/>
          <w:lang w:eastAsia="zh-CN"/>
        </w:rPr>
        <w:t>。</w:t>
      </w:r>
    </w:p>
    <w:p w14:paraId="60C9B553">
      <w:pPr>
        <w:pStyle w:val="4"/>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14:paraId="0D66817F">
      <w:pPr>
        <w:bidi w:val="0"/>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eastAsia="zh-CN"/>
        </w:rPr>
        <w:t>本项目</w:t>
      </w:r>
      <w:r>
        <w:rPr>
          <w:rFonts w:hint="eastAsia" w:ascii="仿宋_GB2312" w:hAnsi="Times New Roman" w:cs="仿宋_GB2312"/>
          <w:color w:val="auto"/>
          <w:sz w:val="28"/>
          <w:szCs w:val="28"/>
          <w:highlight w:val="none"/>
          <w:lang w:val="en-US" w:eastAsia="zh-CN"/>
        </w:rPr>
        <w:t>全年预算数为16.07万元，全年到位数为16.07万元，全年执行数为16.07万元，预算执行率为100%。</w:t>
      </w:r>
    </w:p>
    <w:p w14:paraId="45610181">
      <w:pPr>
        <w:bidi w:val="0"/>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w:t>
      </w:r>
      <w:r>
        <w:rPr>
          <w:rFonts w:hint="eastAsia" w:ascii="仿宋_GB2312" w:hAnsi="Times New Roman" w:cs="仿宋_GB2312"/>
          <w:color w:val="auto"/>
          <w:sz w:val="28"/>
          <w:szCs w:val="28"/>
          <w:highlight w:val="none"/>
          <w:lang w:val="zh-TW" w:eastAsia="zh-TW"/>
        </w:rPr>
        <w:t>项目共设置</w:t>
      </w:r>
      <w:r>
        <w:rPr>
          <w:rFonts w:hint="eastAsia" w:ascii="仿宋_GB2312" w:hAnsi="Times New Roman" w:cs="仿宋_GB2312"/>
          <w:color w:val="auto"/>
          <w:sz w:val="28"/>
          <w:szCs w:val="28"/>
          <w:highlight w:val="none"/>
        </w:rPr>
        <w:t>三级指标数量</w:t>
      </w:r>
      <w:r>
        <w:rPr>
          <w:rFonts w:hint="eastAsia" w:ascii="仿宋_GB2312" w:hAnsi="Times New Roman" w:cs="仿宋_GB2312"/>
          <w:color w:val="auto"/>
          <w:sz w:val="28"/>
          <w:szCs w:val="28"/>
          <w:highlight w:val="none"/>
          <w:lang w:val="en-US" w:eastAsia="zh-CN"/>
        </w:rPr>
        <w:t>12</w:t>
      </w:r>
      <w:r>
        <w:rPr>
          <w:rFonts w:hint="eastAsia" w:ascii="仿宋_GB2312" w:hAnsi="Times New Roman" w:cs="仿宋_GB2312"/>
          <w:color w:val="auto"/>
          <w:sz w:val="28"/>
          <w:szCs w:val="28"/>
          <w:highlight w:val="none"/>
          <w:lang w:val="zh-TW" w:eastAsia="zh-TW"/>
        </w:rPr>
        <w:t>个，</w:t>
      </w:r>
      <w:r>
        <w:rPr>
          <w:rFonts w:hint="eastAsia" w:ascii="仿宋_GB2312" w:hAnsi="Times New Roman" w:cs="仿宋_GB2312"/>
          <w:color w:val="auto"/>
          <w:sz w:val="28"/>
          <w:szCs w:val="28"/>
          <w:highlight w:val="none"/>
          <w:lang w:val="zh-TW" w:eastAsia="zh-CN"/>
        </w:rPr>
        <w:t>满分指标数量</w:t>
      </w:r>
      <w:r>
        <w:rPr>
          <w:rFonts w:hint="eastAsia" w:ascii="仿宋_GB2312" w:hAnsi="Times New Roman" w:cs="仿宋_GB2312"/>
          <w:color w:val="auto"/>
          <w:sz w:val="28"/>
          <w:szCs w:val="28"/>
          <w:highlight w:val="none"/>
          <w:lang w:val="en-US" w:eastAsia="zh-CN"/>
        </w:rPr>
        <w:t>12个，扣分指标数量0个，经分析计算所有三级指标完成率得出本项目</w:t>
      </w:r>
      <w:r>
        <w:rPr>
          <w:rFonts w:hint="eastAsia" w:ascii="仿宋_GB2312" w:hAnsi="Times New Roman" w:cs="仿宋_GB2312"/>
          <w:color w:val="auto"/>
          <w:sz w:val="28"/>
          <w:szCs w:val="28"/>
          <w:highlight w:val="none"/>
        </w:rPr>
        <w:t>总体完成率为</w:t>
      </w:r>
      <w:r>
        <w:rPr>
          <w:rFonts w:hint="eastAsia" w:ascii="仿宋_GB2312" w:hAnsi="Times New Roman" w:cs="仿宋_GB2312"/>
          <w:color w:val="auto"/>
          <w:sz w:val="28"/>
          <w:szCs w:val="28"/>
          <w:highlight w:val="none"/>
          <w:lang w:val="en-US" w:eastAsia="zh-CN"/>
        </w:rPr>
        <w:t>100%</w:t>
      </w:r>
      <w:r>
        <w:rPr>
          <w:rFonts w:hint="eastAsia" w:ascii="仿宋_GB2312" w:hAnsi="Times New Roman" w:cs="仿宋_GB2312"/>
          <w:color w:val="auto"/>
          <w:sz w:val="28"/>
          <w:szCs w:val="28"/>
          <w:highlight w:val="none"/>
          <w:lang w:val="zh-TW" w:eastAsia="zh-TW"/>
        </w:rPr>
        <w:t>。</w:t>
      </w:r>
    </w:p>
    <w:p w14:paraId="66A85070">
      <w:pPr>
        <w:bidi w:val="0"/>
        <w:rPr>
          <w:rFonts w:hint="default"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val="en-US" w:eastAsia="zh-CN"/>
        </w:rPr>
        <w:t>综上所述本项目预算执行率与总体完成率之间的偏差为无偏差。</w:t>
      </w:r>
    </w:p>
    <w:p w14:paraId="7FFA0F86">
      <w:pPr>
        <w:pStyle w:val="4"/>
        <w:ind w:firstLine="640"/>
        <w:rPr>
          <w:rFonts w:hint="eastAsia" w:eastAsia="黑体"/>
          <w:color w:val="auto"/>
          <w:highlight w:val="none"/>
          <w:lang w:val="en-US" w:eastAsia="zh-CN"/>
        </w:rPr>
      </w:pPr>
      <w:r>
        <w:rPr>
          <w:rFonts w:hint="eastAsia"/>
          <w:color w:val="auto"/>
          <w:highlight w:val="none"/>
          <w:lang w:eastAsia="zh-CN"/>
        </w:rPr>
        <w:t>六</w:t>
      </w:r>
      <w:r>
        <w:rPr>
          <w:rFonts w:hint="eastAsia"/>
          <w:color w:val="auto"/>
          <w:highlight w:val="none"/>
        </w:rPr>
        <w:t>、主要经验及做法、存在的问题及原因分析</w:t>
      </w:r>
    </w:p>
    <w:p w14:paraId="3DEA76C2">
      <w:pPr>
        <w:pStyle w:val="5"/>
        <w:numPr>
          <w:ilvl w:val="0"/>
          <w:numId w:val="4"/>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14:paraId="794B750E">
      <w:pPr>
        <w:spacing w:line="560" w:lineRule="exact"/>
        <w:ind w:firstLine="640" w:firstLineChars="200"/>
        <w:rPr>
          <w:rFonts w:hint="eastAsia" w:ascii="仿宋_GB2312" w:hAnsi="仿宋_GB2312" w:cs="仿宋_GB2312"/>
          <w:color w:val="auto"/>
          <w:sz w:val="28"/>
          <w:szCs w:val="28"/>
          <w:highlight w:val="none"/>
          <w:lang w:val="en-US" w:eastAsia="zh-CN"/>
        </w:rPr>
      </w:pPr>
      <w:r>
        <w:rPr>
          <w:rFonts w:hint="eastAsia" w:ascii="仿宋_GB2312"/>
          <w:bCs/>
          <w:color w:val="auto"/>
          <w:sz w:val="32"/>
          <w:szCs w:val="32"/>
          <w:highlight w:val="none"/>
        </w:rPr>
        <w:t>一</w:t>
      </w:r>
      <w:r>
        <w:rPr>
          <w:rFonts w:hint="eastAsia" w:ascii="仿宋_GB2312" w:hAnsi="仿宋_GB2312" w:cs="仿宋_GB2312"/>
          <w:color w:val="auto"/>
          <w:sz w:val="28"/>
          <w:szCs w:val="28"/>
          <w:highlight w:val="none"/>
          <w:lang w:val="en-US" w:eastAsia="zh-CN"/>
        </w:rPr>
        <w:t>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14:paraId="290C1B20">
      <w:pPr>
        <w:pStyle w:val="5"/>
        <w:numPr>
          <w:ilvl w:val="0"/>
          <w:numId w:val="4"/>
        </w:numPr>
        <w:ind w:firstLine="643"/>
        <w:rPr>
          <w:color w:val="auto"/>
          <w:highlight w:val="none"/>
        </w:rPr>
      </w:pPr>
      <w:r>
        <w:rPr>
          <w:rFonts w:hint="eastAsia"/>
          <w:color w:val="auto"/>
          <w:highlight w:val="none"/>
        </w:rPr>
        <w:t>存在的问题及原因分析</w:t>
      </w:r>
    </w:p>
    <w:p w14:paraId="2A07EAAE">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1、项目绩效指标设置不规范，成本指标设置不明确，未有效反映项目资金支出计划，导致难以衡量成本指标支出控制情况。</w:t>
      </w:r>
    </w:p>
    <w:p w14:paraId="7970A0DD">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项目绩效指标不便于衡量，由于2023年城乡义务教育生均公用经费（小学）来源有中央资金、自治区资金、县级配套资金，绩效目标设置时按照资金来源分别设置绩效目标表，导致对县级配套资金支出的印证材料难以单独证明，对项目整体情况难以全面评价，反映出单位人员对预算绩效管理还存在理解不到位的情况。</w:t>
      </w:r>
    </w:p>
    <w:p w14:paraId="4CEEBD3C">
      <w:pPr>
        <w:pStyle w:val="2"/>
        <w:rPr>
          <w:rFonts w:hint="eastAsia"/>
          <w:highlight w:val="none"/>
          <w:lang w:val="en-US" w:eastAsia="zh-CN"/>
        </w:rPr>
      </w:pPr>
      <w:r>
        <w:rPr>
          <w:rFonts w:hint="eastAsia"/>
          <w:color w:val="auto"/>
          <w:highlight w:val="none"/>
          <w:lang w:val="en-US" w:eastAsia="zh-CN"/>
        </w:rPr>
        <w:t>3、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w:t>
      </w:r>
    </w:p>
    <w:p w14:paraId="69A6EEA0">
      <w:pPr>
        <w:spacing w:line="560" w:lineRule="exact"/>
        <w:ind w:firstLine="562" w:firstLineChars="200"/>
        <w:rPr>
          <w:b/>
          <w:bCs/>
          <w:color w:val="auto"/>
          <w:highlight w:val="none"/>
        </w:rPr>
      </w:pPr>
      <w:r>
        <w:rPr>
          <w:rFonts w:hint="eastAsia"/>
          <w:b/>
          <w:bCs/>
          <w:color w:val="auto"/>
          <w:highlight w:val="none"/>
          <w:lang w:eastAsia="zh-CN"/>
        </w:rPr>
        <w:t>七</w:t>
      </w:r>
      <w:r>
        <w:rPr>
          <w:rFonts w:hint="eastAsia"/>
          <w:b/>
          <w:bCs/>
          <w:color w:val="auto"/>
          <w:highlight w:val="none"/>
        </w:rPr>
        <w:t>、有关建议</w:t>
      </w:r>
    </w:p>
    <w:p w14:paraId="3D00F500">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1、建议将资金来源不同，但资金用途一致、受益对象一致的项目进行合并，编制1个绩效目标，对当年同一项目的追加资金通过绩效目标调整功能进行调整，以达到全面反映对项目全过程的目标。</w:t>
      </w:r>
    </w:p>
    <w:p w14:paraId="50B9DFF7">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建议加强预算绩效管理工作的学习和考核，提高相关人员的预算管理能力，将项目绩效目标按照预算编制情况和资金支出计划合理设置成本指标和指标值，以便对项目资金支出范围、支出控制情况进行跟进管理，实现资金使用效益最大化。</w:t>
      </w:r>
    </w:p>
    <w:p w14:paraId="24764399">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3、注重加强预算编制工作的管理。在编报项目预算时要求指定详细的项目推进计划、明确分工、责任到人，以保证专项资金能够保质保量执行到位。</w:t>
      </w:r>
    </w:p>
    <w:p w14:paraId="4714098B">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35CF7ED0">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3F55F38D">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6C9E2313">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2E125A35">
      <w:pPr>
        <w:rPr>
          <w:rFonts w:hint="default"/>
          <w:color w:val="auto"/>
          <w:highlight w:val="none"/>
          <w:lang w:val="en-US" w:eastAsia="zh-CN"/>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6DE6C">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299FB">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87A6E">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DC715">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2E4CBB">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12E4CBB">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11A2F">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0569C">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0ECD1">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abstractNum w:abstractNumId="3">
    <w:nsid w:val="762E629C"/>
    <w:multiLevelType w:val="singleLevel"/>
    <w:tmpl w:val="762E629C"/>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1MDJmOTFmNmFkYWZjOTBhMjA0Mjk3NTk1Yjk4MTUifQ=="/>
  </w:docVars>
  <w:rsids>
    <w:rsidRoot w:val="00000000"/>
    <w:rsid w:val="015D2181"/>
    <w:rsid w:val="022C2BA3"/>
    <w:rsid w:val="025956BB"/>
    <w:rsid w:val="03642D73"/>
    <w:rsid w:val="03A2230D"/>
    <w:rsid w:val="076F6316"/>
    <w:rsid w:val="081D34E8"/>
    <w:rsid w:val="08CE7D6A"/>
    <w:rsid w:val="093163F3"/>
    <w:rsid w:val="094648ED"/>
    <w:rsid w:val="09E93504"/>
    <w:rsid w:val="0AF22BF1"/>
    <w:rsid w:val="0C590374"/>
    <w:rsid w:val="0C675DD7"/>
    <w:rsid w:val="0E19359E"/>
    <w:rsid w:val="0FCC13BF"/>
    <w:rsid w:val="10B93464"/>
    <w:rsid w:val="127F2330"/>
    <w:rsid w:val="1288063A"/>
    <w:rsid w:val="1360314F"/>
    <w:rsid w:val="17153337"/>
    <w:rsid w:val="175353D7"/>
    <w:rsid w:val="17AD22C5"/>
    <w:rsid w:val="17B35DB7"/>
    <w:rsid w:val="18201417"/>
    <w:rsid w:val="18982224"/>
    <w:rsid w:val="18BC7BFA"/>
    <w:rsid w:val="1B4423CB"/>
    <w:rsid w:val="1D59375E"/>
    <w:rsid w:val="217007FD"/>
    <w:rsid w:val="223905D4"/>
    <w:rsid w:val="2493704D"/>
    <w:rsid w:val="259E7640"/>
    <w:rsid w:val="25D32AED"/>
    <w:rsid w:val="266100F9"/>
    <w:rsid w:val="272D6662"/>
    <w:rsid w:val="279969CF"/>
    <w:rsid w:val="27D16C6A"/>
    <w:rsid w:val="28153891"/>
    <w:rsid w:val="288D1F44"/>
    <w:rsid w:val="2CD10712"/>
    <w:rsid w:val="2D4D1CCC"/>
    <w:rsid w:val="2E941121"/>
    <w:rsid w:val="2F85777D"/>
    <w:rsid w:val="31356294"/>
    <w:rsid w:val="31F1094E"/>
    <w:rsid w:val="32355C4F"/>
    <w:rsid w:val="326B0BDC"/>
    <w:rsid w:val="34BA5E5C"/>
    <w:rsid w:val="35496A51"/>
    <w:rsid w:val="356E624F"/>
    <w:rsid w:val="36E617E9"/>
    <w:rsid w:val="39330366"/>
    <w:rsid w:val="3A3226C2"/>
    <w:rsid w:val="3DB905C6"/>
    <w:rsid w:val="3F0331D2"/>
    <w:rsid w:val="3FB8257E"/>
    <w:rsid w:val="3FFD2BF7"/>
    <w:rsid w:val="408C088B"/>
    <w:rsid w:val="41C85424"/>
    <w:rsid w:val="42F139EE"/>
    <w:rsid w:val="435A2102"/>
    <w:rsid w:val="43D163CE"/>
    <w:rsid w:val="454442ED"/>
    <w:rsid w:val="45A30C35"/>
    <w:rsid w:val="468772B0"/>
    <w:rsid w:val="46DF6323"/>
    <w:rsid w:val="48A42E7A"/>
    <w:rsid w:val="4B233142"/>
    <w:rsid w:val="4DBD161E"/>
    <w:rsid w:val="4DFA61C8"/>
    <w:rsid w:val="4FB651D2"/>
    <w:rsid w:val="51894824"/>
    <w:rsid w:val="52C55120"/>
    <w:rsid w:val="52E639B1"/>
    <w:rsid w:val="538E509D"/>
    <w:rsid w:val="539435F4"/>
    <w:rsid w:val="53F8370C"/>
    <w:rsid w:val="55356D22"/>
    <w:rsid w:val="558C043F"/>
    <w:rsid w:val="572D025E"/>
    <w:rsid w:val="59842D0A"/>
    <w:rsid w:val="59DF3E81"/>
    <w:rsid w:val="5ADA1C4D"/>
    <w:rsid w:val="5CDE58B4"/>
    <w:rsid w:val="5D5C3AC7"/>
    <w:rsid w:val="5E2A1B5D"/>
    <w:rsid w:val="5FB673AF"/>
    <w:rsid w:val="605E1D5A"/>
    <w:rsid w:val="641F6FF5"/>
    <w:rsid w:val="65A36562"/>
    <w:rsid w:val="65CA2800"/>
    <w:rsid w:val="671D7261"/>
    <w:rsid w:val="677615DE"/>
    <w:rsid w:val="6B3709F5"/>
    <w:rsid w:val="6C073364"/>
    <w:rsid w:val="6C1C4BD1"/>
    <w:rsid w:val="6E8B7C84"/>
    <w:rsid w:val="6EB05420"/>
    <w:rsid w:val="6FB870D9"/>
    <w:rsid w:val="700832F4"/>
    <w:rsid w:val="701D302F"/>
    <w:rsid w:val="714F6A99"/>
    <w:rsid w:val="74D6605C"/>
    <w:rsid w:val="77D32D51"/>
    <w:rsid w:val="78054355"/>
    <w:rsid w:val="7807667B"/>
    <w:rsid w:val="797F3308"/>
    <w:rsid w:val="79D34F76"/>
    <w:rsid w:val="7AF21C2C"/>
    <w:rsid w:val="7B6F4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paragraph" w:styleId="7">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qFormat/>
    <w:uiPriority w:val="0"/>
    <w:pPr>
      <w:spacing w:beforeAutospacing="1" w:afterAutospacing="1"/>
      <w:jc w:val="left"/>
    </w:pPr>
    <w:rPr>
      <w:kern w:val="0"/>
      <w:sz w:val="24"/>
    </w:rPr>
  </w:style>
  <w:style w:type="character" w:styleId="14">
    <w:name w:val="Strong"/>
    <w:basedOn w:val="13"/>
    <w:qFormat/>
    <w:uiPriority w:val="0"/>
    <w:rPr>
      <w:b/>
      <w:bCs/>
    </w:rPr>
  </w:style>
  <w:style w:type="character" w:styleId="15">
    <w:name w:val="Hyperlink"/>
    <w:basedOn w:val="13"/>
    <w:qFormat/>
    <w:uiPriority w:val="0"/>
    <w:rPr>
      <w:color w:val="0000FF"/>
      <w:u w:val="single"/>
    </w:rPr>
  </w:style>
  <w:style w:type="paragraph" w:customStyle="1" w:styleId="16">
    <w:name w:val="正文文本缩进 21"/>
    <w:basedOn w:val="1"/>
    <w:qFormat/>
    <w:uiPriority w:val="0"/>
    <w:pPr>
      <w:spacing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11883</Words>
  <Characters>12502</Characters>
  <Lines>0</Lines>
  <Paragraphs>0</Paragraphs>
  <TotalTime>0</TotalTime>
  <ScaleCrop>false</ScaleCrop>
  <LinksUpToDate>false</LinksUpToDate>
  <CharactersWithSpaces>12511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€羽墨</cp:lastModifiedBy>
  <dcterms:modified xsi:type="dcterms:W3CDTF">2024-11-19T08:42:35Z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A95056DB850946E99604991B36274893_13</vt:lpwstr>
  </property>
</Properties>
</file>