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8B3A3">
      <w:pPr>
        <w:spacing w:line="540" w:lineRule="exact"/>
        <w:jc w:val="center"/>
        <w:rPr>
          <w:rFonts w:eastAsia="华文中宋"/>
          <w:b/>
          <w:color w:val="auto"/>
          <w:kern w:val="0"/>
          <w:sz w:val="32"/>
          <w:szCs w:val="32"/>
          <w:highlight w:val="none"/>
        </w:rPr>
      </w:pPr>
    </w:p>
    <w:p w14:paraId="60246C27">
      <w:pPr>
        <w:spacing w:line="540" w:lineRule="exact"/>
        <w:rPr>
          <w:rFonts w:eastAsia="华文中宋"/>
          <w:b/>
          <w:color w:val="auto"/>
          <w:kern w:val="0"/>
          <w:sz w:val="32"/>
          <w:szCs w:val="32"/>
          <w:highlight w:val="none"/>
        </w:rPr>
      </w:pPr>
    </w:p>
    <w:p w14:paraId="260F5852">
      <w:pPr>
        <w:spacing w:line="540" w:lineRule="exact"/>
        <w:jc w:val="center"/>
        <w:rPr>
          <w:rFonts w:eastAsia="华文中宋"/>
          <w:b/>
          <w:color w:val="auto"/>
          <w:kern w:val="0"/>
          <w:sz w:val="32"/>
          <w:szCs w:val="32"/>
          <w:highlight w:val="none"/>
        </w:rPr>
      </w:pPr>
    </w:p>
    <w:p w14:paraId="63889304">
      <w:pPr>
        <w:spacing w:line="540" w:lineRule="exact"/>
        <w:jc w:val="center"/>
        <w:rPr>
          <w:rFonts w:eastAsia="华文中宋"/>
          <w:b/>
          <w:color w:val="auto"/>
          <w:kern w:val="0"/>
          <w:sz w:val="32"/>
          <w:szCs w:val="32"/>
          <w:highlight w:val="none"/>
        </w:rPr>
      </w:pPr>
    </w:p>
    <w:p w14:paraId="21375FB0">
      <w:pPr>
        <w:spacing w:line="540" w:lineRule="exact"/>
        <w:jc w:val="center"/>
        <w:rPr>
          <w:rFonts w:hint="eastAsia" w:eastAsia="方正小标宋_GBK"/>
          <w:color w:val="auto"/>
          <w:kern w:val="0"/>
          <w:sz w:val="44"/>
          <w:szCs w:val="44"/>
          <w:highlight w:val="none"/>
        </w:rPr>
      </w:pPr>
      <w:r>
        <w:rPr>
          <w:rFonts w:hint="eastAsia" w:eastAsia="方正小标宋_GBK"/>
          <w:color w:val="auto"/>
          <w:kern w:val="0"/>
          <w:sz w:val="44"/>
          <w:szCs w:val="44"/>
          <w:highlight w:val="none"/>
        </w:rPr>
        <w:t>中央补助地方公共服务体系建设补助</w:t>
      </w:r>
    </w:p>
    <w:p w14:paraId="741B748B">
      <w:pPr>
        <w:spacing w:line="540" w:lineRule="exact"/>
        <w:jc w:val="center"/>
        <w:rPr>
          <w:rFonts w:eastAsia="方正小标宋_GBK"/>
          <w:color w:val="auto"/>
          <w:kern w:val="0"/>
          <w:sz w:val="44"/>
          <w:szCs w:val="44"/>
          <w:highlight w:val="none"/>
        </w:rPr>
      </w:pPr>
      <w:r>
        <w:rPr>
          <w:rFonts w:eastAsia="方正小标宋_GBK"/>
          <w:color w:val="auto"/>
          <w:kern w:val="0"/>
          <w:sz w:val="44"/>
          <w:szCs w:val="44"/>
          <w:highlight w:val="none"/>
        </w:rPr>
        <w:t>资金项目支出绩效评价报告</w:t>
      </w:r>
    </w:p>
    <w:p w14:paraId="5A55A2E2">
      <w:pPr>
        <w:spacing w:line="540" w:lineRule="exact"/>
        <w:jc w:val="center"/>
        <w:rPr>
          <w:rFonts w:eastAsia="华文中宋"/>
          <w:b/>
          <w:color w:val="auto"/>
          <w:kern w:val="0"/>
          <w:sz w:val="32"/>
          <w:szCs w:val="32"/>
          <w:highlight w:val="none"/>
        </w:rPr>
      </w:pPr>
    </w:p>
    <w:p w14:paraId="6410E1B5">
      <w:pPr>
        <w:spacing w:line="540" w:lineRule="exact"/>
        <w:jc w:val="center"/>
        <w:rPr>
          <w:rFonts w:eastAsia="仿宋_GB2312"/>
          <w:color w:val="auto"/>
          <w:kern w:val="0"/>
          <w:sz w:val="32"/>
          <w:szCs w:val="32"/>
          <w:highlight w:val="none"/>
        </w:rPr>
      </w:pPr>
      <w:r>
        <w:rPr>
          <w:rFonts w:eastAsia="仿宋_GB2312"/>
          <w:color w:val="auto"/>
          <w:kern w:val="0"/>
          <w:sz w:val="32"/>
          <w:szCs w:val="32"/>
          <w:highlight w:val="none"/>
        </w:rPr>
        <w:t>（202</w:t>
      </w:r>
      <w:r>
        <w:rPr>
          <w:rFonts w:hint="eastAsia" w:eastAsia="仿宋_GB2312"/>
          <w:color w:val="auto"/>
          <w:kern w:val="0"/>
          <w:sz w:val="32"/>
          <w:szCs w:val="32"/>
          <w:highlight w:val="none"/>
          <w:lang w:val="en-US" w:eastAsia="zh-CN"/>
        </w:rPr>
        <w:t>3</w:t>
      </w:r>
      <w:r>
        <w:rPr>
          <w:rFonts w:eastAsia="仿宋_GB2312"/>
          <w:color w:val="auto"/>
          <w:kern w:val="0"/>
          <w:sz w:val="32"/>
          <w:szCs w:val="32"/>
          <w:highlight w:val="none"/>
        </w:rPr>
        <w:t>年度）</w:t>
      </w:r>
    </w:p>
    <w:p w14:paraId="71E1437E">
      <w:pPr>
        <w:spacing w:line="540" w:lineRule="exact"/>
        <w:jc w:val="center"/>
        <w:rPr>
          <w:rFonts w:eastAsia="仿宋_GB2312"/>
          <w:color w:val="auto"/>
          <w:kern w:val="0"/>
          <w:sz w:val="32"/>
          <w:szCs w:val="32"/>
          <w:highlight w:val="none"/>
        </w:rPr>
      </w:pPr>
    </w:p>
    <w:p w14:paraId="50EACE76">
      <w:pPr>
        <w:spacing w:line="540" w:lineRule="exact"/>
        <w:jc w:val="center"/>
        <w:rPr>
          <w:rFonts w:eastAsia="仿宋_GB2312"/>
          <w:color w:val="auto"/>
          <w:kern w:val="0"/>
          <w:sz w:val="32"/>
          <w:szCs w:val="32"/>
          <w:highlight w:val="none"/>
        </w:rPr>
      </w:pPr>
    </w:p>
    <w:p w14:paraId="5368F17A">
      <w:pPr>
        <w:spacing w:line="540" w:lineRule="exact"/>
        <w:jc w:val="center"/>
        <w:rPr>
          <w:rFonts w:eastAsia="仿宋_GB2312"/>
          <w:color w:val="auto"/>
          <w:kern w:val="0"/>
          <w:sz w:val="32"/>
          <w:szCs w:val="32"/>
          <w:highlight w:val="none"/>
        </w:rPr>
      </w:pPr>
    </w:p>
    <w:p w14:paraId="6129EE55">
      <w:pPr>
        <w:pStyle w:val="9"/>
        <w:rPr>
          <w:color w:val="auto"/>
          <w:sz w:val="32"/>
          <w:szCs w:val="32"/>
          <w:highlight w:val="none"/>
        </w:rPr>
      </w:pPr>
    </w:p>
    <w:p w14:paraId="73498C89">
      <w:pPr>
        <w:spacing w:line="540" w:lineRule="exact"/>
        <w:rPr>
          <w:rFonts w:eastAsia="仿宋_GB2312"/>
          <w:color w:val="auto"/>
          <w:kern w:val="0"/>
          <w:sz w:val="32"/>
          <w:szCs w:val="32"/>
          <w:highlight w:val="none"/>
        </w:rPr>
      </w:pPr>
    </w:p>
    <w:p w14:paraId="5F1B1A9C">
      <w:pPr>
        <w:spacing w:line="700" w:lineRule="exact"/>
        <w:jc w:val="left"/>
        <w:rPr>
          <w:rFonts w:hint="eastAsia" w:eastAsia="仿宋_GB2312"/>
          <w:color w:val="auto"/>
          <w:kern w:val="0"/>
          <w:sz w:val="32"/>
          <w:szCs w:val="32"/>
          <w:highlight w:val="none"/>
        </w:rPr>
      </w:pPr>
      <w:r>
        <w:rPr>
          <w:rFonts w:eastAsia="仿宋_GB2312"/>
          <w:color w:val="auto"/>
          <w:kern w:val="0"/>
          <w:sz w:val="32"/>
          <w:szCs w:val="32"/>
          <w:highlight w:val="none"/>
        </w:rPr>
        <w:t>项目</w:t>
      </w:r>
      <w:r>
        <w:rPr>
          <w:rFonts w:hint="eastAsia" w:eastAsia="仿宋_GB2312"/>
          <w:color w:val="auto"/>
          <w:kern w:val="0"/>
          <w:sz w:val="32"/>
          <w:szCs w:val="32"/>
          <w:highlight w:val="none"/>
        </w:rPr>
        <w:t>名称：中央补助地方公共服务体系建设补助资金</w:t>
      </w:r>
    </w:p>
    <w:p w14:paraId="57A9F1B8">
      <w:pPr>
        <w:spacing w:line="700" w:lineRule="exact"/>
        <w:jc w:val="left"/>
        <w:rPr>
          <w:rFonts w:hint="eastAsia" w:eastAsia="仿宋_GB2312"/>
          <w:color w:val="auto"/>
          <w:kern w:val="0"/>
          <w:sz w:val="32"/>
          <w:szCs w:val="32"/>
          <w:highlight w:val="none"/>
        </w:rPr>
      </w:pPr>
      <w:r>
        <w:rPr>
          <w:rFonts w:hint="eastAsia" w:eastAsia="仿宋_GB2312"/>
          <w:color w:val="auto"/>
          <w:kern w:val="0"/>
          <w:sz w:val="32"/>
          <w:szCs w:val="32"/>
          <w:highlight w:val="none"/>
        </w:rPr>
        <w:t>实施单位（公章）：</w:t>
      </w:r>
      <w:r>
        <w:rPr>
          <w:rFonts w:hint="eastAsia" w:eastAsia="仿宋_GB2312"/>
          <w:color w:val="auto"/>
          <w:kern w:val="0"/>
          <w:sz w:val="32"/>
          <w:szCs w:val="32"/>
          <w:highlight w:val="none"/>
          <w:lang w:val="en-US" w:eastAsia="zh-CN"/>
        </w:rPr>
        <w:t>托克逊县融媒体中心（托克逊县广播电视台）</w:t>
      </w:r>
    </w:p>
    <w:p w14:paraId="21A6A08F">
      <w:pPr>
        <w:spacing w:line="700" w:lineRule="exact"/>
        <w:jc w:val="left"/>
        <w:rPr>
          <w:rFonts w:hint="eastAsia" w:eastAsia="仿宋_GB2312"/>
          <w:color w:val="auto"/>
          <w:kern w:val="0"/>
          <w:sz w:val="32"/>
          <w:szCs w:val="32"/>
          <w:highlight w:val="none"/>
        </w:rPr>
      </w:pPr>
      <w:r>
        <w:rPr>
          <w:rFonts w:hint="eastAsia" w:eastAsia="仿宋_GB2312"/>
          <w:color w:val="auto"/>
          <w:kern w:val="0"/>
          <w:sz w:val="32"/>
          <w:szCs w:val="32"/>
          <w:highlight w:val="none"/>
        </w:rPr>
        <w:t>主管部门（公章）：</w:t>
      </w:r>
      <w:r>
        <w:rPr>
          <w:rFonts w:hint="eastAsia" w:eastAsia="仿宋_GB2312"/>
          <w:color w:val="auto"/>
          <w:kern w:val="0"/>
          <w:sz w:val="32"/>
          <w:szCs w:val="32"/>
          <w:highlight w:val="none"/>
          <w:lang w:val="en-US" w:eastAsia="zh-CN"/>
        </w:rPr>
        <w:t>托克逊县融媒体中心（托克逊县广播电视台）</w:t>
      </w:r>
    </w:p>
    <w:p w14:paraId="450A8AE8">
      <w:pPr>
        <w:spacing w:line="700" w:lineRule="exact"/>
        <w:ind w:firstLine="1280" w:firstLineChars="400"/>
        <w:jc w:val="left"/>
        <w:rPr>
          <w:rFonts w:eastAsia="仿宋_GB2312"/>
          <w:color w:val="auto"/>
          <w:kern w:val="0"/>
          <w:sz w:val="32"/>
          <w:szCs w:val="32"/>
          <w:highlight w:val="none"/>
        </w:rPr>
      </w:pPr>
    </w:p>
    <w:p w14:paraId="3800BB9B">
      <w:pPr>
        <w:spacing w:line="700" w:lineRule="exact"/>
        <w:ind w:firstLine="1280" w:firstLineChars="400"/>
        <w:jc w:val="left"/>
        <w:rPr>
          <w:rFonts w:hint="eastAsia" w:eastAsia="仿宋_GB2312"/>
          <w:color w:val="auto"/>
          <w:kern w:val="0"/>
          <w:sz w:val="32"/>
          <w:szCs w:val="32"/>
          <w:highlight w:val="none"/>
          <w:lang w:eastAsia="zh-CN"/>
        </w:rPr>
      </w:pPr>
      <w:r>
        <w:rPr>
          <w:rFonts w:eastAsia="仿宋_GB2312"/>
          <w:color w:val="auto"/>
          <w:kern w:val="0"/>
          <w:sz w:val="32"/>
          <w:szCs w:val="32"/>
          <w:highlight w:val="none"/>
        </w:rPr>
        <w:t>项目负责人（签章）：</w:t>
      </w:r>
      <w:r>
        <w:rPr>
          <w:rFonts w:hint="eastAsia" w:eastAsia="仿宋_GB2312"/>
          <w:color w:val="auto"/>
          <w:kern w:val="0"/>
          <w:sz w:val="32"/>
          <w:szCs w:val="32"/>
          <w:highlight w:val="none"/>
          <w:lang w:val="en-US" w:eastAsia="zh-CN"/>
        </w:rPr>
        <w:t>冯华</w:t>
      </w:r>
    </w:p>
    <w:p w14:paraId="2157ACB6">
      <w:pPr>
        <w:spacing w:line="700" w:lineRule="exact"/>
        <w:ind w:firstLine="1280" w:firstLineChars="400"/>
        <w:jc w:val="left"/>
        <w:rPr>
          <w:rFonts w:eastAsia="仿宋_GB2312"/>
          <w:color w:val="auto"/>
          <w:kern w:val="0"/>
          <w:sz w:val="32"/>
          <w:szCs w:val="32"/>
          <w:highlight w:val="none"/>
        </w:rPr>
      </w:pPr>
      <w:r>
        <w:rPr>
          <w:rFonts w:eastAsia="仿宋_GB2312"/>
          <w:color w:val="auto"/>
          <w:kern w:val="0"/>
          <w:sz w:val="32"/>
          <w:szCs w:val="32"/>
          <w:highlight w:val="none"/>
        </w:rPr>
        <w:t>填报时间：</w:t>
      </w:r>
      <w:r>
        <w:rPr>
          <w:rFonts w:hint="eastAsia" w:eastAsia="仿宋_GB2312"/>
          <w:color w:val="auto"/>
          <w:kern w:val="0"/>
          <w:sz w:val="32"/>
          <w:szCs w:val="32"/>
          <w:highlight w:val="none"/>
          <w:lang w:val="en-US" w:eastAsia="zh-CN"/>
        </w:rPr>
        <w:t>2024</w:t>
      </w:r>
      <w:r>
        <w:rPr>
          <w:rFonts w:eastAsia="仿宋_GB2312"/>
          <w:color w:val="auto"/>
          <w:kern w:val="0"/>
          <w:sz w:val="32"/>
          <w:szCs w:val="32"/>
          <w:highlight w:val="none"/>
        </w:rPr>
        <w:t>年</w:t>
      </w:r>
      <w:r>
        <w:rPr>
          <w:rFonts w:hint="eastAsia" w:eastAsia="仿宋_GB2312"/>
          <w:color w:val="auto"/>
          <w:kern w:val="0"/>
          <w:sz w:val="32"/>
          <w:szCs w:val="32"/>
          <w:highlight w:val="none"/>
          <w:lang w:val="en-US" w:eastAsia="zh-CN"/>
        </w:rPr>
        <w:t>3</w:t>
      </w:r>
      <w:r>
        <w:rPr>
          <w:rFonts w:eastAsia="仿宋_GB2312"/>
          <w:color w:val="auto"/>
          <w:kern w:val="0"/>
          <w:sz w:val="32"/>
          <w:szCs w:val="32"/>
          <w:highlight w:val="none"/>
        </w:rPr>
        <w:t>月</w:t>
      </w:r>
      <w:r>
        <w:rPr>
          <w:rFonts w:hint="eastAsia" w:eastAsia="仿宋_GB2312"/>
          <w:color w:val="auto"/>
          <w:kern w:val="0"/>
          <w:sz w:val="32"/>
          <w:szCs w:val="32"/>
          <w:highlight w:val="none"/>
          <w:lang w:val="en-US" w:eastAsia="zh-CN"/>
        </w:rPr>
        <w:t>5</w:t>
      </w:r>
      <w:r>
        <w:rPr>
          <w:rFonts w:eastAsia="仿宋_GB2312"/>
          <w:color w:val="auto"/>
          <w:kern w:val="0"/>
          <w:sz w:val="32"/>
          <w:szCs w:val="32"/>
          <w:highlight w:val="none"/>
        </w:rPr>
        <w:t>日</w:t>
      </w:r>
    </w:p>
    <w:p w14:paraId="63D6D1C9">
      <w:pPr>
        <w:spacing w:line="540" w:lineRule="exact"/>
        <w:jc w:val="center"/>
        <w:rPr>
          <w:rFonts w:eastAsia="仿宋_GB2312"/>
          <w:color w:val="auto"/>
          <w:kern w:val="0"/>
          <w:sz w:val="32"/>
          <w:szCs w:val="32"/>
          <w:highlight w:val="none"/>
        </w:rPr>
      </w:pPr>
    </w:p>
    <w:p w14:paraId="28D80697">
      <w:pPr>
        <w:spacing w:line="560" w:lineRule="exact"/>
        <w:ind w:firstLine="640" w:firstLineChars="200"/>
        <w:rPr>
          <w:rFonts w:eastAsia="黑体"/>
          <w:bCs/>
          <w:color w:val="auto"/>
          <w:sz w:val="32"/>
          <w:szCs w:val="32"/>
          <w:highlight w:val="none"/>
        </w:rPr>
      </w:pPr>
      <w:r>
        <w:rPr>
          <w:rFonts w:eastAsia="黑体"/>
          <w:bCs/>
          <w:color w:val="auto"/>
          <w:sz w:val="32"/>
          <w:szCs w:val="32"/>
          <w:highlight w:val="none"/>
        </w:rPr>
        <w:t>一、基本情况</w:t>
      </w:r>
    </w:p>
    <w:p w14:paraId="4885E863">
      <w:pPr>
        <w:spacing w:line="560" w:lineRule="exact"/>
        <w:ind w:firstLine="643" w:firstLineChars="200"/>
        <w:rPr>
          <w:rFonts w:eastAsia="楷体_GB2312"/>
          <w:b/>
          <w:bCs/>
          <w:color w:val="auto"/>
          <w:sz w:val="32"/>
          <w:szCs w:val="32"/>
          <w:highlight w:val="none"/>
        </w:rPr>
      </w:pPr>
      <w:r>
        <w:rPr>
          <w:rFonts w:eastAsia="楷体_GB2312"/>
          <w:b/>
          <w:bCs/>
          <w:color w:val="auto"/>
          <w:sz w:val="32"/>
          <w:szCs w:val="32"/>
          <w:highlight w:val="none"/>
        </w:rPr>
        <w:t>（一）项目概况</w:t>
      </w:r>
    </w:p>
    <w:p w14:paraId="78FEAAA7">
      <w:pPr>
        <w:spacing w:line="560" w:lineRule="exact"/>
        <w:ind w:firstLine="643" w:firstLineChars="200"/>
        <w:rPr>
          <w:rFonts w:eastAsia="仿宋_GB2312"/>
          <w:b/>
          <w:bCs/>
          <w:color w:val="auto"/>
          <w:sz w:val="32"/>
          <w:szCs w:val="32"/>
          <w:highlight w:val="none"/>
        </w:rPr>
      </w:pPr>
      <w:r>
        <w:rPr>
          <w:rFonts w:eastAsia="仿宋_GB2312"/>
          <w:b/>
          <w:bCs/>
          <w:color w:val="auto"/>
          <w:sz w:val="32"/>
          <w:szCs w:val="32"/>
          <w:highlight w:val="none"/>
        </w:rPr>
        <w:t>1、项目背景</w:t>
      </w:r>
    </w:p>
    <w:p w14:paraId="466D267A">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融媒体中心负责县域媒体资源，形成广播、电视、网站、客户端、微信公众号、户外广告屏等传统媒体、新兴媒体、社会宣传资源融为一体，内宣、外宣、网宣等。为了能更好的宣传我县，对新媒体设备进行更新换代、升级改造，确保融媒体中心设备正常运转，开展该项目。</w:t>
      </w:r>
    </w:p>
    <w:p w14:paraId="1F6D8906">
      <w:pPr>
        <w:pStyle w:val="9"/>
        <w:numPr>
          <w:ilvl w:val="0"/>
          <w:numId w:val="1"/>
        </w:numPr>
        <w:spacing w:before="0" w:after="0" w:line="560" w:lineRule="exact"/>
        <w:ind w:firstLine="643" w:firstLineChars="200"/>
        <w:jc w:val="both"/>
        <w:rPr>
          <w:rFonts w:ascii="Times New Roman" w:hAnsi="Times New Roman" w:eastAsia="仿宋_GB2312"/>
          <w:color w:val="auto"/>
          <w:kern w:val="2"/>
          <w:sz w:val="32"/>
          <w:szCs w:val="32"/>
          <w:highlight w:val="none"/>
        </w:rPr>
      </w:pPr>
      <w:r>
        <w:rPr>
          <w:rFonts w:ascii="Times New Roman" w:hAnsi="Times New Roman" w:eastAsia="仿宋_GB2312"/>
          <w:color w:val="auto"/>
          <w:kern w:val="2"/>
          <w:sz w:val="32"/>
          <w:szCs w:val="32"/>
          <w:highlight w:val="none"/>
        </w:rPr>
        <w:t>项目主要内容：</w:t>
      </w:r>
    </w:p>
    <w:p w14:paraId="21C08383">
      <w:pPr>
        <w:spacing w:line="560" w:lineRule="exact"/>
        <w:ind w:firstLine="643"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项目主要内容：</w:t>
      </w:r>
      <w:r>
        <w:rPr>
          <w:rFonts w:hint="eastAsia" w:ascii="仿宋_GB2312" w:hAnsi="仿宋_GB2312" w:eastAsia="仿宋_GB2312" w:cs="仿宋_GB2312"/>
          <w:color w:val="auto"/>
          <w:sz w:val="32"/>
          <w:szCs w:val="32"/>
          <w:highlight w:val="none"/>
          <w:lang w:val="en-US" w:eastAsia="zh-CN"/>
        </w:rPr>
        <w:t>通过采购LED屏、采购照相机（配镜头）、采购摄像机等设备，将新媒体设备进行更新换代，确保融媒体中心设备正常运转，更好的宣传我县。</w:t>
      </w:r>
    </w:p>
    <w:p w14:paraId="7BD1D1E4">
      <w:pPr>
        <w:spacing w:line="560" w:lineRule="exact"/>
        <w:ind w:firstLine="643" w:firstLineChars="200"/>
        <w:rPr>
          <w:color w:val="auto"/>
          <w:sz w:val="32"/>
          <w:szCs w:val="32"/>
          <w:highlight w:val="none"/>
        </w:rPr>
      </w:pPr>
      <w:r>
        <w:rPr>
          <w:rFonts w:eastAsia="仿宋_GB2312"/>
          <w:b/>
          <w:bCs/>
          <w:color w:val="auto"/>
          <w:sz w:val="32"/>
          <w:szCs w:val="32"/>
          <w:highlight w:val="none"/>
        </w:rPr>
        <w:t>项目实施情况：</w:t>
      </w:r>
      <w:r>
        <w:rPr>
          <w:rFonts w:hint="eastAsia" w:ascii="仿宋_GB2312" w:hAnsi="仿宋_GB2312" w:eastAsia="仿宋_GB2312" w:cs="仿宋_GB2312"/>
          <w:color w:val="auto"/>
          <w:sz w:val="32"/>
          <w:szCs w:val="32"/>
          <w:highlight w:val="none"/>
          <w:lang w:val="en-US" w:eastAsia="zh-CN"/>
        </w:rPr>
        <w:t>2023年我中心新媒体设备更新换代，完成采购LED屏10平米，采购照相机数量（配镜头）2台，采购摄像机1台，有效提升了公共服务水平和质量，确保了融媒体中心设备正常运转，满足群众收看需求，更好的宣传我县。</w:t>
      </w:r>
    </w:p>
    <w:p w14:paraId="4538CF49">
      <w:pPr>
        <w:spacing w:line="560" w:lineRule="exact"/>
        <w:ind w:firstLine="643" w:firstLineChars="200"/>
        <w:rPr>
          <w:rFonts w:eastAsia="仿宋_GB2312"/>
          <w:b/>
          <w:bCs/>
          <w:color w:val="auto"/>
          <w:sz w:val="32"/>
          <w:szCs w:val="32"/>
          <w:highlight w:val="none"/>
        </w:rPr>
      </w:pPr>
      <w:r>
        <w:rPr>
          <w:rFonts w:eastAsia="仿宋_GB2312"/>
          <w:b/>
          <w:bCs/>
          <w:color w:val="auto"/>
          <w:sz w:val="32"/>
          <w:szCs w:val="32"/>
          <w:highlight w:val="none"/>
        </w:rPr>
        <w:t>3、资金投入和使用情况</w:t>
      </w:r>
    </w:p>
    <w:p w14:paraId="30145280">
      <w:pPr>
        <w:shd w:val="clear"/>
        <w:spacing w:line="60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（1）资金投入情况</w:t>
      </w:r>
    </w:p>
    <w:p w14:paraId="7A36DD36">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该项目年初预算数50万元，全年预算数50万元，实际总投入50万元，该项目资金已全部落实到位，预算资金到位率为100%，资金来源为：吐市财文（2022）94号关于提前下达2023年中央补助地方公共服务体系建设补助资金预算的通知。</w:t>
      </w:r>
    </w:p>
    <w:p w14:paraId="00E286A4">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p>
    <w:p w14:paraId="13DC69AC">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该项目年初预算数50万元，全年预算数50万元,，全年执行数49.67万元，预算执行率为99.34%，主要用于：采购LED屏、照相机（配镜头）、摄像机、配套设备等。</w:t>
      </w:r>
    </w:p>
    <w:p w14:paraId="30743F38">
      <w:pPr>
        <w:spacing w:line="560" w:lineRule="exact"/>
        <w:ind w:firstLine="643" w:firstLineChars="200"/>
        <w:rPr>
          <w:rFonts w:eastAsia="楷体_GB2312"/>
          <w:b/>
          <w:bCs/>
          <w:color w:val="auto"/>
          <w:sz w:val="32"/>
          <w:szCs w:val="32"/>
          <w:highlight w:val="none"/>
        </w:rPr>
      </w:pPr>
      <w:r>
        <w:rPr>
          <w:rFonts w:eastAsia="楷体_GB2312"/>
          <w:b/>
          <w:bCs/>
          <w:color w:val="auto"/>
          <w:sz w:val="32"/>
          <w:szCs w:val="32"/>
          <w:highlight w:val="none"/>
        </w:rPr>
        <w:t>（二）项目绩效目标</w:t>
      </w:r>
    </w:p>
    <w:p w14:paraId="1B98F552">
      <w:pPr>
        <w:spacing w:line="560" w:lineRule="exact"/>
        <w:ind w:firstLine="643" w:firstLineChars="200"/>
        <w:rPr>
          <w:rFonts w:eastAsia="仿宋_GB2312"/>
          <w:b/>
          <w:bCs/>
          <w:color w:val="auto"/>
          <w:sz w:val="32"/>
          <w:szCs w:val="32"/>
          <w:highlight w:val="none"/>
        </w:rPr>
      </w:pPr>
      <w:r>
        <w:rPr>
          <w:rFonts w:eastAsia="仿宋_GB2312"/>
          <w:b/>
          <w:bCs/>
          <w:color w:val="auto"/>
          <w:sz w:val="32"/>
          <w:szCs w:val="32"/>
          <w:highlight w:val="none"/>
        </w:rPr>
        <w:t>1、总体目标</w:t>
      </w:r>
    </w:p>
    <w:p w14:paraId="5FD0FA51">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通过采购LED屏、采购照相机（配镜头）、采购摄像机等设备，将新媒体设备进行更新换代，确保融媒体中心设备正常运转，更好的宣传我县。</w:t>
      </w:r>
    </w:p>
    <w:p w14:paraId="147FCAC7">
      <w:pPr>
        <w:spacing w:line="560" w:lineRule="exact"/>
        <w:ind w:firstLine="643" w:firstLineChars="200"/>
        <w:rPr>
          <w:rFonts w:eastAsia="仿宋_GB2312"/>
          <w:b/>
          <w:bCs/>
          <w:color w:val="auto"/>
          <w:sz w:val="32"/>
          <w:szCs w:val="32"/>
          <w:highlight w:val="none"/>
        </w:rPr>
      </w:pPr>
      <w:r>
        <w:rPr>
          <w:rFonts w:eastAsia="仿宋_GB2312"/>
          <w:b/>
          <w:bCs/>
          <w:color w:val="auto"/>
          <w:sz w:val="32"/>
          <w:szCs w:val="32"/>
          <w:highlight w:val="none"/>
        </w:rPr>
        <w:t>2、阶段性目标</w:t>
      </w:r>
    </w:p>
    <w:p w14:paraId="0715C926">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中华人民共和国预算法》、《中华人民共和国公共文化服务保障法》、《中华人民共和国预算法实施条例》等法律法规《中央支持地方公共文化服务体系建设补助资金管理办法》等文件要求和规定，结合我单位实际，制定该项目绩效。绩效目标如下：</w:t>
      </w:r>
    </w:p>
    <w:p w14:paraId="673A738D">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（1）产出目标</w:t>
      </w:r>
    </w:p>
    <w:p w14:paraId="5E0E6685">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①数量指标</w:t>
      </w:r>
    </w:p>
    <w:p w14:paraId="59058713">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“采购LED屏”指标，预期指标值为10平米；</w:t>
      </w:r>
    </w:p>
    <w:p w14:paraId="244C0CDA">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“采购照相机数量（配镜头）”指标，预期指标值为2台；</w:t>
      </w:r>
    </w:p>
    <w:p w14:paraId="66292827">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“采购摄像机数量”指标，预期指标值为1台。</w:t>
      </w:r>
    </w:p>
    <w:p w14:paraId="6CB33C64">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②质量指标</w:t>
      </w:r>
    </w:p>
    <w:p w14:paraId="604DBFE6">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“验收合格率”指标，预期指标值为100%；</w:t>
      </w:r>
    </w:p>
    <w:p w14:paraId="4C5ED49F">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“政府采购率”指标，预期指标值为100%。</w:t>
      </w:r>
    </w:p>
    <w:p w14:paraId="065B6418">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③时效指标</w:t>
      </w:r>
    </w:p>
    <w:p w14:paraId="02DA2CC0">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“设备购置完成时间”指标，预期指标值为2023年11月；</w:t>
      </w:r>
    </w:p>
    <w:p w14:paraId="1483AE7B">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（2）成本指标</w:t>
      </w:r>
    </w:p>
    <w:p w14:paraId="25FAD5FF">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①经济成本指标</w:t>
      </w:r>
    </w:p>
    <w:p w14:paraId="717E0232">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“LED屏采购支出”指标，预期指标值为小于等于18万元；</w:t>
      </w:r>
    </w:p>
    <w:p w14:paraId="43A7C556">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“照相机采购支出”指标，预期指标值为小于等于18万元；</w:t>
      </w:r>
    </w:p>
    <w:p w14:paraId="3B46827F">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“摄像机采购支出”指标，预期指标值为小于等于4万元；</w:t>
      </w:r>
    </w:p>
    <w:p w14:paraId="59E7F79D">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“配套设备采购支出”指标，预期指标值为小于等于10万元。</w:t>
      </w:r>
    </w:p>
    <w:p w14:paraId="33E0F433">
      <w:pPr>
        <w:keepLines w:val="0"/>
        <w:pageBreakBefore w:val="0"/>
        <w:numPr>
          <w:ilvl w:val="0"/>
          <w:numId w:val="0"/>
        </w:numPr>
        <w:kinsoku/>
        <w:wordWrap/>
        <w:overflowPunct/>
        <w:topLinePunct w:val="0"/>
        <w:autoSpaceDE/>
        <w:autoSpaceDN/>
        <w:bidi w:val="0"/>
        <w:adjustRightInd/>
        <w:snapToGrid/>
        <w:spacing w:before="0" w:after="0" w:line="560" w:lineRule="exact"/>
        <w:ind w:leftChars="200" w:firstLine="320" w:firstLineChars="100"/>
        <w:textAlignment w:val="auto"/>
        <w:outlineLvl w:val="9"/>
        <w:rPr>
          <w:rFonts w:hint="default"/>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2、社会成本指标</w:t>
      </w:r>
    </w:p>
    <w:p w14:paraId="1FEFB0E7">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无</w:t>
      </w:r>
    </w:p>
    <w:p w14:paraId="445A0EAD">
      <w:pPr>
        <w:keepLines w:val="0"/>
        <w:pageBreakBefore w:val="0"/>
        <w:numPr>
          <w:ilvl w:val="0"/>
          <w:numId w:val="0"/>
        </w:numPr>
        <w:kinsoku/>
        <w:wordWrap/>
        <w:overflowPunct/>
        <w:topLinePunct w:val="0"/>
        <w:autoSpaceDE/>
        <w:autoSpaceDN/>
        <w:bidi w:val="0"/>
        <w:adjustRightInd/>
        <w:snapToGrid/>
        <w:spacing w:before="0" w:after="0" w:line="560" w:lineRule="exact"/>
        <w:ind w:leftChars="200" w:firstLine="320" w:firstLineChars="100"/>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3、生态环境成本指标</w:t>
      </w:r>
    </w:p>
    <w:p w14:paraId="5F10CB9A">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无</w:t>
      </w:r>
    </w:p>
    <w:p w14:paraId="1ECBE8B4">
      <w:pPr>
        <w:keepLines w:val="0"/>
        <w:pageBreakBefore w:val="0"/>
        <w:numPr>
          <w:ilvl w:val="0"/>
          <w:numId w:val="0"/>
        </w:numPr>
        <w:kinsoku/>
        <w:wordWrap/>
        <w:overflowPunct/>
        <w:topLinePunct w:val="0"/>
        <w:autoSpaceDE/>
        <w:autoSpaceDN/>
        <w:bidi w:val="0"/>
        <w:adjustRightInd/>
        <w:snapToGrid/>
        <w:spacing w:before="0" w:after="0" w:line="560" w:lineRule="exact"/>
        <w:ind w:leftChars="200" w:firstLine="320" w:firstLineChars="100"/>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（3）效益目标</w:t>
      </w:r>
    </w:p>
    <w:p w14:paraId="0122A402">
      <w:pPr>
        <w:keepLines w:val="0"/>
        <w:pageBreakBefore w:val="0"/>
        <w:numPr>
          <w:ilvl w:val="0"/>
          <w:numId w:val="0"/>
        </w:numPr>
        <w:kinsoku/>
        <w:wordWrap/>
        <w:overflowPunct/>
        <w:topLinePunct w:val="0"/>
        <w:autoSpaceDE/>
        <w:autoSpaceDN/>
        <w:bidi w:val="0"/>
        <w:adjustRightInd/>
        <w:snapToGrid/>
        <w:spacing w:before="0" w:after="0" w:line="560" w:lineRule="exact"/>
        <w:ind w:leftChars="200" w:firstLine="320" w:firstLineChars="100"/>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①经济效益指标</w:t>
      </w:r>
    </w:p>
    <w:p w14:paraId="2922921E">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无。</w:t>
      </w:r>
    </w:p>
    <w:p w14:paraId="305E2166">
      <w:pPr>
        <w:keepLines w:val="0"/>
        <w:pageBreakBefore w:val="0"/>
        <w:numPr>
          <w:ilvl w:val="0"/>
          <w:numId w:val="0"/>
        </w:numPr>
        <w:kinsoku/>
        <w:wordWrap/>
        <w:overflowPunct/>
        <w:topLinePunct w:val="0"/>
        <w:autoSpaceDE/>
        <w:autoSpaceDN/>
        <w:bidi w:val="0"/>
        <w:adjustRightInd/>
        <w:snapToGrid/>
        <w:spacing w:before="0" w:after="0" w:line="560" w:lineRule="exact"/>
        <w:ind w:leftChars="200" w:firstLine="320" w:firstLineChars="100"/>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②社会效益指标</w:t>
      </w:r>
    </w:p>
    <w:p w14:paraId="78474F63">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提升公共服务水平和质量</w:t>
      </w:r>
      <w:r>
        <w:rPr>
          <w:rFonts w:hint="eastAsia" w:ascii="Times New Roman" w:hAnsi="Times New Roman" w:eastAsia="仿宋_GB2312" w:cs="Times New Roman"/>
          <w:color w:val="auto"/>
          <w:sz w:val="32"/>
          <w:szCs w:val="32"/>
          <w:highlight w:val="none"/>
          <w:lang w:val="en-US" w:eastAsia="zh-CN"/>
        </w:rPr>
        <w:t>”指标，预期指标值为有效提升；</w:t>
      </w:r>
    </w:p>
    <w:p w14:paraId="03A5B000">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满足群众收看需求</w:t>
      </w:r>
      <w:r>
        <w:rPr>
          <w:rFonts w:hint="eastAsia" w:ascii="Times New Roman" w:hAnsi="Times New Roman" w:eastAsia="仿宋_GB2312" w:cs="Times New Roman"/>
          <w:color w:val="auto"/>
          <w:sz w:val="32"/>
          <w:szCs w:val="32"/>
          <w:highlight w:val="none"/>
          <w:lang w:val="en-US" w:eastAsia="zh-CN"/>
        </w:rPr>
        <w:t>”指标，预期指标值为持续保障；</w:t>
      </w:r>
    </w:p>
    <w:p w14:paraId="181BDD36">
      <w:pPr>
        <w:keepLines w:val="0"/>
        <w:pageBreakBefore w:val="0"/>
        <w:numPr>
          <w:ilvl w:val="0"/>
          <w:numId w:val="0"/>
        </w:numPr>
        <w:kinsoku/>
        <w:wordWrap/>
        <w:overflowPunct/>
        <w:topLinePunct w:val="0"/>
        <w:autoSpaceDE/>
        <w:autoSpaceDN/>
        <w:bidi w:val="0"/>
        <w:adjustRightInd/>
        <w:snapToGrid/>
        <w:spacing w:before="0" w:after="0" w:line="560" w:lineRule="exact"/>
        <w:ind w:leftChars="200" w:firstLine="320" w:firstLineChars="100"/>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③生态效益指标</w:t>
      </w:r>
    </w:p>
    <w:p w14:paraId="5365DC22">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无。</w:t>
      </w:r>
    </w:p>
    <w:p w14:paraId="6483DC04">
      <w:pPr>
        <w:keepLines w:val="0"/>
        <w:pageBreakBefore w:val="0"/>
        <w:numPr>
          <w:ilvl w:val="0"/>
          <w:numId w:val="0"/>
        </w:numPr>
        <w:kinsoku/>
        <w:wordWrap/>
        <w:overflowPunct/>
        <w:topLinePunct w:val="0"/>
        <w:autoSpaceDE/>
        <w:autoSpaceDN/>
        <w:bidi w:val="0"/>
        <w:adjustRightInd/>
        <w:snapToGrid/>
        <w:spacing w:before="0" w:after="0" w:line="560" w:lineRule="exact"/>
        <w:ind w:leftChars="200" w:firstLine="320" w:firstLineChars="100"/>
        <w:textAlignment w:val="auto"/>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w:t>
      </w:r>
      <w:r>
        <w:rPr>
          <w:rFonts w:hint="eastAsia" w:eastAsia="仿宋_GB2312" w:cs="Times New Roman"/>
          <w:color w:val="auto"/>
          <w:sz w:val="32"/>
          <w:szCs w:val="32"/>
          <w:highlight w:val="none"/>
          <w:lang w:val="en-US" w:eastAsia="zh-CN"/>
        </w:rPr>
        <w:t>满意度指标</w:t>
      </w:r>
    </w:p>
    <w:p w14:paraId="0805D32E">
      <w:pPr>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“群众对媒体公共服务满意度”指标，预期指标值为</w:t>
      </w:r>
      <w:r>
        <w:rPr>
          <w:rFonts w:hint="eastAsia" w:eastAsia="仿宋_GB2312" w:cs="Times New Roman"/>
          <w:color w:val="auto"/>
          <w:sz w:val="32"/>
          <w:szCs w:val="32"/>
          <w:highlight w:val="none"/>
          <w:lang w:val="en-US" w:eastAsia="zh-CN"/>
        </w:rPr>
        <w:t>大于等于</w:t>
      </w:r>
      <w:r>
        <w:rPr>
          <w:rFonts w:hint="eastAsia" w:ascii="Times New Roman" w:hAnsi="Times New Roman" w:eastAsia="仿宋_GB2312" w:cs="Times New Roman"/>
          <w:color w:val="auto"/>
          <w:sz w:val="32"/>
          <w:szCs w:val="32"/>
          <w:highlight w:val="none"/>
          <w:lang w:val="en-US" w:eastAsia="zh-CN"/>
        </w:rPr>
        <w:t>90%。</w:t>
      </w:r>
    </w:p>
    <w:p w14:paraId="221A99DD">
      <w:pPr>
        <w:spacing w:line="560" w:lineRule="exact"/>
        <w:ind w:firstLine="640" w:firstLineChars="200"/>
        <w:rPr>
          <w:rFonts w:eastAsia="黑体"/>
          <w:color w:val="auto"/>
          <w:sz w:val="32"/>
          <w:szCs w:val="32"/>
          <w:highlight w:val="none"/>
        </w:rPr>
      </w:pPr>
      <w:r>
        <w:rPr>
          <w:rFonts w:eastAsia="黑体"/>
          <w:color w:val="auto"/>
          <w:sz w:val="32"/>
          <w:szCs w:val="32"/>
          <w:highlight w:val="none"/>
        </w:rPr>
        <w:t>二、绩效评价工作开展情况</w:t>
      </w:r>
    </w:p>
    <w:p w14:paraId="17D65084">
      <w:pPr>
        <w:spacing w:line="560" w:lineRule="exact"/>
        <w:ind w:firstLine="643" w:firstLineChars="200"/>
        <w:rPr>
          <w:rFonts w:eastAsia="楷体_GB2312"/>
          <w:b/>
          <w:bCs/>
          <w:color w:val="auto"/>
          <w:sz w:val="32"/>
          <w:szCs w:val="32"/>
          <w:highlight w:val="none"/>
        </w:rPr>
      </w:pPr>
      <w:r>
        <w:rPr>
          <w:rFonts w:eastAsia="楷体_GB2312"/>
          <w:b/>
          <w:bCs/>
          <w:color w:val="auto"/>
          <w:sz w:val="32"/>
          <w:szCs w:val="32"/>
          <w:highlight w:val="none"/>
        </w:rPr>
        <w:t>（一）绩效评价目的、对象和范围</w:t>
      </w:r>
    </w:p>
    <w:p w14:paraId="1C02787A">
      <w:pPr>
        <w:pStyle w:val="9"/>
        <w:widowControl w:val="0"/>
        <w:spacing w:before="0" w:after="0" w:line="560" w:lineRule="exact"/>
        <w:ind w:firstLine="640" w:firstLineChars="200"/>
        <w:jc w:val="both"/>
        <w:outlineLvl w:val="9"/>
        <w:rPr>
          <w:rFonts w:ascii="Times New Roman" w:hAnsi="Times New Roman" w:eastAsia="仿宋_GB2312"/>
          <w:b w:val="0"/>
          <w:bCs w:val="0"/>
          <w:color w:val="auto"/>
          <w:sz w:val="32"/>
          <w:szCs w:val="32"/>
          <w:highlight w:val="none"/>
        </w:rPr>
      </w:pPr>
      <w:r>
        <w:rPr>
          <w:rFonts w:ascii="Times New Roman" w:hAnsi="Times New Roman" w:eastAsia="仿宋_GB2312"/>
          <w:b w:val="0"/>
          <w:bCs w:val="0"/>
          <w:color w:val="auto"/>
          <w:sz w:val="32"/>
          <w:szCs w:val="32"/>
          <w:highlight w:val="none"/>
        </w:rPr>
        <w:t>1、绩效评价的目的</w:t>
      </w:r>
    </w:p>
    <w:p w14:paraId="64DC3A60">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38E8EBF5">
      <w:pPr>
        <w:numPr>
          <w:ilvl w:val="0"/>
          <w:numId w:val="2"/>
        </w:num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项目在实施前向项目负责人提供财政支出绩效方面的资金管理信息，促进项目支出严格按照资金管理规定进行。</w:t>
      </w:r>
    </w:p>
    <w:p w14:paraId="387B45C1">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（2）项目绩效管理财政支出运行提供及时、有效的信息。</w:t>
      </w:r>
    </w:p>
    <w:p w14:paraId="276C1980">
      <w:pPr>
        <w:pStyle w:val="18"/>
        <w:spacing w:line="560" w:lineRule="exact"/>
        <w:ind w:firstLine="640" w:firstLineChars="200"/>
        <w:rPr>
          <w:rFonts w:eastAsia="方正仿宋_GBK" w:cs="方正仿宋_GBK"/>
          <w:color w:val="auto"/>
          <w:sz w:val="32"/>
          <w:szCs w:val="32"/>
          <w:highlight w:val="none"/>
        </w:rPr>
      </w:pPr>
      <w:r>
        <w:rPr>
          <w:rFonts w:eastAsia="仿宋_GB2312"/>
          <w:color w:val="auto"/>
          <w:sz w:val="32"/>
          <w:szCs w:val="32"/>
          <w:highlight w:val="none"/>
        </w:rPr>
        <w:t>综合来看，通过开展有效的财政支出绩效评价管理，</w:t>
      </w:r>
      <w:r>
        <w:rPr>
          <w:rFonts w:hint="eastAsia" w:eastAsia="仿宋_GB2312"/>
          <w:color w:val="auto"/>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76FF408B">
      <w:pPr>
        <w:pStyle w:val="9"/>
        <w:widowControl w:val="0"/>
        <w:spacing w:before="0" w:after="0" w:line="560" w:lineRule="exact"/>
        <w:ind w:firstLine="640" w:firstLineChars="200"/>
        <w:jc w:val="both"/>
        <w:outlineLvl w:val="9"/>
        <w:rPr>
          <w:rFonts w:ascii="Times New Roman" w:hAnsi="Times New Roman" w:eastAsia="仿宋_GB2312"/>
          <w:b w:val="0"/>
          <w:bCs w:val="0"/>
          <w:color w:val="auto"/>
          <w:sz w:val="32"/>
          <w:szCs w:val="32"/>
          <w:highlight w:val="none"/>
        </w:rPr>
      </w:pPr>
      <w:r>
        <w:rPr>
          <w:rFonts w:ascii="Times New Roman" w:hAnsi="Times New Roman" w:eastAsia="仿宋_GB2312"/>
          <w:b w:val="0"/>
          <w:bCs w:val="0"/>
          <w:color w:val="auto"/>
          <w:sz w:val="32"/>
          <w:szCs w:val="32"/>
          <w:highlight w:val="none"/>
        </w:rPr>
        <w:t>2、绩效评价的对象</w:t>
      </w:r>
    </w:p>
    <w:p w14:paraId="770C790D">
      <w:pPr>
        <w:pStyle w:val="18"/>
        <w:spacing w:line="560" w:lineRule="exact"/>
        <w:ind w:firstLine="640" w:firstLineChars="200"/>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此次我单位根据《财政支出绩效评价管理暂行办法》（财预〔2020〕10号）文件要求对2023年我单位实施的中央补助地方公共服务体系建设补助资金项目开展部门绩效评价，</w:t>
      </w:r>
      <w:r>
        <w:rPr>
          <w:rFonts w:hint="eastAsia" w:ascii="Times New Roman" w:hAnsi="Times New Roman" w:eastAsia="仿宋_GB2312" w:cs="Times New Roman"/>
          <w:color w:val="auto"/>
          <w:sz w:val="32"/>
          <w:szCs w:val="32"/>
          <w:highlight w:val="none"/>
          <w:lang w:eastAsia="zh-CN"/>
        </w:rPr>
        <w:t>评价核心</w:t>
      </w:r>
      <w:r>
        <w:rPr>
          <w:rFonts w:hint="eastAsia" w:ascii="Times New Roman" w:hAnsi="Times New Roman" w:eastAsia="仿宋_GB2312" w:cs="Times New Roman"/>
          <w:color w:val="auto"/>
          <w:sz w:val="32"/>
          <w:szCs w:val="32"/>
          <w:highlight w:val="none"/>
          <w:lang w:val="en-US" w:eastAsia="zh-CN"/>
        </w:rPr>
        <w:t>内容</w:t>
      </w:r>
      <w:r>
        <w:rPr>
          <w:rFonts w:hint="eastAsia" w:ascii="Times New Roman" w:hAnsi="Times New Roman" w:eastAsia="仿宋_GB2312" w:cs="Times New Roman"/>
          <w:color w:val="auto"/>
          <w:sz w:val="32"/>
          <w:szCs w:val="32"/>
          <w:highlight w:val="none"/>
          <w:lang w:eastAsia="zh-CN"/>
        </w:rPr>
        <w:t>为项目资金</w:t>
      </w:r>
      <w:r>
        <w:rPr>
          <w:rFonts w:hint="eastAsia" w:ascii="Times New Roman" w:hAnsi="Times New Roman" w:eastAsia="仿宋_GB2312" w:cs="Times New Roman"/>
          <w:color w:val="auto"/>
          <w:sz w:val="32"/>
          <w:szCs w:val="32"/>
          <w:highlight w:val="none"/>
          <w:lang w:val="en-US" w:eastAsia="zh-CN"/>
        </w:rPr>
        <w:t>执行情况</w:t>
      </w:r>
      <w:r>
        <w:rPr>
          <w:rFonts w:hint="eastAsia" w:ascii="Times New Roman" w:hAnsi="Times New Roman" w:eastAsia="仿宋_GB2312" w:cs="Times New Roman"/>
          <w:color w:val="auto"/>
          <w:sz w:val="32"/>
          <w:szCs w:val="32"/>
          <w:highlight w:val="none"/>
          <w:lang w:eastAsia="zh-CN"/>
        </w:rPr>
        <w:t>、项目产出</w:t>
      </w:r>
      <w:r>
        <w:rPr>
          <w:rFonts w:hint="eastAsia" w:ascii="Times New Roman" w:hAnsi="Times New Roman" w:eastAsia="仿宋_GB2312" w:cs="Times New Roman"/>
          <w:color w:val="auto"/>
          <w:sz w:val="32"/>
          <w:szCs w:val="32"/>
          <w:highlight w:val="none"/>
          <w:lang w:val="en-US" w:eastAsia="zh-CN"/>
        </w:rPr>
        <w:t>情况</w:t>
      </w:r>
      <w:r>
        <w:rPr>
          <w:rFonts w:hint="eastAsia" w:ascii="Times New Roman" w:hAnsi="Times New Roman" w:eastAsia="仿宋_GB2312" w:cs="Times New Roman"/>
          <w:color w:val="auto"/>
          <w:sz w:val="32"/>
          <w:szCs w:val="32"/>
          <w:highlight w:val="none"/>
          <w:lang w:eastAsia="zh-CN"/>
        </w:rPr>
        <w:t>、项目效益</w:t>
      </w:r>
      <w:r>
        <w:rPr>
          <w:rFonts w:hint="eastAsia" w:ascii="Times New Roman" w:hAnsi="Times New Roman" w:eastAsia="仿宋_GB2312" w:cs="Times New Roman"/>
          <w:color w:val="auto"/>
          <w:sz w:val="32"/>
          <w:szCs w:val="32"/>
          <w:highlight w:val="none"/>
          <w:lang w:val="en-US" w:eastAsia="zh-CN"/>
        </w:rPr>
        <w:t>情况</w:t>
      </w:r>
      <w:r>
        <w:rPr>
          <w:rFonts w:hint="default" w:ascii="Times New Roman" w:hAnsi="Times New Roman" w:eastAsia="仿宋_GB2312" w:cs="Times New Roman"/>
          <w:color w:val="auto"/>
          <w:sz w:val="32"/>
          <w:szCs w:val="32"/>
          <w:highlight w:val="none"/>
          <w:lang w:val="en-US" w:eastAsia="zh-CN"/>
        </w:rPr>
        <w:t>。</w:t>
      </w:r>
    </w:p>
    <w:p w14:paraId="3706414E">
      <w:pPr>
        <w:pStyle w:val="9"/>
        <w:widowControl w:val="0"/>
        <w:spacing w:before="0" w:after="0" w:line="560" w:lineRule="exact"/>
        <w:ind w:firstLine="640" w:firstLineChars="200"/>
        <w:jc w:val="both"/>
        <w:outlineLvl w:val="9"/>
        <w:rPr>
          <w:rFonts w:ascii="Times New Roman" w:hAnsi="Times New Roman" w:eastAsia="仿宋_GB2312"/>
          <w:b w:val="0"/>
          <w:bCs w:val="0"/>
          <w:color w:val="auto"/>
          <w:sz w:val="32"/>
          <w:szCs w:val="32"/>
          <w:highlight w:val="none"/>
        </w:rPr>
      </w:pPr>
      <w:r>
        <w:rPr>
          <w:rFonts w:ascii="Times New Roman" w:hAnsi="Times New Roman" w:eastAsia="仿宋_GB2312"/>
          <w:b w:val="0"/>
          <w:bCs w:val="0"/>
          <w:color w:val="auto"/>
          <w:sz w:val="32"/>
          <w:szCs w:val="32"/>
          <w:highlight w:val="none"/>
        </w:rPr>
        <w:t>3、绩效评价的范围</w:t>
      </w:r>
    </w:p>
    <w:p w14:paraId="09FDCB6D">
      <w:p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本次评价从项目决策（包括绩效目标、决策过程）、项目管理（包括项目资金、项目实施）、项目产出（包括项目产出数量、产出质量、产出时效和产出成本）项目效益四个维度对</w:t>
      </w:r>
      <w:r>
        <w:rPr>
          <w:rFonts w:hint="eastAsia" w:ascii="Times New Roman" w:hAnsi="Times New Roman" w:eastAsia="仿宋_GB2312" w:cs="Times New Roman"/>
          <w:color w:val="auto"/>
          <w:sz w:val="32"/>
          <w:szCs w:val="32"/>
          <w:highlight w:val="none"/>
        </w:rPr>
        <w:t>中央补助地方公共服务体系建设补助资金</w:t>
      </w:r>
      <w:r>
        <w:rPr>
          <w:rFonts w:hint="eastAsia" w:ascii="仿宋_GB2312" w:hAnsi="仿宋_GB2312" w:eastAsia="仿宋_GB2312" w:cs="仿宋_GB2312"/>
          <w:color w:val="auto"/>
          <w:sz w:val="32"/>
          <w:szCs w:val="32"/>
          <w:highlight w:val="none"/>
        </w:rPr>
        <w:t>进行评价，评价核心为专项资金的支出完成情况和效果。</w:t>
      </w:r>
    </w:p>
    <w:p w14:paraId="5C8F573C">
      <w:pPr>
        <w:spacing w:line="560" w:lineRule="exact"/>
        <w:ind w:firstLine="643" w:firstLineChars="200"/>
        <w:rPr>
          <w:color w:val="auto"/>
          <w:sz w:val="32"/>
          <w:szCs w:val="32"/>
          <w:highlight w:val="none"/>
        </w:rPr>
      </w:pPr>
      <w:r>
        <w:rPr>
          <w:rFonts w:eastAsia="楷体_GB2312"/>
          <w:b/>
          <w:bCs/>
          <w:color w:val="auto"/>
          <w:sz w:val="32"/>
          <w:szCs w:val="32"/>
          <w:highlight w:val="none"/>
        </w:rPr>
        <w:t>（二）绩效评价原则、评价指标体系（详情见表1）、评价方法、评价标准。</w:t>
      </w:r>
    </w:p>
    <w:p w14:paraId="36495BE6">
      <w:pPr>
        <w:pStyle w:val="9"/>
        <w:widowControl w:val="0"/>
        <w:spacing w:before="0" w:after="0" w:line="560" w:lineRule="exact"/>
        <w:ind w:firstLine="640" w:firstLineChars="200"/>
        <w:jc w:val="both"/>
        <w:outlineLvl w:val="9"/>
        <w:rPr>
          <w:rFonts w:ascii="Times New Roman" w:hAnsi="Times New Roman" w:eastAsia="仿宋_GB2312"/>
          <w:b w:val="0"/>
          <w:bCs w:val="0"/>
          <w:color w:val="auto"/>
          <w:sz w:val="32"/>
          <w:szCs w:val="32"/>
          <w:highlight w:val="none"/>
        </w:rPr>
      </w:pPr>
      <w:r>
        <w:rPr>
          <w:rFonts w:ascii="Times New Roman" w:hAnsi="Times New Roman" w:eastAsia="仿宋_GB2312"/>
          <w:b w:val="0"/>
          <w:bCs w:val="0"/>
          <w:color w:val="auto"/>
          <w:sz w:val="32"/>
          <w:szCs w:val="32"/>
          <w:highlight w:val="none"/>
        </w:rPr>
        <w:t>1、绩效评价原则</w:t>
      </w:r>
    </w:p>
    <w:p w14:paraId="6AC9D6EB">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本次项目绩效评价遵循以下基本原则：</w:t>
      </w:r>
    </w:p>
    <w:p w14:paraId="17A2A0CF">
      <w:pPr>
        <w:pStyle w:val="9"/>
        <w:spacing w:before="0" w:after="0" w:line="560" w:lineRule="exact"/>
        <w:ind w:firstLine="640" w:firstLineChars="200"/>
        <w:jc w:val="both"/>
        <w:outlineLvl w:val="9"/>
        <w:rPr>
          <w:rFonts w:ascii="Times New Roman" w:hAnsi="Times New Roman" w:eastAsia="仿宋_GB2312"/>
          <w:b w:val="0"/>
          <w:bCs w:val="0"/>
          <w:color w:val="auto"/>
          <w:sz w:val="32"/>
          <w:szCs w:val="32"/>
          <w:highlight w:val="none"/>
        </w:rPr>
      </w:pPr>
      <w:r>
        <w:rPr>
          <w:rFonts w:ascii="Times New Roman" w:hAnsi="Times New Roman" w:eastAsia="仿宋_GB2312"/>
          <w:b w:val="0"/>
          <w:bCs w:val="0"/>
          <w:color w:val="auto"/>
          <w:sz w:val="32"/>
          <w:szCs w:val="32"/>
          <w:highlight w:val="none"/>
        </w:rPr>
        <w:t>（1）科学公正。绩效评价应当运用科学合理的方法，按照规范的程序，对项目绩效进行客观、公正的反映。</w:t>
      </w:r>
    </w:p>
    <w:p w14:paraId="70EDA852">
      <w:pPr>
        <w:pStyle w:val="9"/>
        <w:spacing w:before="0" w:after="0" w:line="560" w:lineRule="exact"/>
        <w:ind w:firstLine="640" w:firstLineChars="200"/>
        <w:jc w:val="both"/>
        <w:outlineLvl w:val="9"/>
        <w:rPr>
          <w:rFonts w:ascii="Times New Roman" w:hAnsi="Times New Roman" w:eastAsia="仿宋_GB2312"/>
          <w:b w:val="0"/>
          <w:bCs w:val="0"/>
          <w:color w:val="auto"/>
          <w:sz w:val="32"/>
          <w:szCs w:val="32"/>
          <w:highlight w:val="none"/>
        </w:rPr>
      </w:pPr>
      <w:r>
        <w:rPr>
          <w:rFonts w:ascii="Times New Roman" w:hAnsi="Times New Roman" w:eastAsia="仿宋_GB2312"/>
          <w:b w:val="0"/>
          <w:bCs w:val="0"/>
          <w:color w:val="auto"/>
          <w:sz w:val="32"/>
          <w:szCs w:val="32"/>
          <w:highlight w:val="none"/>
        </w:rPr>
        <w:t>（2）统筹兼顾。单位自评、部门评价和财政评价应职责明确，各有侧重，相互衔接。单位自评应由项目单位自主实施，即“谁支出、谁自评”。部门评价和财政评价应在单位自评的基础上开展。</w:t>
      </w:r>
    </w:p>
    <w:p w14:paraId="2BB984CA">
      <w:pPr>
        <w:pStyle w:val="9"/>
        <w:spacing w:before="0" w:after="0" w:line="560" w:lineRule="exact"/>
        <w:ind w:firstLine="640" w:firstLineChars="200"/>
        <w:jc w:val="both"/>
        <w:outlineLvl w:val="9"/>
        <w:rPr>
          <w:rFonts w:ascii="Times New Roman" w:hAnsi="Times New Roman" w:eastAsia="仿宋_GB2312"/>
          <w:b w:val="0"/>
          <w:bCs w:val="0"/>
          <w:color w:val="auto"/>
          <w:sz w:val="32"/>
          <w:szCs w:val="32"/>
          <w:highlight w:val="none"/>
        </w:rPr>
      </w:pPr>
      <w:r>
        <w:rPr>
          <w:rFonts w:ascii="Times New Roman" w:hAnsi="Times New Roman" w:eastAsia="仿宋_GB2312"/>
          <w:b w:val="0"/>
          <w:bCs w:val="0"/>
          <w:color w:val="auto"/>
          <w:sz w:val="32"/>
          <w:szCs w:val="32"/>
          <w:highlight w:val="none"/>
        </w:rPr>
        <w:t>（3）激励约束。绩效评价结果应与预算安排、政策调整、改进管理实质性挂钩，体现奖优罚劣和激励相容导向，有效要安排、低效要压减、无效要问责。</w:t>
      </w:r>
    </w:p>
    <w:p w14:paraId="278DA77F">
      <w:pPr>
        <w:pStyle w:val="9"/>
        <w:spacing w:before="0" w:after="0" w:line="560" w:lineRule="exact"/>
        <w:ind w:firstLine="640" w:firstLineChars="200"/>
        <w:jc w:val="both"/>
        <w:outlineLvl w:val="9"/>
        <w:rPr>
          <w:rFonts w:ascii="Times New Roman" w:hAnsi="Times New Roman" w:eastAsia="仿宋_GB2312"/>
          <w:b w:val="0"/>
          <w:bCs w:val="0"/>
          <w:color w:val="auto"/>
          <w:sz w:val="32"/>
          <w:szCs w:val="32"/>
          <w:highlight w:val="none"/>
        </w:rPr>
      </w:pPr>
      <w:r>
        <w:rPr>
          <w:rFonts w:ascii="Times New Roman" w:hAnsi="Times New Roman" w:eastAsia="仿宋_GB2312"/>
          <w:b w:val="0"/>
          <w:bCs w:val="0"/>
          <w:color w:val="auto"/>
          <w:sz w:val="32"/>
          <w:szCs w:val="32"/>
          <w:highlight w:val="none"/>
        </w:rPr>
        <w:t>（4）公开透明。绩效评价结果应依法依规公开，并自觉接受社会监督。</w:t>
      </w:r>
    </w:p>
    <w:p w14:paraId="5993638F">
      <w:pPr>
        <w:pStyle w:val="9"/>
        <w:widowControl w:val="0"/>
        <w:spacing w:before="0" w:after="0" w:line="560" w:lineRule="exact"/>
        <w:ind w:firstLine="640" w:firstLineChars="200"/>
        <w:jc w:val="both"/>
        <w:outlineLvl w:val="9"/>
        <w:rPr>
          <w:rFonts w:ascii="Times New Roman" w:hAnsi="Times New Roman" w:eastAsia="仿宋_GB2312"/>
          <w:b w:val="0"/>
          <w:bCs w:val="0"/>
          <w:color w:val="auto"/>
          <w:sz w:val="32"/>
          <w:szCs w:val="32"/>
          <w:highlight w:val="none"/>
        </w:rPr>
      </w:pPr>
      <w:r>
        <w:rPr>
          <w:rFonts w:ascii="Times New Roman" w:hAnsi="Times New Roman" w:eastAsia="仿宋_GB2312"/>
          <w:b w:val="0"/>
          <w:bCs w:val="0"/>
          <w:color w:val="auto"/>
          <w:sz w:val="32"/>
          <w:szCs w:val="32"/>
          <w:highlight w:val="none"/>
        </w:rPr>
        <w:t>2、评价指标体系</w:t>
      </w:r>
    </w:p>
    <w:p w14:paraId="78DFD6B8">
      <w:pPr>
        <w:spacing w:line="560" w:lineRule="exact"/>
        <w:ind w:firstLine="708" w:firstLineChars="200"/>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1460AAA1">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（1）确定评价指标</w:t>
      </w:r>
    </w:p>
    <w:p w14:paraId="5E4D988C">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14E6EEEA">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（2）确定权重</w:t>
      </w:r>
    </w:p>
    <w:p w14:paraId="2DFFEE93">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确定各个指标相对于项目总体绩效的权重分值。在绩效评价指标体系中，项目决策权重为20分，项目过程权重为20分，</w:t>
      </w:r>
      <w:r>
        <w:rPr>
          <w:rFonts w:hint="eastAsia" w:eastAsia="仿宋_GB2312"/>
          <w:color w:val="auto"/>
          <w:spacing w:val="17"/>
          <w:sz w:val="32"/>
          <w:szCs w:val="32"/>
          <w:highlight w:val="none"/>
        </w:rPr>
        <w:t>项目成本</w:t>
      </w:r>
      <w:r>
        <w:rPr>
          <w:rFonts w:hint="eastAsia" w:eastAsia="仿宋_GB2312"/>
          <w:color w:val="auto"/>
          <w:spacing w:val="17"/>
          <w:sz w:val="32"/>
          <w:szCs w:val="32"/>
          <w:highlight w:val="none"/>
          <w:lang w:val="en-US" w:eastAsia="zh-CN"/>
        </w:rPr>
        <w:t>权重为12分，</w:t>
      </w:r>
      <w:r>
        <w:rPr>
          <w:rFonts w:eastAsia="仿宋_GB2312"/>
          <w:color w:val="auto"/>
          <w:spacing w:val="17"/>
          <w:sz w:val="32"/>
          <w:szCs w:val="32"/>
          <w:highlight w:val="none"/>
        </w:rPr>
        <w:t>项目产出权重为</w:t>
      </w:r>
      <w:r>
        <w:rPr>
          <w:rFonts w:hint="eastAsia" w:eastAsia="仿宋_GB2312"/>
          <w:color w:val="auto"/>
          <w:spacing w:val="17"/>
          <w:sz w:val="32"/>
          <w:szCs w:val="32"/>
          <w:highlight w:val="none"/>
          <w:lang w:val="en-US" w:eastAsia="zh-CN"/>
        </w:rPr>
        <w:t>24</w:t>
      </w:r>
      <w:r>
        <w:rPr>
          <w:rFonts w:eastAsia="仿宋_GB2312"/>
          <w:color w:val="auto"/>
          <w:spacing w:val="17"/>
          <w:sz w:val="32"/>
          <w:szCs w:val="32"/>
          <w:highlight w:val="none"/>
        </w:rPr>
        <w:t>分，项目效益权重为</w:t>
      </w:r>
      <w:r>
        <w:rPr>
          <w:rFonts w:hint="eastAsia" w:eastAsia="仿宋_GB2312"/>
          <w:color w:val="auto"/>
          <w:spacing w:val="17"/>
          <w:sz w:val="32"/>
          <w:szCs w:val="32"/>
          <w:highlight w:val="none"/>
          <w:lang w:val="en-US" w:eastAsia="zh-CN"/>
        </w:rPr>
        <w:t>24</w:t>
      </w:r>
      <w:r>
        <w:rPr>
          <w:rFonts w:eastAsia="仿宋_GB2312"/>
          <w:color w:val="auto"/>
          <w:spacing w:val="17"/>
          <w:sz w:val="32"/>
          <w:szCs w:val="32"/>
          <w:highlight w:val="none"/>
        </w:rPr>
        <w:t>分。</w:t>
      </w:r>
    </w:p>
    <w:p w14:paraId="4CA4C63E">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14:paraId="3E345C13">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02B22905">
      <w:pPr>
        <w:pStyle w:val="9"/>
        <w:spacing w:before="0" w:after="0" w:line="560" w:lineRule="exact"/>
        <w:ind w:firstLine="708" w:firstLineChars="200"/>
        <w:jc w:val="both"/>
        <w:rPr>
          <w:rFonts w:ascii="Times New Roman" w:hAnsi="Times New Roman" w:eastAsia="仿宋_GB2312"/>
          <w:b w:val="0"/>
          <w:bCs w:val="0"/>
          <w:color w:val="auto"/>
          <w:spacing w:val="17"/>
          <w:kern w:val="2"/>
          <w:sz w:val="32"/>
          <w:szCs w:val="32"/>
          <w:highlight w:val="none"/>
        </w:rPr>
      </w:pPr>
      <w:r>
        <w:rPr>
          <w:rFonts w:ascii="Times New Roman" w:hAnsi="Times New Roman" w:eastAsia="仿宋_GB2312"/>
          <w:b w:val="0"/>
          <w:bCs w:val="0"/>
          <w:color w:val="auto"/>
          <w:spacing w:val="17"/>
          <w:kern w:val="2"/>
          <w:sz w:val="32"/>
          <w:szCs w:val="3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082E4B45">
      <w:pPr>
        <w:pStyle w:val="9"/>
        <w:widowControl w:val="0"/>
        <w:spacing w:before="0" w:after="0" w:line="560" w:lineRule="exact"/>
        <w:ind w:firstLine="708" w:firstLineChars="200"/>
        <w:jc w:val="both"/>
        <w:outlineLvl w:val="9"/>
        <w:rPr>
          <w:rFonts w:ascii="Times New Roman" w:hAnsi="Times New Roman" w:eastAsia="仿宋_GB2312"/>
          <w:b w:val="0"/>
          <w:bCs w:val="0"/>
          <w:color w:val="auto"/>
          <w:spacing w:val="17"/>
          <w:sz w:val="32"/>
          <w:szCs w:val="32"/>
          <w:highlight w:val="none"/>
        </w:rPr>
      </w:pPr>
      <w:r>
        <w:rPr>
          <w:rFonts w:ascii="Times New Roman" w:hAnsi="Times New Roman" w:eastAsia="仿宋_GB2312"/>
          <w:b w:val="0"/>
          <w:bCs w:val="0"/>
          <w:color w:val="auto"/>
          <w:spacing w:val="17"/>
          <w:sz w:val="32"/>
          <w:szCs w:val="32"/>
          <w:highlight w:val="none"/>
        </w:rPr>
        <w:t>具体评价指标体系详情见附件1</w:t>
      </w:r>
    </w:p>
    <w:p w14:paraId="20A2A0F5">
      <w:pPr>
        <w:pStyle w:val="9"/>
        <w:widowControl w:val="0"/>
        <w:spacing w:before="0" w:after="0" w:line="560" w:lineRule="exact"/>
        <w:ind w:firstLine="640" w:firstLineChars="200"/>
        <w:jc w:val="both"/>
        <w:outlineLvl w:val="9"/>
        <w:rPr>
          <w:rFonts w:ascii="Times New Roman" w:hAnsi="Times New Roman" w:eastAsia="仿宋_GB2312"/>
          <w:b w:val="0"/>
          <w:bCs w:val="0"/>
          <w:color w:val="auto"/>
          <w:sz w:val="32"/>
          <w:szCs w:val="32"/>
          <w:highlight w:val="none"/>
        </w:rPr>
      </w:pPr>
      <w:r>
        <w:rPr>
          <w:rFonts w:ascii="Times New Roman" w:hAnsi="Times New Roman" w:eastAsia="仿宋_GB2312"/>
          <w:b w:val="0"/>
          <w:bCs w:val="0"/>
          <w:color w:val="auto"/>
          <w:sz w:val="32"/>
          <w:szCs w:val="32"/>
          <w:highlight w:val="none"/>
        </w:rPr>
        <w:t>3、绩效评价方法</w:t>
      </w:r>
    </w:p>
    <w:p w14:paraId="1AE0CECC">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588A359C">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53EF427A">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（1）比较法</w:t>
      </w:r>
    </w:p>
    <w:p w14:paraId="14B9C4FA">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通过对绩效目标与实施效果、历史与当期情况，综合分析绩效目标实现程度。对</w:t>
      </w:r>
      <w:r>
        <w:rPr>
          <w:rFonts w:eastAsia="仿宋_GB2312"/>
          <w:color w:val="auto"/>
          <w:sz w:val="32"/>
          <w:szCs w:val="32"/>
          <w:highlight w:val="none"/>
        </w:rPr>
        <w:t>项目</w:t>
      </w:r>
      <w:r>
        <w:rPr>
          <w:rFonts w:eastAsia="仿宋_GB2312"/>
          <w:color w:val="auto"/>
          <w:spacing w:val="17"/>
          <w:sz w:val="32"/>
          <w:szCs w:val="32"/>
          <w:highlight w:val="none"/>
        </w:rPr>
        <w:t>最终验收情况与年度绩效目标对比、预算资金执行情况等相关因素进行比较。</w:t>
      </w:r>
    </w:p>
    <w:p w14:paraId="3FF3B95F">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（2）因素分析法</w:t>
      </w:r>
    </w:p>
    <w:p w14:paraId="0901AC0A">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通过综合分析影响绩效目标实现、实施效果的内外因素，评价绩效目标实现程度。通过对</w:t>
      </w:r>
      <w:r>
        <w:rPr>
          <w:rFonts w:eastAsia="仿宋_GB2312"/>
          <w:color w:val="auto"/>
          <w:sz w:val="32"/>
          <w:szCs w:val="32"/>
          <w:highlight w:val="none"/>
        </w:rPr>
        <w:t>项目</w:t>
      </w:r>
      <w:r>
        <w:rPr>
          <w:rFonts w:eastAsia="仿宋_GB2312"/>
          <w:color w:val="auto"/>
          <w:spacing w:val="17"/>
          <w:sz w:val="32"/>
          <w:szCs w:val="32"/>
          <w:highlight w:val="none"/>
        </w:rPr>
        <w:t>的开展情况、项目产出数量、成本控制、资金拨付文件及自评报告等相关资料的收集和审核，综合分析各因素对绩效目标实现的影响。</w:t>
      </w:r>
    </w:p>
    <w:p w14:paraId="1E635660">
      <w:pPr>
        <w:pStyle w:val="9"/>
        <w:widowControl w:val="0"/>
        <w:spacing w:before="0" w:after="0" w:line="560" w:lineRule="exact"/>
        <w:ind w:firstLine="640" w:firstLineChars="200"/>
        <w:jc w:val="both"/>
        <w:outlineLvl w:val="9"/>
        <w:rPr>
          <w:rFonts w:ascii="Times New Roman" w:hAnsi="Times New Roman" w:eastAsia="仿宋_GB2312"/>
          <w:b w:val="0"/>
          <w:bCs w:val="0"/>
          <w:color w:val="auto"/>
          <w:sz w:val="32"/>
          <w:szCs w:val="32"/>
          <w:highlight w:val="none"/>
        </w:rPr>
      </w:pPr>
      <w:r>
        <w:rPr>
          <w:rFonts w:ascii="Times New Roman" w:hAnsi="Times New Roman" w:eastAsia="仿宋_GB2312"/>
          <w:b w:val="0"/>
          <w:bCs w:val="0"/>
          <w:color w:val="auto"/>
          <w:sz w:val="32"/>
          <w:szCs w:val="32"/>
          <w:highlight w:val="none"/>
        </w:rPr>
        <w:t>4、评价标准</w:t>
      </w:r>
    </w:p>
    <w:p w14:paraId="562F077B">
      <w:pPr>
        <w:spacing w:line="560" w:lineRule="exact"/>
        <w:ind w:firstLine="708" w:firstLineChars="200"/>
        <w:rPr>
          <w:rFonts w:eastAsia="仿宋_GB2312"/>
          <w:color w:val="auto"/>
          <w:spacing w:val="17"/>
          <w:sz w:val="32"/>
          <w:szCs w:val="32"/>
          <w:highlight w:val="none"/>
        </w:rPr>
      </w:pPr>
      <w:r>
        <w:rPr>
          <w:rFonts w:hint="eastAsia" w:eastAsia="仿宋_GB2312"/>
          <w:color w:val="auto"/>
          <w:spacing w:val="17"/>
          <w:sz w:val="32"/>
          <w:szCs w:val="32"/>
          <w:highlight w:val="none"/>
        </w:rPr>
        <w:t>绩效评价标准通常包括计划标准、行业标准、历史标准等，用于对绩效指标完成情况进行比较、分析、评价。</w:t>
      </w:r>
      <w:bookmarkStart w:id="0" w:name="_Toc31464"/>
      <w:bookmarkStart w:id="1" w:name="_Toc17882"/>
      <w:r>
        <w:rPr>
          <w:rFonts w:hint="eastAsia" w:eastAsia="仿宋_GB2312"/>
          <w:color w:val="auto"/>
          <w:spacing w:val="17"/>
          <w:sz w:val="32"/>
          <w:szCs w:val="32"/>
          <w:highlight w:val="none"/>
        </w:rPr>
        <w:t>本次采集相关数据，运用等级描述法，设置分级标准，体现该指标认可程度的差异。对于定量指标，通过公式等方式予以量化，可以准确衡量，并设定目标值的考核指标。</w:t>
      </w:r>
    </w:p>
    <w:p w14:paraId="3612E87C">
      <w:pPr>
        <w:spacing w:line="560" w:lineRule="exact"/>
        <w:ind w:firstLine="708" w:firstLineChars="200"/>
        <w:rPr>
          <w:rFonts w:eastAsia="仿宋_GB2312"/>
          <w:color w:val="auto"/>
          <w:spacing w:val="17"/>
          <w:sz w:val="32"/>
          <w:szCs w:val="32"/>
          <w:highlight w:val="none"/>
        </w:rPr>
      </w:pPr>
      <w:r>
        <w:rPr>
          <w:rFonts w:hint="eastAsia" w:eastAsia="仿宋_GB2312"/>
          <w:color w:val="auto"/>
          <w:spacing w:val="17"/>
          <w:sz w:val="32"/>
          <w:szCs w:val="32"/>
          <w:highlight w:val="none"/>
        </w:rPr>
        <w:t>计划标准：指以预先制定的目标、计划、预算、定额等作为评价标准。</w:t>
      </w:r>
      <w:bookmarkEnd w:id="0"/>
      <w:bookmarkEnd w:id="1"/>
    </w:p>
    <w:p w14:paraId="702BB041">
      <w:pPr>
        <w:spacing w:line="560" w:lineRule="exact"/>
        <w:ind w:firstLine="708" w:firstLineChars="200"/>
        <w:rPr>
          <w:rFonts w:eastAsia="仿宋_GB2312"/>
          <w:color w:val="auto"/>
          <w:spacing w:val="17"/>
          <w:sz w:val="32"/>
          <w:szCs w:val="32"/>
          <w:highlight w:val="none"/>
        </w:rPr>
      </w:pPr>
      <w:bookmarkStart w:id="2" w:name="_Toc2318"/>
      <w:bookmarkStart w:id="3" w:name="_Toc5633"/>
      <w:r>
        <w:rPr>
          <w:rFonts w:hint="eastAsia" w:eastAsia="仿宋_GB2312"/>
          <w:color w:val="auto"/>
          <w:spacing w:val="17"/>
          <w:sz w:val="32"/>
          <w:szCs w:val="32"/>
          <w:highlight w:val="none"/>
        </w:rPr>
        <w:t>行业标准：指参照国家公布的行业指标数据制定的评价标准。</w:t>
      </w:r>
      <w:bookmarkEnd w:id="2"/>
      <w:bookmarkEnd w:id="3"/>
    </w:p>
    <w:p w14:paraId="7BCC9F33">
      <w:pPr>
        <w:spacing w:line="560" w:lineRule="exact"/>
        <w:ind w:firstLine="708" w:firstLineChars="200"/>
        <w:rPr>
          <w:rFonts w:eastAsia="方正仿宋_GBK" w:cs="方正仿宋_GBK"/>
          <w:color w:val="auto"/>
          <w:sz w:val="32"/>
          <w:szCs w:val="32"/>
          <w:highlight w:val="none"/>
        </w:rPr>
      </w:pPr>
      <w:bookmarkStart w:id="4" w:name="_Toc430"/>
      <w:bookmarkStart w:id="5" w:name="_Toc16028"/>
      <w:r>
        <w:rPr>
          <w:rFonts w:hint="eastAsia" w:eastAsia="仿宋_GB2312"/>
          <w:color w:val="auto"/>
          <w:spacing w:val="17"/>
          <w:sz w:val="32"/>
          <w:szCs w:val="32"/>
          <w:highlight w:val="none"/>
        </w:rPr>
        <w:t>历史标准：指参照历史数据制定的评价标准，为体现绩效改进的原则，在可实现的条件下应当确定相对较高的评价标准</w:t>
      </w:r>
      <w:r>
        <w:rPr>
          <w:rFonts w:hint="eastAsia" w:eastAsia="方正仿宋_GBK" w:cs="方正仿宋_GBK"/>
          <w:color w:val="auto"/>
          <w:sz w:val="32"/>
          <w:szCs w:val="32"/>
          <w:highlight w:val="none"/>
        </w:rPr>
        <w:t>。</w:t>
      </w:r>
      <w:bookmarkEnd w:id="4"/>
      <w:bookmarkEnd w:id="5"/>
    </w:p>
    <w:p w14:paraId="0C331E78">
      <w:pPr>
        <w:pStyle w:val="9"/>
        <w:numPr>
          <w:ilvl w:val="0"/>
          <w:numId w:val="3"/>
        </w:numPr>
        <w:spacing w:before="0" w:after="0" w:line="560" w:lineRule="exact"/>
        <w:ind w:firstLine="711" w:firstLineChars="200"/>
        <w:jc w:val="both"/>
        <w:rPr>
          <w:rFonts w:ascii="楷体" w:hAnsi="楷体" w:eastAsia="楷体" w:cs="楷体"/>
          <w:color w:val="auto"/>
          <w:spacing w:val="17"/>
          <w:sz w:val="32"/>
          <w:szCs w:val="32"/>
          <w:highlight w:val="none"/>
        </w:rPr>
      </w:pPr>
      <w:r>
        <w:rPr>
          <w:rFonts w:hint="eastAsia" w:ascii="楷体" w:hAnsi="楷体" w:eastAsia="楷体" w:cs="楷体"/>
          <w:color w:val="auto"/>
          <w:spacing w:val="17"/>
          <w:sz w:val="32"/>
          <w:szCs w:val="32"/>
          <w:highlight w:val="none"/>
        </w:rPr>
        <w:t>绩效评价工作过程</w:t>
      </w:r>
    </w:p>
    <w:p w14:paraId="6C8347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lang w:val="en-US" w:eastAsia="zh-CN"/>
        </w:rPr>
        <w:t>1.</w:t>
      </w:r>
      <w:r>
        <w:rPr>
          <w:rFonts w:hint="eastAsia" w:eastAsia="仿宋_GB2312"/>
          <w:bCs/>
          <w:color w:val="auto"/>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56F4D2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lang w:val="en-US" w:eastAsia="zh-CN"/>
        </w:rPr>
        <w:t>2.</w:t>
      </w:r>
      <w:r>
        <w:rPr>
          <w:rFonts w:hint="eastAsia" w:eastAsia="仿宋_GB2312"/>
          <w:bCs/>
          <w:color w:val="auto"/>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4F359F7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color w:val="auto"/>
          <w:sz w:val="32"/>
          <w:szCs w:val="32"/>
          <w:highlight w:val="none"/>
        </w:rPr>
      </w:pPr>
      <w:r>
        <w:rPr>
          <w:rFonts w:hint="eastAsia" w:eastAsia="仿宋_GB2312"/>
          <w:bCs/>
          <w:color w:val="auto"/>
          <w:sz w:val="32"/>
          <w:szCs w:val="32"/>
          <w:highlight w:val="none"/>
          <w:lang w:val="en-US" w:eastAsia="zh-CN"/>
        </w:rPr>
        <w:t>3.</w:t>
      </w:r>
      <w:r>
        <w:rPr>
          <w:rFonts w:hint="eastAsia" w:eastAsia="仿宋_GB2312"/>
          <w:bCs/>
          <w:color w:val="auto"/>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7FC42087">
      <w:pPr>
        <w:numPr>
          <w:ilvl w:val="0"/>
          <w:numId w:val="4"/>
        </w:numPr>
        <w:spacing w:line="560" w:lineRule="exact"/>
        <w:ind w:firstLine="640" w:firstLineChars="200"/>
        <w:rPr>
          <w:rFonts w:eastAsia="黑体"/>
          <w:color w:val="auto"/>
          <w:sz w:val="32"/>
          <w:szCs w:val="32"/>
          <w:highlight w:val="none"/>
        </w:rPr>
      </w:pPr>
      <w:r>
        <w:rPr>
          <w:rFonts w:eastAsia="黑体"/>
          <w:color w:val="auto"/>
          <w:sz w:val="32"/>
          <w:szCs w:val="32"/>
          <w:highlight w:val="none"/>
        </w:rPr>
        <w:t>综合评价情况及评价结论（附相关评分表）</w:t>
      </w:r>
    </w:p>
    <w:p w14:paraId="3597FD6C">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olor w:val="auto"/>
          <w:sz w:val="32"/>
          <w:szCs w:val="32"/>
          <w:highlight w:val="none"/>
          <w:lang w:val="en-US" w:eastAsia="zh-CN"/>
        </w:rPr>
      </w:pPr>
      <w:r>
        <w:rPr>
          <w:rFonts w:hint="eastAsia" w:ascii="Times New Roman" w:hAnsi="Times New Roman" w:eastAsia="楷体_GB2312"/>
          <w:color w:val="auto"/>
          <w:sz w:val="32"/>
          <w:szCs w:val="32"/>
          <w:highlight w:val="none"/>
          <w:lang w:eastAsia="zh-CN"/>
        </w:rPr>
        <w:t>（</w:t>
      </w:r>
      <w:r>
        <w:rPr>
          <w:rFonts w:hint="eastAsia" w:ascii="Times New Roman" w:hAnsi="Times New Roman" w:eastAsia="楷体_GB2312"/>
          <w:color w:val="auto"/>
          <w:sz w:val="32"/>
          <w:szCs w:val="32"/>
          <w:highlight w:val="none"/>
          <w:lang w:val="en-US" w:eastAsia="zh-CN"/>
        </w:rPr>
        <w:t>一</w:t>
      </w:r>
      <w:r>
        <w:rPr>
          <w:rFonts w:hint="eastAsia" w:ascii="Times New Roman" w:hAnsi="Times New Roman" w:eastAsia="楷体_GB2312"/>
          <w:color w:val="auto"/>
          <w:sz w:val="32"/>
          <w:szCs w:val="32"/>
          <w:highlight w:val="none"/>
          <w:lang w:eastAsia="zh-CN"/>
        </w:rPr>
        <w:t>）</w:t>
      </w:r>
      <w:r>
        <w:rPr>
          <w:rFonts w:hint="eastAsia" w:ascii="Times New Roman" w:hAnsi="Times New Roman" w:eastAsia="楷体_GB2312"/>
          <w:color w:val="auto"/>
          <w:sz w:val="32"/>
          <w:szCs w:val="32"/>
          <w:highlight w:val="none"/>
          <w:lang w:val="en-US" w:eastAsia="zh-CN"/>
        </w:rPr>
        <w:t>评价情况</w:t>
      </w:r>
    </w:p>
    <w:p w14:paraId="4F891DBB">
      <w:pPr>
        <w:shd w:val="clear"/>
        <w:spacing w:line="600" w:lineRule="exact"/>
        <w:ind w:firstLine="640" w:firstLineChars="200"/>
        <w:outlineLvl w:val="0"/>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08759975">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color w:val="auto"/>
          <w:sz w:val="32"/>
          <w:szCs w:val="32"/>
          <w:highlight w:val="none"/>
          <w:lang w:val="en-US" w:eastAsia="zh-CN"/>
        </w:rPr>
      </w:pPr>
      <w:r>
        <w:rPr>
          <w:rFonts w:hint="eastAsia" w:ascii="Times New Roman" w:hAnsi="Times New Roman" w:eastAsia="楷体_GB2312" w:cs="Times New Roman"/>
          <w:color w:val="auto"/>
          <w:sz w:val="32"/>
          <w:szCs w:val="32"/>
          <w:highlight w:val="none"/>
          <w:lang w:eastAsia="zh-CN"/>
        </w:rPr>
        <w:t>（</w:t>
      </w:r>
      <w:r>
        <w:rPr>
          <w:rFonts w:hint="eastAsia" w:ascii="Times New Roman" w:hAnsi="Times New Roman" w:eastAsia="楷体_GB2312" w:cs="Times New Roman"/>
          <w:color w:val="auto"/>
          <w:sz w:val="32"/>
          <w:szCs w:val="32"/>
          <w:highlight w:val="none"/>
          <w:lang w:val="en-US" w:eastAsia="zh-CN"/>
        </w:rPr>
        <w:t>二</w:t>
      </w:r>
      <w:r>
        <w:rPr>
          <w:rFonts w:hint="eastAsia" w:ascii="Times New Roman" w:hAnsi="Times New Roman" w:eastAsia="楷体_GB2312" w:cs="Times New Roman"/>
          <w:color w:val="auto"/>
          <w:sz w:val="32"/>
          <w:szCs w:val="32"/>
          <w:highlight w:val="none"/>
          <w:lang w:eastAsia="zh-CN"/>
        </w:rPr>
        <w:t>）</w:t>
      </w:r>
      <w:r>
        <w:rPr>
          <w:rFonts w:hint="eastAsia" w:ascii="Times New Roman" w:hAnsi="Times New Roman" w:eastAsia="楷体_GB2312" w:cs="Times New Roman"/>
          <w:color w:val="auto"/>
          <w:sz w:val="32"/>
          <w:szCs w:val="32"/>
          <w:highlight w:val="none"/>
          <w:lang w:val="en-US" w:eastAsia="zh-CN"/>
        </w:rPr>
        <w:t>评价结论</w:t>
      </w:r>
    </w:p>
    <w:p w14:paraId="3F75CB8F">
      <w:pPr>
        <w:pStyle w:val="9"/>
        <w:widowControl w:val="0"/>
        <w:spacing w:before="0" w:after="0" w:line="560" w:lineRule="exact"/>
        <w:ind w:firstLine="640" w:firstLineChars="200"/>
        <w:jc w:val="both"/>
        <w:outlineLvl w:val="9"/>
        <w:rPr>
          <w:rFonts w:hint="eastAsia" w:ascii="Times New Roman" w:hAnsi="Times New Roman" w:eastAsia="仿宋_GB2312"/>
          <w:b w:val="0"/>
          <w:bCs w:val="0"/>
          <w:color w:val="auto"/>
          <w:sz w:val="32"/>
          <w:szCs w:val="32"/>
          <w:highlight w:val="none"/>
          <w:lang w:eastAsia="zh-CN"/>
        </w:rPr>
      </w:pPr>
      <w:r>
        <w:rPr>
          <w:rFonts w:hint="eastAsia" w:ascii="Times New Roman" w:hAnsi="Times New Roman" w:eastAsia="仿宋_GB2312"/>
          <w:b w:val="0"/>
          <w:bCs w:val="0"/>
          <w:color w:val="auto"/>
          <w:sz w:val="32"/>
          <w:szCs w:val="32"/>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color w:val="auto"/>
          <w:sz w:val="32"/>
          <w:szCs w:val="32"/>
          <w:highlight w:val="none"/>
          <w:lang w:val="en-US" w:eastAsia="zh-CN"/>
        </w:rPr>
        <w:t>99.97</w:t>
      </w:r>
      <w:r>
        <w:rPr>
          <w:rFonts w:hint="eastAsia" w:ascii="Times New Roman" w:hAnsi="Times New Roman" w:eastAsia="仿宋_GB2312"/>
          <w:b w:val="0"/>
          <w:bCs w:val="0"/>
          <w:color w:val="auto"/>
          <w:sz w:val="32"/>
          <w:szCs w:val="32"/>
          <w:highlight w:val="none"/>
        </w:rPr>
        <w:t>分，属于“优”。其中，项目决策类指标权重为20分，得分为</w:t>
      </w:r>
      <w:r>
        <w:rPr>
          <w:rFonts w:hint="eastAsia" w:ascii="Times New Roman" w:hAnsi="Times New Roman" w:eastAsia="仿宋_GB2312"/>
          <w:b w:val="0"/>
          <w:bCs w:val="0"/>
          <w:color w:val="auto"/>
          <w:sz w:val="32"/>
          <w:szCs w:val="32"/>
          <w:highlight w:val="none"/>
          <w:lang w:val="en-US" w:eastAsia="zh-CN"/>
        </w:rPr>
        <w:t>20</w:t>
      </w:r>
      <w:r>
        <w:rPr>
          <w:rFonts w:hint="eastAsia" w:ascii="Times New Roman" w:hAnsi="Times New Roman" w:eastAsia="仿宋_GB2312"/>
          <w:b w:val="0"/>
          <w:bCs w:val="0"/>
          <w:color w:val="auto"/>
          <w:sz w:val="32"/>
          <w:szCs w:val="32"/>
          <w:highlight w:val="none"/>
        </w:rPr>
        <w:t>分，得分率为</w:t>
      </w:r>
      <w:r>
        <w:rPr>
          <w:rFonts w:hint="eastAsia" w:ascii="Times New Roman" w:hAnsi="Times New Roman" w:eastAsia="仿宋_GB2312"/>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%。项目过程类指标权重为20分，得分为</w:t>
      </w:r>
      <w:r>
        <w:rPr>
          <w:rFonts w:hint="eastAsia" w:ascii="Times New Roman" w:hAnsi="Times New Roman" w:eastAsia="仿宋_GB2312"/>
          <w:b w:val="0"/>
          <w:bCs w:val="0"/>
          <w:color w:val="auto"/>
          <w:sz w:val="32"/>
          <w:szCs w:val="32"/>
          <w:highlight w:val="none"/>
          <w:lang w:val="en-US" w:eastAsia="zh-CN"/>
        </w:rPr>
        <w:t>19.97</w:t>
      </w:r>
      <w:r>
        <w:rPr>
          <w:rFonts w:hint="eastAsia" w:ascii="Times New Roman" w:hAnsi="Times New Roman" w:eastAsia="仿宋_GB2312"/>
          <w:b w:val="0"/>
          <w:bCs w:val="0"/>
          <w:color w:val="auto"/>
          <w:sz w:val="32"/>
          <w:szCs w:val="32"/>
          <w:highlight w:val="none"/>
        </w:rPr>
        <w:t>分，得分率为</w:t>
      </w:r>
      <w:r>
        <w:rPr>
          <w:rFonts w:hint="eastAsia" w:ascii="Times New Roman" w:hAnsi="Times New Roman" w:eastAsia="仿宋_GB2312"/>
          <w:b w:val="0"/>
          <w:bCs w:val="0"/>
          <w:color w:val="auto"/>
          <w:sz w:val="32"/>
          <w:szCs w:val="32"/>
          <w:highlight w:val="none"/>
          <w:lang w:val="en-US" w:eastAsia="zh-CN"/>
        </w:rPr>
        <w:t>99.85%</w:t>
      </w:r>
      <w:r>
        <w:rPr>
          <w:rFonts w:hint="eastAsia" w:ascii="Times New Roman" w:hAnsi="Times New Roman" w:eastAsia="仿宋_GB2312"/>
          <w:b w:val="0"/>
          <w:bCs w:val="0"/>
          <w:color w:val="auto"/>
          <w:sz w:val="32"/>
          <w:szCs w:val="32"/>
          <w:highlight w:val="none"/>
        </w:rPr>
        <w:t>。项目产出类指标权重为</w:t>
      </w:r>
      <w:r>
        <w:rPr>
          <w:rFonts w:hint="eastAsia" w:ascii="Times New Roman" w:hAnsi="Times New Roman" w:eastAsia="仿宋_GB2312"/>
          <w:b w:val="0"/>
          <w:bCs w:val="0"/>
          <w:color w:val="auto"/>
          <w:sz w:val="32"/>
          <w:szCs w:val="32"/>
          <w:highlight w:val="none"/>
          <w:lang w:val="en-US" w:eastAsia="zh-CN"/>
        </w:rPr>
        <w:t>24</w:t>
      </w:r>
      <w:r>
        <w:rPr>
          <w:rFonts w:hint="eastAsia" w:ascii="Times New Roman" w:hAnsi="Times New Roman" w:eastAsia="仿宋_GB2312"/>
          <w:b w:val="0"/>
          <w:bCs w:val="0"/>
          <w:color w:val="auto"/>
          <w:sz w:val="32"/>
          <w:szCs w:val="32"/>
          <w:highlight w:val="none"/>
        </w:rPr>
        <w:t>分，得分为</w:t>
      </w:r>
      <w:r>
        <w:rPr>
          <w:rFonts w:hint="eastAsia" w:ascii="Times New Roman" w:hAnsi="Times New Roman" w:eastAsia="仿宋_GB2312"/>
          <w:b w:val="0"/>
          <w:bCs w:val="0"/>
          <w:color w:val="auto"/>
          <w:sz w:val="32"/>
          <w:szCs w:val="32"/>
          <w:highlight w:val="none"/>
          <w:lang w:val="en-US" w:eastAsia="zh-CN"/>
        </w:rPr>
        <w:t>24</w:t>
      </w:r>
      <w:r>
        <w:rPr>
          <w:rFonts w:hint="eastAsia" w:ascii="Times New Roman" w:hAnsi="Times New Roman" w:eastAsia="仿宋_GB2312"/>
          <w:b w:val="0"/>
          <w:bCs w:val="0"/>
          <w:color w:val="auto"/>
          <w:sz w:val="32"/>
          <w:szCs w:val="32"/>
          <w:highlight w:val="none"/>
        </w:rPr>
        <w:t>分，得分率为</w:t>
      </w:r>
      <w:r>
        <w:rPr>
          <w:rFonts w:hint="eastAsia" w:ascii="Times New Roman" w:hAnsi="Times New Roman" w:eastAsia="仿宋_GB2312"/>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%。项目成本类指标权重为</w:t>
      </w:r>
      <w:r>
        <w:rPr>
          <w:rFonts w:hint="eastAsia" w:ascii="Times New Roman" w:hAnsi="Times New Roman" w:eastAsia="仿宋_GB2312"/>
          <w:b w:val="0"/>
          <w:bCs w:val="0"/>
          <w:color w:val="auto"/>
          <w:sz w:val="32"/>
          <w:szCs w:val="32"/>
          <w:highlight w:val="none"/>
          <w:lang w:val="en-US" w:eastAsia="zh-CN"/>
        </w:rPr>
        <w:t>12</w:t>
      </w:r>
      <w:r>
        <w:rPr>
          <w:rFonts w:hint="eastAsia" w:ascii="Times New Roman" w:hAnsi="Times New Roman" w:eastAsia="仿宋_GB2312"/>
          <w:b w:val="0"/>
          <w:bCs w:val="0"/>
          <w:color w:val="auto"/>
          <w:sz w:val="32"/>
          <w:szCs w:val="32"/>
          <w:highlight w:val="none"/>
        </w:rPr>
        <w:t>分，得分为</w:t>
      </w:r>
      <w:r>
        <w:rPr>
          <w:rFonts w:hint="eastAsia" w:ascii="Times New Roman" w:hAnsi="Times New Roman" w:eastAsia="仿宋_GB2312"/>
          <w:b w:val="0"/>
          <w:bCs w:val="0"/>
          <w:color w:val="auto"/>
          <w:sz w:val="32"/>
          <w:szCs w:val="32"/>
          <w:highlight w:val="none"/>
          <w:lang w:val="en-US" w:eastAsia="zh-CN"/>
        </w:rPr>
        <w:t>12</w:t>
      </w:r>
      <w:r>
        <w:rPr>
          <w:rFonts w:hint="eastAsia" w:ascii="Times New Roman" w:hAnsi="Times New Roman" w:eastAsia="仿宋_GB2312"/>
          <w:b w:val="0"/>
          <w:bCs w:val="0"/>
          <w:color w:val="auto"/>
          <w:sz w:val="32"/>
          <w:szCs w:val="32"/>
          <w:highlight w:val="none"/>
        </w:rPr>
        <w:t>分，得分率为</w:t>
      </w:r>
      <w:r>
        <w:rPr>
          <w:rFonts w:hint="eastAsia" w:ascii="Times New Roman" w:hAnsi="Times New Roman" w:eastAsia="仿宋_GB2312"/>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。效益类指标权重为2</w:t>
      </w:r>
      <w:r>
        <w:rPr>
          <w:rFonts w:hint="eastAsia" w:ascii="Times New Roman" w:hAnsi="Times New Roman" w:eastAsia="仿宋_GB2312"/>
          <w:b w:val="0"/>
          <w:bCs w:val="0"/>
          <w:color w:val="auto"/>
          <w:sz w:val="32"/>
          <w:szCs w:val="32"/>
          <w:highlight w:val="none"/>
          <w:lang w:val="en-US" w:eastAsia="zh-CN"/>
        </w:rPr>
        <w:t>4</w:t>
      </w:r>
      <w:r>
        <w:rPr>
          <w:rFonts w:hint="eastAsia" w:ascii="Times New Roman" w:hAnsi="Times New Roman" w:eastAsia="仿宋_GB2312"/>
          <w:b w:val="0"/>
          <w:bCs w:val="0"/>
          <w:color w:val="auto"/>
          <w:sz w:val="32"/>
          <w:szCs w:val="32"/>
          <w:highlight w:val="none"/>
        </w:rPr>
        <w:t>分，得分为</w:t>
      </w:r>
      <w:r>
        <w:rPr>
          <w:rFonts w:hint="eastAsia" w:ascii="Times New Roman" w:hAnsi="Times New Roman" w:eastAsia="仿宋_GB2312"/>
          <w:b w:val="0"/>
          <w:bCs w:val="0"/>
          <w:color w:val="auto"/>
          <w:sz w:val="32"/>
          <w:szCs w:val="32"/>
          <w:highlight w:val="none"/>
          <w:lang w:val="en-US" w:eastAsia="zh-CN"/>
        </w:rPr>
        <w:t>24</w:t>
      </w:r>
      <w:r>
        <w:rPr>
          <w:rFonts w:hint="eastAsia" w:ascii="Times New Roman" w:hAnsi="Times New Roman" w:eastAsia="仿宋_GB2312"/>
          <w:b w:val="0"/>
          <w:bCs w:val="0"/>
          <w:color w:val="auto"/>
          <w:sz w:val="32"/>
          <w:szCs w:val="32"/>
          <w:highlight w:val="none"/>
        </w:rPr>
        <w:t>分，得分率为</w:t>
      </w:r>
      <w:r>
        <w:rPr>
          <w:rFonts w:hint="eastAsia" w:ascii="Times New Roman" w:hAnsi="Times New Roman" w:eastAsia="仿宋_GB2312"/>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%。具体打分情况详见：附件1</w:t>
      </w:r>
      <w:r>
        <w:rPr>
          <w:rFonts w:hint="eastAsia" w:ascii="Times New Roman" w:hAnsi="Times New Roman" w:eastAsia="仿宋_GB2312"/>
          <w:b w:val="0"/>
          <w:bCs w:val="0"/>
          <w:color w:val="auto"/>
          <w:sz w:val="32"/>
          <w:szCs w:val="32"/>
          <w:highlight w:val="none"/>
          <w:lang w:eastAsia="zh-CN"/>
        </w:rPr>
        <w:t>：项目支出绩效评价指标体系表和</w:t>
      </w:r>
      <w:r>
        <w:rPr>
          <w:rFonts w:hint="eastAsia" w:ascii="Times New Roman" w:hAnsi="Times New Roman" w:eastAsia="仿宋_GB2312"/>
          <w:b w:val="0"/>
          <w:bCs w:val="0"/>
          <w:color w:val="auto"/>
          <w:sz w:val="32"/>
          <w:szCs w:val="32"/>
          <w:highlight w:val="none"/>
        </w:rPr>
        <w:t>综合评分表</w:t>
      </w:r>
      <w:r>
        <w:rPr>
          <w:rFonts w:hint="eastAsia" w:ascii="Times New Roman" w:hAnsi="Times New Roman" w:eastAsia="仿宋_GB2312"/>
          <w:b w:val="0"/>
          <w:bCs w:val="0"/>
          <w:color w:val="auto"/>
          <w:sz w:val="32"/>
          <w:szCs w:val="32"/>
          <w:highlight w:val="none"/>
          <w:lang w:eastAsia="zh-CN"/>
        </w:rPr>
        <w:t>。</w:t>
      </w:r>
    </w:p>
    <w:p w14:paraId="06BCC0A4">
      <w:pPr>
        <w:spacing w:line="560" w:lineRule="exact"/>
        <w:ind w:firstLine="640" w:firstLineChars="200"/>
        <w:rPr>
          <w:rFonts w:eastAsia="黑体"/>
          <w:color w:val="auto"/>
          <w:sz w:val="32"/>
          <w:szCs w:val="32"/>
          <w:highlight w:val="none"/>
        </w:rPr>
      </w:pPr>
      <w:r>
        <w:rPr>
          <w:rFonts w:eastAsia="黑体"/>
          <w:color w:val="auto"/>
          <w:sz w:val="32"/>
          <w:szCs w:val="32"/>
          <w:highlight w:val="none"/>
        </w:rPr>
        <w:t>四、绩效评价指标分析</w:t>
      </w:r>
    </w:p>
    <w:p w14:paraId="43105097">
      <w:pPr>
        <w:pStyle w:val="9"/>
        <w:spacing w:before="0" w:after="0" w:line="560" w:lineRule="exact"/>
        <w:ind w:firstLine="643" w:firstLineChars="200"/>
        <w:jc w:val="both"/>
        <w:rPr>
          <w:rFonts w:ascii="Times New Roman" w:hAnsi="Times New Roman" w:eastAsia="楷体_GB2312"/>
          <w:color w:val="auto"/>
          <w:sz w:val="32"/>
          <w:szCs w:val="32"/>
          <w:highlight w:val="none"/>
        </w:rPr>
      </w:pPr>
      <w:r>
        <w:rPr>
          <w:rFonts w:ascii="Times New Roman" w:hAnsi="Times New Roman" w:eastAsia="楷体_GB2312"/>
          <w:color w:val="auto"/>
          <w:sz w:val="32"/>
          <w:szCs w:val="32"/>
          <w:highlight w:val="none"/>
        </w:rPr>
        <w:t>（一）项目决策情况</w:t>
      </w:r>
    </w:p>
    <w:p w14:paraId="222AE14B">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项目决策类指标包括项目立项、绩效目标和资金投入三方面的内容，由6个三级指标构成，权重分值为20分，实际得分20分，得分率为100%。</w:t>
      </w:r>
    </w:p>
    <w:p w14:paraId="2C6107A0">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1.项目立项</w:t>
      </w:r>
    </w:p>
    <w:p w14:paraId="27EA2DE9">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w:t>
      </w:r>
    </w:p>
    <w:p w14:paraId="5CD23896">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4786536">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（2）立项程序规范性</w:t>
      </w:r>
    </w:p>
    <w:p w14:paraId="1857FB04">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项目申请、设立过程符合相关要求，</w:t>
      </w:r>
      <w:r>
        <w:rPr>
          <w:rFonts w:hint="eastAsia" w:ascii="仿宋_GB2312" w:hAnsi="仿宋_GB2312" w:eastAsia="仿宋_GB2312" w:cs="仿宋_GB2312"/>
          <w:color w:val="auto"/>
          <w:sz w:val="32"/>
          <w:szCs w:val="32"/>
          <w:highlight w:val="none"/>
          <w:lang w:eastAsia="zh-Hans"/>
        </w:rPr>
        <w:t>严格按照审批流程准备符合要求的文件、材料；</w:t>
      </w:r>
      <w:r>
        <w:rPr>
          <w:rFonts w:hint="eastAsia" w:ascii="仿宋_GB2312" w:hAnsi="仿宋_GB2312" w:eastAsia="仿宋_GB2312" w:cs="仿宋_GB2312"/>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783D7DC8">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2.绩效目标</w:t>
      </w:r>
    </w:p>
    <w:p w14:paraId="10049CB2">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w:t>
      </w:r>
    </w:p>
    <w:p w14:paraId="645A2842">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Hans"/>
        </w:rPr>
        <w:t>年初结合实际工作内容</w:t>
      </w:r>
      <w:r>
        <w:rPr>
          <w:rFonts w:hint="eastAsia" w:ascii="仿宋_GB2312" w:hAnsi="仿宋_GB2312" w:eastAsia="仿宋_GB2312" w:cs="仿宋_GB2312"/>
          <w:color w:val="auto"/>
          <w:sz w:val="32"/>
          <w:szCs w:val="32"/>
          <w:highlight w:val="none"/>
          <w:lang w:val="en-US" w:eastAsia="zh-CN"/>
        </w:rPr>
        <w:t>设定绩效目标</w:t>
      </w:r>
      <w:r>
        <w:rPr>
          <w:rFonts w:hint="eastAsia" w:ascii="仿宋_GB2312" w:hAnsi="仿宋_GB2312" w:eastAsia="仿宋_GB2312" w:cs="仿宋_GB2312"/>
          <w:color w:val="auto"/>
          <w:sz w:val="32"/>
          <w:szCs w:val="32"/>
          <w:highlight w:val="none"/>
          <w:lang w:val="en-US" w:eastAsia="zh-Hans"/>
        </w:rPr>
        <w:t>，绩效目标</w:t>
      </w:r>
      <w:r>
        <w:rPr>
          <w:rFonts w:hint="eastAsia" w:ascii="仿宋_GB2312" w:hAnsi="仿宋_GB2312" w:eastAsia="仿宋_GB2312" w:cs="仿宋_GB2312"/>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1AFCCAF">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（2）绩效指标明确性</w:t>
      </w:r>
    </w:p>
    <w:p w14:paraId="1810364A">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18B09354">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3.资金投入</w:t>
      </w:r>
    </w:p>
    <w:p w14:paraId="76FA10DC">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（1）预算编制科学性</w:t>
      </w:r>
    </w:p>
    <w:p w14:paraId="65807A5F">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预算编制经过科学论证，提供充分的测算依据佐证资料，预算内容与项目内容相匹配。项目投资额与工作任务相匹配。</w:t>
      </w:r>
    </w:p>
    <w:p w14:paraId="59CDBCCD">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（2）资金分配合理性</w:t>
      </w:r>
    </w:p>
    <w:p w14:paraId="590A6BBB">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资金分配额度与项目单位实际工作内容相适应，资金分配额度合理，资金分配依据充分。</w:t>
      </w:r>
    </w:p>
    <w:p w14:paraId="4168DE45">
      <w:pPr>
        <w:pStyle w:val="9"/>
        <w:numPr>
          <w:ilvl w:val="0"/>
          <w:numId w:val="5"/>
        </w:numPr>
        <w:spacing w:before="0" w:after="0" w:line="560" w:lineRule="exact"/>
        <w:ind w:firstLine="643" w:firstLineChars="200"/>
        <w:jc w:val="both"/>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项目过程情况</w:t>
      </w:r>
    </w:p>
    <w:p w14:paraId="1BA927EC">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项目过程类指标包括资金管理和组织实施两方面的内容，由5个三级指标构成，权重分值为20分，实际得分19.97分，得分率为99.85%。</w:t>
      </w:r>
    </w:p>
    <w:p w14:paraId="5DCD73F7">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20A7738D">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1.资金管理</w:t>
      </w:r>
    </w:p>
    <w:p w14:paraId="756AFAEC">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w:t>
      </w:r>
    </w:p>
    <w:p w14:paraId="1E1A7A1E">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本项目总投资50万元，财政资金及时足额到位，到位率100%，预算资金按计划进度执行。</w:t>
      </w:r>
    </w:p>
    <w:p w14:paraId="67E9D282">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w:t>
      </w:r>
    </w:p>
    <w:p w14:paraId="01F9829E">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预算编制较为详细，项目资金支出总体能够按照预算执行，预算资金支出49.67万元，预算执行率为99.3%。</w:t>
      </w:r>
    </w:p>
    <w:p w14:paraId="30669533">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w:t>
      </w:r>
    </w:p>
    <w:p w14:paraId="26D536E2">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4ED8B405">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2.组织实施</w:t>
      </w:r>
    </w:p>
    <w:p w14:paraId="08EA355F">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w:t>
      </w:r>
    </w:p>
    <w:p w14:paraId="7E1DBC18">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61940FC9">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w:t>
      </w:r>
    </w:p>
    <w:p w14:paraId="4CA55F91">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14:paraId="03457A8F">
      <w:pPr>
        <w:pStyle w:val="11"/>
        <w:numPr>
          <w:ilvl w:val="0"/>
          <w:numId w:val="5"/>
        </w:numPr>
        <w:spacing w:line="560" w:lineRule="exact"/>
        <w:ind w:firstLine="643"/>
        <w:rPr>
          <w:rFonts w:eastAsia="楷体_GB2312"/>
          <w:b/>
          <w:bCs/>
          <w:color w:val="auto"/>
          <w:sz w:val="32"/>
          <w:szCs w:val="32"/>
          <w:highlight w:val="none"/>
        </w:rPr>
      </w:pPr>
      <w:r>
        <w:rPr>
          <w:rFonts w:eastAsia="楷体_GB2312"/>
          <w:b/>
          <w:bCs/>
          <w:color w:val="auto"/>
          <w:sz w:val="32"/>
          <w:szCs w:val="32"/>
          <w:highlight w:val="none"/>
        </w:rPr>
        <w:t>项目产出</w:t>
      </w:r>
      <w:r>
        <w:rPr>
          <w:rFonts w:hint="eastAsia" w:eastAsia="楷体_GB2312"/>
          <w:b/>
          <w:bCs/>
          <w:color w:val="auto"/>
          <w:sz w:val="32"/>
          <w:szCs w:val="32"/>
          <w:highlight w:val="none"/>
          <w:lang w:val="en-US" w:eastAsia="zh-CN"/>
        </w:rPr>
        <w:t>情况</w:t>
      </w:r>
    </w:p>
    <w:p w14:paraId="61E5ABDF">
      <w:pPr>
        <w:shd w:val="clear"/>
        <w:spacing w:line="60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项目产出类指标包括产出数量、产出质量、产出时效、三方面的内容，由6个三级指标构成，权重分为24分，实际得分24分，得分率为100%。具体产出指标完成情况如下：</w:t>
      </w:r>
    </w:p>
    <w:p w14:paraId="20EB77BB">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1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数量指标：</w:t>
      </w:r>
    </w:p>
    <w:p w14:paraId="3A75F708">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指标1：</w:t>
      </w:r>
      <w:r>
        <w:rPr>
          <w:rFonts w:hint="eastAsia" w:ascii="Times New Roman" w:hAnsi="Times New Roman" w:eastAsia="仿宋_GB2312" w:cs="Times New Roman"/>
          <w:color w:val="auto"/>
          <w:sz w:val="32"/>
          <w:szCs w:val="32"/>
          <w:highlight w:val="none"/>
          <w:lang w:val="en-US" w:eastAsia="zh-CN"/>
        </w:rPr>
        <w:t>采购LED屏</w:t>
      </w:r>
      <w:r>
        <w:rPr>
          <w:rFonts w:hint="eastAsia" w:ascii="仿宋_GB2312" w:hAnsi="仿宋_GB2312" w:eastAsia="仿宋_GB2312" w:cs="仿宋_GB2312"/>
          <w:color w:val="auto"/>
          <w:sz w:val="32"/>
          <w:szCs w:val="32"/>
          <w:highlight w:val="none"/>
        </w:rPr>
        <w:t>，指标值：</w:t>
      </w:r>
      <w:r>
        <w:rPr>
          <w:rFonts w:hint="eastAsia" w:ascii="Times New Roman" w:hAnsi="Times New Roman" w:eastAsia="仿宋_GB2312" w:cs="Times New Roman"/>
          <w:color w:val="auto"/>
          <w:sz w:val="32"/>
          <w:szCs w:val="32"/>
          <w:highlight w:val="none"/>
          <w:lang w:val="en-US" w:eastAsia="zh-CN"/>
        </w:rPr>
        <w:t>10平米</w:t>
      </w:r>
      <w:r>
        <w:rPr>
          <w:rFonts w:hint="eastAsia" w:ascii="仿宋_GB2312" w:hAnsi="仿宋_GB2312" w:eastAsia="仿宋_GB2312" w:cs="仿宋_GB2312"/>
          <w:color w:val="auto"/>
          <w:sz w:val="32"/>
          <w:szCs w:val="32"/>
          <w:highlight w:val="none"/>
        </w:rPr>
        <w:t>，实际完成值：</w:t>
      </w:r>
      <w:r>
        <w:rPr>
          <w:rFonts w:hint="eastAsia" w:ascii="Times New Roman" w:hAnsi="Times New Roman" w:eastAsia="仿宋_GB2312" w:cs="Times New Roman"/>
          <w:color w:val="auto"/>
          <w:sz w:val="32"/>
          <w:szCs w:val="32"/>
          <w:highlight w:val="none"/>
          <w:lang w:val="en-US" w:eastAsia="zh-CN"/>
        </w:rPr>
        <w:t>10平米</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14:paraId="3BACB20E">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指标2：</w:t>
      </w:r>
      <w:r>
        <w:rPr>
          <w:rFonts w:hint="eastAsia" w:ascii="Times New Roman" w:hAnsi="Times New Roman" w:eastAsia="仿宋_GB2312" w:cs="Times New Roman"/>
          <w:color w:val="auto"/>
          <w:sz w:val="32"/>
          <w:szCs w:val="32"/>
          <w:highlight w:val="none"/>
          <w:lang w:val="en-US" w:eastAsia="zh-CN"/>
        </w:rPr>
        <w:t>采购照相机数量（配镜头），</w:t>
      </w:r>
      <w:r>
        <w:rPr>
          <w:rFonts w:hint="eastAsia" w:ascii="仿宋_GB2312" w:hAnsi="仿宋_GB2312" w:eastAsia="仿宋_GB2312" w:cs="仿宋_GB2312"/>
          <w:color w:val="auto"/>
          <w:sz w:val="32"/>
          <w:szCs w:val="32"/>
          <w:highlight w:val="none"/>
        </w:rPr>
        <w:t>指标值：</w:t>
      </w:r>
      <w:r>
        <w:rPr>
          <w:rFonts w:hint="eastAsia" w:ascii="Times New Roman" w:hAnsi="Times New Roman" w:eastAsia="仿宋_GB2312" w:cs="Times New Roman"/>
          <w:color w:val="auto"/>
          <w:sz w:val="32"/>
          <w:szCs w:val="32"/>
          <w:highlight w:val="none"/>
          <w:lang w:val="en-US" w:eastAsia="zh-CN"/>
        </w:rPr>
        <w:t>2台</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2台</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14:paraId="345A594E">
      <w:pPr>
        <w:shd w:val="clear"/>
        <w:spacing w:line="60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采购摄像机数量，</w:t>
      </w:r>
      <w:r>
        <w:rPr>
          <w:rFonts w:hint="eastAsia" w:ascii="仿宋_GB2312" w:hAnsi="仿宋_GB2312" w:eastAsia="仿宋_GB2312" w:cs="仿宋_GB2312"/>
          <w:color w:val="auto"/>
          <w:sz w:val="32"/>
          <w:szCs w:val="32"/>
          <w:highlight w:val="none"/>
        </w:rPr>
        <w:t>指标值：</w:t>
      </w:r>
      <w:r>
        <w:rPr>
          <w:rFonts w:hint="eastAsia" w:ascii="Times New Roman" w:hAnsi="Times New Roman" w:eastAsia="仿宋_GB2312" w:cs="Times New Roman"/>
          <w:color w:val="auto"/>
          <w:sz w:val="32"/>
          <w:szCs w:val="32"/>
          <w:highlight w:val="none"/>
          <w:lang w:val="en-US" w:eastAsia="zh-CN"/>
        </w:rPr>
        <w:t>1台</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1台</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14:paraId="24715D0C">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2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质量指标：</w:t>
      </w:r>
    </w:p>
    <w:p w14:paraId="42DE8EA6">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指标1：</w:t>
      </w:r>
      <w:r>
        <w:rPr>
          <w:rFonts w:hint="eastAsia" w:ascii="Times New Roman" w:hAnsi="Times New Roman" w:eastAsia="仿宋_GB2312" w:cs="Times New Roman"/>
          <w:color w:val="auto"/>
          <w:sz w:val="32"/>
          <w:szCs w:val="32"/>
          <w:highlight w:val="none"/>
          <w:lang w:val="en-US" w:eastAsia="zh-CN"/>
        </w:rPr>
        <w:t>验收合格率</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指标值：</w:t>
      </w:r>
      <w:r>
        <w:rPr>
          <w:rFonts w:hint="eastAsia" w:ascii="Times New Roman" w:hAnsi="Times New Roman" w:eastAsia="仿宋_GB2312" w:cs="Times New Roman"/>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，实际完成值：</w:t>
      </w:r>
      <w:r>
        <w:rPr>
          <w:rFonts w:hint="eastAsia" w:ascii="Times New Roman" w:hAnsi="Times New Roman" w:eastAsia="仿宋_GB2312" w:cs="Times New Roman"/>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14:paraId="2CFA1F19">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指标2：</w:t>
      </w:r>
      <w:r>
        <w:rPr>
          <w:rFonts w:hint="eastAsia" w:ascii="Times New Roman" w:hAnsi="Times New Roman" w:eastAsia="仿宋_GB2312" w:cs="Times New Roman"/>
          <w:color w:val="auto"/>
          <w:sz w:val="32"/>
          <w:szCs w:val="32"/>
          <w:highlight w:val="none"/>
          <w:lang w:val="en-US" w:eastAsia="zh-CN"/>
        </w:rPr>
        <w:t>政府采购率</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指标值：</w:t>
      </w:r>
      <w:r>
        <w:rPr>
          <w:rFonts w:hint="eastAsia" w:ascii="Times New Roman" w:hAnsi="Times New Roman" w:eastAsia="仿宋_GB2312" w:cs="Times New Roman"/>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，实际完成值：</w:t>
      </w:r>
      <w:r>
        <w:rPr>
          <w:rFonts w:hint="eastAsia" w:ascii="Times New Roman" w:hAnsi="Times New Roman" w:eastAsia="仿宋_GB2312" w:cs="Times New Roman"/>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14:paraId="4299ABEE">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3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时效指标：</w:t>
      </w:r>
    </w:p>
    <w:p w14:paraId="506D2055">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w:t>
      </w:r>
      <w:r>
        <w:rPr>
          <w:rFonts w:hint="eastAsia" w:ascii="Times New Roman" w:hAnsi="Times New Roman" w:eastAsia="仿宋_GB2312" w:cs="Times New Roman"/>
          <w:color w:val="auto"/>
          <w:sz w:val="32"/>
          <w:szCs w:val="32"/>
          <w:highlight w:val="none"/>
          <w:lang w:val="en-US" w:eastAsia="zh-CN"/>
        </w:rPr>
        <w:t>设备购置完成时间</w:t>
      </w:r>
      <w:r>
        <w:rPr>
          <w:rFonts w:hint="eastAsia" w:ascii="仿宋_GB2312" w:hAnsi="仿宋_GB2312" w:eastAsia="仿宋_GB2312" w:cs="仿宋_GB2312"/>
          <w:color w:val="auto"/>
          <w:sz w:val="32"/>
          <w:szCs w:val="32"/>
          <w:highlight w:val="none"/>
        </w:rPr>
        <w:t>，指标值：</w:t>
      </w:r>
      <w:r>
        <w:rPr>
          <w:rFonts w:hint="eastAsia" w:ascii="Times New Roman" w:hAnsi="Times New Roman" w:eastAsia="仿宋_GB2312" w:cs="Times New Roman"/>
          <w:color w:val="auto"/>
          <w:sz w:val="32"/>
          <w:szCs w:val="32"/>
          <w:highlight w:val="none"/>
          <w:lang w:val="en-US" w:eastAsia="zh-CN"/>
        </w:rPr>
        <w:t>2023年11月</w:t>
      </w:r>
      <w:r>
        <w:rPr>
          <w:rFonts w:hint="eastAsia" w:ascii="仿宋_GB2312" w:hAnsi="仿宋_GB2312" w:eastAsia="仿宋_GB2312" w:cs="仿宋_GB2312"/>
          <w:color w:val="auto"/>
          <w:sz w:val="32"/>
          <w:szCs w:val="32"/>
          <w:highlight w:val="none"/>
        </w:rPr>
        <w:t>，实际完成值：</w:t>
      </w:r>
      <w:r>
        <w:rPr>
          <w:rFonts w:hint="eastAsia" w:ascii="Times New Roman" w:hAnsi="Times New Roman" w:eastAsia="仿宋_GB2312" w:cs="Times New Roman"/>
          <w:color w:val="auto"/>
          <w:sz w:val="32"/>
          <w:szCs w:val="32"/>
          <w:highlight w:val="none"/>
          <w:lang w:val="en-US" w:eastAsia="zh-CN"/>
        </w:rPr>
        <w:t>2023年11月</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14:paraId="37354DB7">
      <w:pPr>
        <w:pStyle w:val="11"/>
        <w:numPr>
          <w:ilvl w:val="0"/>
          <w:numId w:val="5"/>
        </w:numPr>
        <w:spacing w:line="560" w:lineRule="exact"/>
        <w:ind w:firstLine="643"/>
        <w:rPr>
          <w:rFonts w:eastAsia="楷体_GB2312"/>
          <w:b/>
          <w:bCs/>
          <w:color w:val="auto"/>
          <w:sz w:val="32"/>
          <w:szCs w:val="32"/>
          <w:highlight w:val="none"/>
        </w:rPr>
      </w:pPr>
      <w:r>
        <w:rPr>
          <w:rFonts w:eastAsia="楷体_GB2312"/>
          <w:b/>
          <w:bCs/>
          <w:color w:val="auto"/>
          <w:sz w:val="32"/>
          <w:szCs w:val="32"/>
          <w:highlight w:val="none"/>
        </w:rPr>
        <w:t>项目</w:t>
      </w:r>
      <w:r>
        <w:rPr>
          <w:rFonts w:hint="eastAsia" w:eastAsia="楷体_GB2312"/>
          <w:b/>
          <w:bCs/>
          <w:color w:val="auto"/>
          <w:sz w:val="32"/>
          <w:szCs w:val="32"/>
          <w:highlight w:val="none"/>
          <w:lang w:eastAsia="zh-CN"/>
        </w:rPr>
        <w:t>成本</w:t>
      </w:r>
      <w:r>
        <w:rPr>
          <w:rFonts w:hint="eastAsia" w:eastAsia="楷体_GB2312"/>
          <w:b/>
          <w:bCs/>
          <w:color w:val="auto"/>
          <w:sz w:val="32"/>
          <w:szCs w:val="32"/>
          <w:highlight w:val="none"/>
          <w:lang w:val="en-US" w:eastAsia="zh-CN"/>
        </w:rPr>
        <w:t>情况</w:t>
      </w:r>
    </w:p>
    <w:p w14:paraId="7D7EF8F8">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1、经济成本指标</w:t>
      </w:r>
    </w:p>
    <w:p w14:paraId="4910616A">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指标1：</w:t>
      </w:r>
      <w:r>
        <w:rPr>
          <w:rFonts w:hint="eastAsia" w:ascii="Times New Roman" w:hAnsi="Times New Roman" w:eastAsia="仿宋_GB2312" w:cs="Times New Roman"/>
          <w:color w:val="auto"/>
          <w:sz w:val="32"/>
          <w:szCs w:val="32"/>
          <w:highlight w:val="none"/>
          <w:lang w:val="en-US" w:eastAsia="zh-CN"/>
        </w:rPr>
        <w:t>LED屏采购支出</w:t>
      </w:r>
      <w:r>
        <w:rPr>
          <w:rFonts w:hint="eastAsia" w:ascii="仿宋_GB2312" w:hAnsi="仿宋_GB2312" w:eastAsia="仿宋_GB2312" w:cs="仿宋_GB2312"/>
          <w:color w:val="auto"/>
          <w:sz w:val="32"/>
          <w:szCs w:val="32"/>
          <w:highlight w:val="none"/>
        </w:rPr>
        <w:t>，指标值：</w:t>
      </w:r>
      <w:r>
        <w:rPr>
          <w:rFonts w:hint="eastAsia" w:eastAsia="仿宋_GB2312" w:cs="Times New Roman"/>
          <w:color w:val="auto"/>
          <w:sz w:val="32"/>
          <w:szCs w:val="32"/>
          <w:highlight w:val="none"/>
          <w:lang w:val="en-US" w:eastAsia="zh-CN"/>
        </w:rPr>
        <w:t>小于等于</w:t>
      </w:r>
      <w:r>
        <w:rPr>
          <w:rFonts w:hint="eastAsia" w:ascii="Times New Roman" w:hAnsi="Times New Roman" w:eastAsia="仿宋_GB2312" w:cs="Times New Roman"/>
          <w:color w:val="auto"/>
          <w:sz w:val="32"/>
          <w:szCs w:val="32"/>
          <w:highlight w:val="none"/>
          <w:lang w:val="en-US" w:eastAsia="zh-CN"/>
        </w:rPr>
        <w:t>18万元</w:t>
      </w:r>
      <w:r>
        <w:rPr>
          <w:rFonts w:hint="eastAsia" w:ascii="仿宋_GB2312" w:hAnsi="仿宋_GB2312" w:eastAsia="仿宋_GB2312" w:cs="仿宋_GB2312"/>
          <w:color w:val="auto"/>
          <w:sz w:val="32"/>
          <w:szCs w:val="32"/>
          <w:highlight w:val="none"/>
        </w:rPr>
        <w:t>，实际完成值：</w:t>
      </w:r>
      <w:r>
        <w:rPr>
          <w:rFonts w:hint="eastAsia" w:ascii="Times New Roman" w:hAnsi="Times New Roman" w:eastAsia="仿宋_GB2312" w:cs="Times New Roman"/>
          <w:color w:val="auto"/>
          <w:sz w:val="32"/>
          <w:szCs w:val="32"/>
          <w:highlight w:val="none"/>
          <w:lang w:val="en-US" w:eastAsia="zh-CN"/>
        </w:rPr>
        <w:t>18万元</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14:paraId="0526FB63">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指标2：</w:t>
      </w:r>
      <w:r>
        <w:rPr>
          <w:rFonts w:hint="eastAsia" w:ascii="Times New Roman" w:hAnsi="Times New Roman" w:eastAsia="仿宋_GB2312" w:cs="Times New Roman"/>
          <w:color w:val="auto"/>
          <w:sz w:val="32"/>
          <w:szCs w:val="32"/>
          <w:highlight w:val="none"/>
          <w:lang w:val="en-US" w:eastAsia="zh-CN"/>
        </w:rPr>
        <w:t>照相机采购支出</w:t>
      </w:r>
      <w:r>
        <w:rPr>
          <w:rFonts w:hint="eastAsia" w:ascii="仿宋_GB2312" w:hAnsi="仿宋_GB2312" w:eastAsia="仿宋_GB2312" w:cs="仿宋_GB2312"/>
          <w:color w:val="auto"/>
          <w:sz w:val="32"/>
          <w:szCs w:val="32"/>
          <w:highlight w:val="none"/>
        </w:rPr>
        <w:t>，指标值：</w:t>
      </w:r>
      <w:r>
        <w:rPr>
          <w:rFonts w:hint="eastAsia" w:eastAsia="仿宋_GB2312" w:cs="Times New Roman"/>
          <w:color w:val="auto"/>
          <w:sz w:val="32"/>
          <w:szCs w:val="32"/>
          <w:highlight w:val="none"/>
          <w:lang w:val="en-US" w:eastAsia="zh-CN"/>
        </w:rPr>
        <w:t>小于等于</w:t>
      </w:r>
      <w:r>
        <w:rPr>
          <w:rFonts w:hint="eastAsia" w:ascii="Times New Roman" w:hAnsi="Times New Roman" w:eastAsia="仿宋_GB2312" w:cs="Times New Roman"/>
          <w:color w:val="auto"/>
          <w:sz w:val="32"/>
          <w:szCs w:val="32"/>
          <w:highlight w:val="none"/>
          <w:lang w:val="en-US" w:eastAsia="zh-CN"/>
        </w:rPr>
        <w:t>18万元</w:t>
      </w:r>
      <w:r>
        <w:rPr>
          <w:rFonts w:hint="eastAsia" w:ascii="仿宋_GB2312" w:hAnsi="仿宋_GB2312" w:eastAsia="仿宋_GB2312" w:cs="仿宋_GB2312"/>
          <w:color w:val="auto"/>
          <w:sz w:val="32"/>
          <w:szCs w:val="32"/>
          <w:highlight w:val="none"/>
        </w:rPr>
        <w:t>，实际完成值：</w:t>
      </w:r>
      <w:r>
        <w:rPr>
          <w:rFonts w:hint="eastAsia" w:ascii="Times New Roman" w:hAnsi="Times New Roman" w:eastAsia="仿宋_GB2312" w:cs="Times New Roman"/>
          <w:color w:val="auto"/>
          <w:sz w:val="32"/>
          <w:szCs w:val="32"/>
          <w:highlight w:val="none"/>
          <w:lang w:val="en-US" w:eastAsia="zh-CN"/>
        </w:rPr>
        <w:t>18万元</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14:paraId="16E04E95">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指标3：摄像机采购支出，指标值：</w:t>
      </w:r>
      <w:r>
        <w:rPr>
          <w:rFonts w:hint="eastAsia" w:eastAsia="仿宋_GB2312" w:cs="Times New Roman"/>
          <w:color w:val="auto"/>
          <w:sz w:val="32"/>
          <w:szCs w:val="32"/>
          <w:highlight w:val="none"/>
          <w:lang w:val="en-US" w:eastAsia="zh-CN"/>
        </w:rPr>
        <w:t>小于等于</w:t>
      </w:r>
      <w:r>
        <w:rPr>
          <w:rFonts w:hint="eastAsia" w:ascii="Times New Roman" w:hAnsi="Times New Roman" w:eastAsia="仿宋_GB2312" w:cs="Times New Roman"/>
          <w:color w:val="auto"/>
          <w:sz w:val="32"/>
          <w:szCs w:val="32"/>
          <w:highlight w:val="none"/>
          <w:lang w:val="en-US" w:eastAsia="zh-CN"/>
        </w:rPr>
        <w:t>4万元，实际完成值：4万元，指标完成率100%。</w:t>
      </w:r>
    </w:p>
    <w:p w14:paraId="4392F50B">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指标4：配套设备采购支出，指标值：</w:t>
      </w:r>
      <w:r>
        <w:rPr>
          <w:rFonts w:hint="eastAsia" w:eastAsia="仿宋_GB2312" w:cs="Times New Roman"/>
          <w:color w:val="auto"/>
          <w:sz w:val="32"/>
          <w:szCs w:val="32"/>
          <w:highlight w:val="none"/>
          <w:lang w:val="en-US" w:eastAsia="zh-CN"/>
        </w:rPr>
        <w:t>小于等于</w:t>
      </w:r>
      <w:r>
        <w:rPr>
          <w:rFonts w:hint="eastAsia" w:ascii="Times New Roman" w:hAnsi="Times New Roman" w:eastAsia="仿宋_GB2312" w:cs="Times New Roman"/>
          <w:color w:val="auto"/>
          <w:sz w:val="32"/>
          <w:szCs w:val="32"/>
          <w:highlight w:val="none"/>
          <w:lang w:val="en-US" w:eastAsia="zh-CN"/>
        </w:rPr>
        <w:t>10万元，实际完成值：9.67万元，指标完成率</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en-US" w:eastAsia="zh-CN"/>
        </w:rPr>
        <w:t>%。</w:t>
      </w:r>
    </w:p>
    <w:p w14:paraId="1D2FBE32">
      <w:pPr>
        <w:shd w:val="clear"/>
        <w:spacing w:line="600" w:lineRule="exact"/>
        <w:ind w:firstLine="640" w:firstLineChars="200"/>
        <w:outlineLvl w:val="0"/>
        <w:rPr>
          <w:rFonts w:hint="default"/>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2、社会成本指标</w:t>
      </w:r>
    </w:p>
    <w:p w14:paraId="6C2CA559">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无</w:t>
      </w:r>
    </w:p>
    <w:p w14:paraId="7D5CA90B">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3、生态环境成本指标</w:t>
      </w:r>
    </w:p>
    <w:p w14:paraId="1578428A">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无</w:t>
      </w:r>
    </w:p>
    <w:p w14:paraId="5297C28E">
      <w:pPr>
        <w:pStyle w:val="11"/>
        <w:numPr>
          <w:ilvl w:val="0"/>
          <w:numId w:val="5"/>
        </w:numPr>
        <w:spacing w:line="560" w:lineRule="exact"/>
        <w:ind w:firstLine="643"/>
        <w:rPr>
          <w:rFonts w:hint="eastAsia" w:ascii="Times New Roman" w:hAnsi="Times New Roman" w:eastAsia="楷体_GB2312" w:cs="Times New Roman"/>
          <w:b/>
          <w:bCs/>
          <w:color w:val="auto"/>
          <w:sz w:val="32"/>
          <w:szCs w:val="32"/>
          <w:highlight w:val="none"/>
          <w:lang w:val="en-US" w:eastAsia="zh-CN"/>
        </w:rPr>
      </w:pPr>
      <w:r>
        <w:rPr>
          <w:rFonts w:hint="eastAsia" w:ascii="Times New Roman" w:hAnsi="Times New Roman" w:eastAsia="楷体_GB2312" w:cs="Times New Roman"/>
          <w:b/>
          <w:bCs/>
          <w:color w:val="auto"/>
          <w:sz w:val="32"/>
          <w:szCs w:val="32"/>
          <w:highlight w:val="none"/>
          <w:lang w:val="en-US" w:eastAsia="zh-CN"/>
        </w:rPr>
        <w:t>项目效益情况</w:t>
      </w:r>
    </w:p>
    <w:p w14:paraId="683C3003">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项目效益类指标包括项目实施效益和满意度两方面的内容，由3个三级指标构成，权重分为24分，实际得分24分，得分率为100%。具体效益指标及满意度指标完成情况如下：</w:t>
      </w:r>
    </w:p>
    <w:p w14:paraId="40E3AA83">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1.实施效益</w:t>
      </w:r>
    </w:p>
    <w:p w14:paraId="4F34A537">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rPr>
        <w:t>经济效益指标：</w:t>
      </w:r>
    </w:p>
    <w:p w14:paraId="52CCDAAE">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w:t>
      </w:r>
    </w:p>
    <w:p w14:paraId="5656AE03">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rPr>
        <w:t>社会效益指标：</w:t>
      </w:r>
    </w:p>
    <w:p w14:paraId="3A61D870">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指标1：</w:t>
      </w:r>
      <w:r>
        <w:rPr>
          <w:rFonts w:hint="eastAsia" w:eastAsia="仿宋_GB2312" w:cs="Times New Roman"/>
          <w:color w:val="auto"/>
          <w:sz w:val="32"/>
          <w:szCs w:val="32"/>
          <w:highlight w:val="none"/>
          <w:lang w:val="en-US" w:eastAsia="zh-CN"/>
        </w:rPr>
        <w:t>提升公共服务水平和质量</w:t>
      </w:r>
      <w:r>
        <w:rPr>
          <w:rFonts w:hint="eastAsia" w:ascii="仿宋_GB2312" w:hAnsi="仿宋_GB2312" w:eastAsia="仿宋_GB2312" w:cs="仿宋_GB2312"/>
          <w:color w:val="auto"/>
          <w:sz w:val="32"/>
          <w:szCs w:val="32"/>
          <w:highlight w:val="none"/>
        </w:rPr>
        <w:t>，指标值：</w:t>
      </w:r>
      <w:r>
        <w:rPr>
          <w:rFonts w:hint="eastAsia" w:ascii="Times New Roman" w:hAnsi="Times New Roman" w:eastAsia="仿宋_GB2312" w:cs="Times New Roman"/>
          <w:color w:val="auto"/>
          <w:sz w:val="32"/>
          <w:szCs w:val="32"/>
          <w:highlight w:val="none"/>
          <w:lang w:val="en-US" w:eastAsia="zh-CN"/>
        </w:rPr>
        <w:t>有效提升</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有效提升</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14:paraId="32BCE0E3">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指标2：</w:t>
      </w:r>
      <w:r>
        <w:rPr>
          <w:rFonts w:hint="eastAsia" w:eastAsia="仿宋_GB2312" w:cs="Times New Roman"/>
          <w:color w:val="auto"/>
          <w:sz w:val="32"/>
          <w:szCs w:val="32"/>
          <w:highlight w:val="none"/>
          <w:lang w:val="en-US" w:eastAsia="zh-CN"/>
        </w:rPr>
        <w:t>满足群众收看需求</w:t>
      </w:r>
      <w:r>
        <w:rPr>
          <w:rFonts w:hint="eastAsia" w:ascii="仿宋_GB2312" w:hAnsi="仿宋_GB2312" w:eastAsia="仿宋_GB2312" w:cs="仿宋_GB2312"/>
          <w:color w:val="auto"/>
          <w:sz w:val="32"/>
          <w:szCs w:val="32"/>
          <w:highlight w:val="none"/>
        </w:rPr>
        <w:t>，指标值：</w:t>
      </w:r>
      <w:r>
        <w:rPr>
          <w:rFonts w:hint="eastAsia" w:ascii="Times New Roman" w:hAnsi="Times New Roman" w:eastAsia="仿宋_GB2312" w:cs="Times New Roman"/>
          <w:color w:val="auto"/>
          <w:sz w:val="32"/>
          <w:szCs w:val="32"/>
          <w:highlight w:val="none"/>
          <w:lang w:val="en-US" w:eastAsia="zh-CN"/>
        </w:rPr>
        <w:t>持续保障</w:t>
      </w:r>
      <w:r>
        <w:rPr>
          <w:rFonts w:hint="eastAsia" w:ascii="仿宋_GB2312" w:hAnsi="仿宋_GB2312" w:eastAsia="仿宋_GB2312" w:cs="仿宋_GB2312"/>
          <w:color w:val="auto"/>
          <w:sz w:val="32"/>
          <w:szCs w:val="32"/>
          <w:highlight w:val="none"/>
        </w:rPr>
        <w:t>，实际完成值：</w:t>
      </w:r>
      <w:r>
        <w:rPr>
          <w:rFonts w:hint="eastAsia" w:ascii="Times New Roman" w:hAnsi="Times New Roman" w:eastAsia="仿宋_GB2312" w:cs="Times New Roman"/>
          <w:color w:val="auto"/>
          <w:sz w:val="32"/>
          <w:szCs w:val="32"/>
          <w:highlight w:val="none"/>
          <w:lang w:val="en-US" w:eastAsia="zh-CN"/>
        </w:rPr>
        <w:t>持续保障</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14:paraId="2371BD50">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③生态效益指标：</w:t>
      </w:r>
    </w:p>
    <w:p w14:paraId="45FF0DA7">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w:t>
      </w:r>
    </w:p>
    <w:p w14:paraId="73867F4E">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w:t>
      </w:r>
    </w:p>
    <w:p w14:paraId="58845167">
      <w:pPr>
        <w:shd w:val="clear"/>
        <w:spacing w:line="60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满意度指标：</w:t>
      </w:r>
      <w:r>
        <w:rPr>
          <w:rFonts w:hint="eastAsia" w:ascii="Times New Roman" w:hAnsi="Times New Roman" w:eastAsia="仿宋_GB2312" w:cs="Times New Roman"/>
          <w:color w:val="auto"/>
          <w:sz w:val="32"/>
          <w:szCs w:val="32"/>
          <w:highlight w:val="none"/>
          <w:lang w:val="en-US" w:eastAsia="zh-CN"/>
        </w:rPr>
        <w:t>群众对媒体公共服务满意度，</w:t>
      </w:r>
      <w:r>
        <w:rPr>
          <w:rFonts w:hint="eastAsia" w:ascii="仿宋_GB2312" w:hAnsi="仿宋_GB2312" w:eastAsia="仿宋_GB2312" w:cs="仿宋_GB2312"/>
          <w:color w:val="auto"/>
          <w:sz w:val="32"/>
          <w:szCs w:val="32"/>
          <w:highlight w:val="none"/>
        </w:rPr>
        <w:t>指标值：</w:t>
      </w:r>
      <w:r>
        <w:rPr>
          <w:rFonts w:hint="eastAsia" w:eastAsia="仿宋_GB2312" w:cs="Times New Roman"/>
          <w:color w:val="auto"/>
          <w:sz w:val="32"/>
          <w:szCs w:val="32"/>
          <w:highlight w:val="none"/>
          <w:lang w:val="en-US" w:eastAsia="zh-CN"/>
        </w:rPr>
        <w:t>大于等于</w:t>
      </w:r>
      <w:r>
        <w:rPr>
          <w:rFonts w:hint="eastAsia" w:ascii="Times New Roman" w:hAnsi="Times New Roman" w:eastAsia="仿宋_GB2312" w:cs="Times New Roman"/>
          <w:color w:val="auto"/>
          <w:sz w:val="32"/>
          <w:szCs w:val="32"/>
          <w:highlight w:val="none"/>
          <w:lang w:val="en-US" w:eastAsia="zh-CN"/>
        </w:rPr>
        <w:t>90%</w:t>
      </w:r>
      <w:r>
        <w:rPr>
          <w:rFonts w:hint="eastAsia" w:ascii="仿宋_GB2312" w:hAnsi="仿宋_GB2312" w:eastAsia="仿宋_GB2312" w:cs="仿宋_GB2312"/>
          <w:color w:val="auto"/>
          <w:sz w:val="32"/>
          <w:szCs w:val="32"/>
          <w:highlight w:val="none"/>
        </w:rPr>
        <w:t>，实际完成值：</w:t>
      </w:r>
      <w:r>
        <w:rPr>
          <w:rFonts w:hint="eastAsia" w:eastAsia="仿宋_GB2312" w:cs="Times New Roman"/>
          <w:color w:val="auto"/>
          <w:sz w:val="32"/>
          <w:szCs w:val="32"/>
          <w:highlight w:val="none"/>
          <w:lang w:val="en-US" w:eastAsia="zh-CN"/>
        </w:rPr>
        <w:t>95.56</w:t>
      </w:r>
      <w:r>
        <w:rPr>
          <w:rFonts w:hint="eastAsia" w:ascii="Times New Roman" w:hAnsi="Times New Roman" w:eastAsia="仿宋_GB2312" w:cs="Times New Roman"/>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14:paraId="40C8BE83">
      <w:pPr>
        <w:spacing w:line="560" w:lineRule="exact"/>
        <w:ind w:firstLine="640" w:firstLineChars="200"/>
        <w:rPr>
          <w:rFonts w:hint="eastAsia" w:ascii="Times New Roman" w:hAnsi="Times New Roman" w:eastAsia="黑体" w:cs="Times New Roman"/>
          <w:color w:val="auto"/>
          <w:sz w:val="32"/>
          <w:szCs w:val="32"/>
          <w:highlight w:val="none"/>
          <w:lang w:eastAsia="zh-Hans"/>
        </w:rPr>
      </w:pPr>
      <w:r>
        <w:rPr>
          <w:rFonts w:hint="eastAsia" w:ascii="Times New Roman" w:hAnsi="Times New Roman" w:eastAsia="黑体" w:cs="Times New Roman"/>
          <w:color w:val="auto"/>
          <w:sz w:val="32"/>
          <w:szCs w:val="32"/>
          <w:highlight w:val="none"/>
          <w:lang w:eastAsia="zh-Hans"/>
        </w:rPr>
        <w:t>五、预算执行进度与绩效指标总体完成率偏差</w:t>
      </w:r>
    </w:p>
    <w:p w14:paraId="7F2A1C00">
      <w:pPr>
        <w:spacing w:line="560" w:lineRule="exact"/>
        <w:ind w:firstLine="640" w:firstLineChars="200"/>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中央补助地方公共服务体系建设补助资金</w:t>
      </w:r>
      <w:r>
        <w:rPr>
          <w:rFonts w:hint="eastAsia" w:eastAsia="仿宋_GB2312"/>
          <w:color w:val="auto"/>
          <w:sz w:val="32"/>
          <w:szCs w:val="32"/>
          <w:highlight w:val="none"/>
          <w:lang w:eastAsia="zh-Hans"/>
        </w:rPr>
        <w:t>项目年初预算</w:t>
      </w:r>
      <w:r>
        <w:rPr>
          <w:rFonts w:hint="eastAsia" w:eastAsia="仿宋_GB2312"/>
          <w:color w:val="auto"/>
          <w:sz w:val="32"/>
          <w:szCs w:val="32"/>
          <w:highlight w:val="none"/>
          <w:lang w:val="en-US" w:eastAsia="zh-CN"/>
        </w:rPr>
        <w:t>50</w:t>
      </w:r>
      <w:r>
        <w:rPr>
          <w:rFonts w:hint="eastAsia" w:eastAsia="仿宋_GB2312"/>
          <w:color w:val="auto"/>
          <w:sz w:val="32"/>
          <w:szCs w:val="32"/>
          <w:highlight w:val="none"/>
          <w:lang w:eastAsia="zh-Hans"/>
        </w:rPr>
        <w:t>万元，全年预算</w:t>
      </w:r>
      <w:r>
        <w:rPr>
          <w:rFonts w:hint="eastAsia" w:eastAsia="仿宋_GB2312"/>
          <w:color w:val="auto"/>
          <w:sz w:val="32"/>
          <w:szCs w:val="32"/>
          <w:highlight w:val="none"/>
          <w:lang w:val="en-US" w:eastAsia="zh-CN"/>
        </w:rPr>
        <w:t>50</w:t>
      </w:r>
      <w:r>
        <w:rPr>
          <w:rFonts w:hint="eastAsia" w:eastAsia="仿宋_GB2312"/>
          <w:color w:val="auto"/>
          <w:sz w:val="32"/>
          <w:szCs w:val="32"/>
          <w:highlight w:val="none"/>
          <w:lang w:eastAsia="zh-Hans"/>
        </w:rPr>
        <w:t>万元，实际支出</w:t>
      </w:r>
      <w:r>
        <w:rPr>
          <w:rFonts w:hint="eastAsia" w:eastAsia="仿宋_GB2312"/>
          <w:color w:val="auto"/>
          <w:sz w:val="32"/>
          <w:szCs w:val="32"/>
          <w:highlight w:val="none"/>
          <w:lang w:val="en-US" w:eastAsia="zh-CN"/>
        </w:rPr>
        <w:t>49.67</w:t>
      </w:r>
      <w:r>
        <w:rPr>
          <w:rFonts w:hint="eastAsia" w:eastAsia="仿宋_GB2312"/>
          <w:color w:val="auto"/>
          <w:sz w:val="32"/>
          <w:szCs w:val="32"/>
          <w:highlight w:val="none"/>
          <w:lang w:eastAsia="zh-Hans"/>
        </w:rPr>
        <w:t>万元，预算执行率为</w:t>
      </w:r>
      <w:r>
        <w:rPr>
          <w:rFonts w:hint="eastAsia" w:eastAsia="仿宋_GB2312"/>
          <w:color w:val="auto"/>
          <w:sz w:val="32"/>
          <w:szCs w:val="32"/>
          <w:highlight w:val="none"/>
          <w:lang w:val="en-US" w:eastAsia="zh-CN"/>
        </w:rPr>
        <w:t>99.3</w:t>
      </w:r>
      <w:r>
        <w:rPr>
          <w:rFonts w:hint="eastAsia" w:eastAsia="仿宋_GB2312"/>
          <w:color w:val="auto"/>
          <w:sz w:val="32"/>
          <w:szCs w:val="32"/>
          <w:highlight w:val="none"/>
          <w:lang w:eastAsia="zh-Hans"/>
        </w:rPr>
        <w:t>%，项目绩效指标总体完成率为</w:t>
      </w:r>
      <w:r>
        <w:rPr>
          <w:rFonts w:hint="eastAsia" w:eastAsia="仿宋_GB2312"/>
          <w:color w:val="auto"/>
          <w:sz w:val="32"/>
          <w:szCs w:val="32"/>
          <w:highlight w:val="none"/>
          <w:lang w:val="en-US" w:eastAsia="zh-CN"/>
        </w:rPr>
        <w:t>99.6</w:t>
      </w:r>
      <w:r>
        <w:rPr>
          <w:rFonts w:hint="eastAsia" w:eastAsia="仿宋_GB2312"/>
          <w:color w:val="auto"/>
          <w:sz w:val="32"/>
          <w:szCs w:val="32"/>
          <w:highlight w:val="none"/>
          <w:lang w:eastAsia="zh-Hans"/>
        </w:rPr>
        <w:t>%，</w:t>
      </w:r>
      <w:r>
        <w:rPr>
          <w:rFonts w:hint="eastAsia" w:eastAsia="仿宋_GB2312"/>
          <w:color w:val="auto"/>
          <w:sz w:val="32"/>
          <w:szCs w:val="32"/>
          <w:highlight w:val="none"/>
          <w:lang w:val="en-US" w:eastAsia="zh-CN"/>
        </w:rPr>
        <w:t>偏差率0.3%，</w:t>
      </w:r>
      <w:r>
        <w:rPr>
          <w:rFonts w:hint="eastAsia" w:eastAsia="仿宋_GB2312"/>
          <w:color w:val="auto"/>
          <w:sz w:val="32"/>
          <w:szCs w:val="32"/>
          <w:highlight w:val="none"/>
          <w:lang w:eastAsia="zh-Hans"/>
        </w:rPr>
        <w:t>总体</w:t>
      </w:r>
      <w:r>
        <w:rPr>
          <w:rFonts w:hint="eastAsia" w:eastAsia="仿宋_GB2312"/>
          <w:color w:val="auto"/>
          <w:sz w:val="32"/>
          <w:szCs w:val="32"/>
          <w:highlight w:val="none"/>
          <w:lang w:val="en-US" w:eastAsia="zh-CN"/>
        </w:rPr>
        <w:t>财政资金优先保障“三保”支出，厉行节约，改进措施：提高单位预算资金使用效益，保障单位正常运转。</w:t>
      </w:r>
    </w:p>
    <w:p w14:paraId="6872917B">
      <w:pPr>
        <w:spacing w:line="560" w:lineRule="exact"/>
        <w:ind w:firstLine="640" w:firstLineChars="200"/>
        <w:rPr>
          <w:rStyle w:val="17"/>
          <w:rFonts w:ascii="Times New Roman" w:hAnsi="Times New Roman" w:cs="Times New Roman"/>
          <w:color w:val="auto"/>
          <w:sz w:val="32"/>
          <w:szCs w:val="32"/>
          <w:highlight w:val="none"/>
        </w:rPr>
      </w:pPr>
      <w:r>
        <w:rPr>
          <w:rFonts w:hint="eastAsia" w:eastAsia="黑体"/>
          <w:color w:val="auto"/>
          <w:sz w:val="32"/>
          <w:szCs w:val="32"/>
          <w:highlight w:val="none"/>
          <w:lang w:eastAsia="zh-Hans"/>
        </w:rPr>
        <w:t>六</w:t>
      </w:r>
      <w:r>
        <w:rPr>
          <w:rFonts w:eastAsia="黑体"/>
          <w:color w:val="auto"/>
          <w:sz w:val="32"/>
          <w:szCs w:val="32"/>
          <w:highlight w:val="none"/>
        </w:rPr>
        <w:t>、主要经验及做法、存在的问题及原因分析</w:t>
      </w:r>
    </w:p>
    <w:p w14:paraId="031C1840">
      <w:pPr>
        <w:spacing w:line="560" w:lineRule="exact"/>
        <w:ind w:firstLine="627" w:firstLineChars="200"/>
        <w:rPr>
          <w:rFonts w:eastAsia="楷体"/>
          <w:b/>
          <w:color w:val="auto"/>
          <w:spacing w:val="-4"/>
          <w:sz w:val="32"/>
          <w:szCs w:val="32"/>
          <w:highlight w:val="none"/>
        </w:rPr>
      </w:pPr>
      <w:r>
        <w:rPr>
          <w:rFonts w:eastAsia="楷体"/>
          <w:b/>
          <w:color w:val="auto"/>
          <w:spacing w:val="-4"/>
          <w:sz w:val="32"/>
          <w:szCs w:val="32"/>
          <w:highlight w:val="none"/>
        </w:rPr>
        <w:t>（一）主要经验及做法</w:t>
      </w:r>
    </w:p>
    <w:p w14:paraId="6832BB72">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573BDF63">
      <w:pPr>
        <w:pStyle w:val="9"/>
        <w:spacing w:before="0" w:after="0" w:line="560" w:lineRule="exact"/>
        <w:ind w:firstLine="640" w:firstLineChars="200"/>
        <w:jc w:val="left"/>
        <w:rPr>
          <w:rFonts w:ascii="Times New Roman" w:hAnsi="Times New Roman" w:eastAsia="仿宋_GB2312"/>
          <w:b w:val="0"/>
          <w:bCs w:val="0"/>
          <w:color w:val="auto"/>
          <w:kern w:val="2"/>
          <w:sz w:val="32"/>
          <w:szCs w:val="32"/>
          <w:highlight w:val="none"/>
        </w:rPr>
      </w:pPr>
      <w:r>
        <w:rPr>
          <w:rFonts w:ascii="Times New Roman" w:hAnsi="Times New Roman" w:eastAsia="仿宋_GB2312"/>
          <w:b w:val="0"/>
          <w:bCs w:val="0"/>
          <w:color w:val="auto"/>
          <w:kern w:val="2"/>
          <w:sz w:val="32"/>
          <w:szCs w:val="3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651A215A">
      <w:pPr>
        <w:keepNext/>
        <w:keepLines/>
        <w:numPr>
          <w:ilvl w:val="0"/>
          <w:numId w:val="6"/>
        </w:numPr>
        <w:spacing w:line="560" w:lineRule="exact"/>
        <w:ind w:firstLine="643" w:firstLineChars="200"/>
        <w:rPr>
          <w:rFonts w:eastAsia="楷体_GB2312"/>
          <w:b/>
          <w:bCs/>
          <w:color w:val="auto"/>
          <w:sz w:val="32"/>
          <w:szCs w:val="32"/>
          <w:highlight w:val="none"/>
        </w:rPr>
      </w:pPr>
      <w:r>
        <w:rPr>
          <w:rFonts w:eastAsia="楷体_GB2312"/>
          <w:b/>
          <w:bCs/>
          <w:color w:val="auto"/>
          <w:sz w:val="32"/>
          <w:szCs w:val="32"/>
          <w:highlight w:val="none"/>
        </w:rPr>
        <w:t>存在的问题及原因分析</w:t>
      </w:r>
    </w:p>
    <w:p w14:paraId="753E1583">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7A846C0E">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2.因轮岗、调动、等因素使我单位绩效工作人员流动频繁，造成了工作衔接不到位的情况。</w:t>
      </w:r>
    </w:p>
    <w:p w14:paraId="01201DD1">
      <w:pPr>
        <w:spacing w:line="560" w:lineRule="exact"/>
        <w:ind w:firstLine="640" w:firstLineChars="200"/>
        <w:rPr>
          <w:rFonts w:eastAsia="黑体"/>
          <w:color w:val="auto"/>
          <w:sz w:val="32"/>
          <w:szCs w:val="32"/>
          <w:highlight w:val="none"/>
        </w:rPr>
      </w:pPr>
      <w:r>
        <w:rPr>
          <w:rFonts w:hint="eastAsia" w:eastAsia="黑体"/>
          <w:color w:val="auto"/>
          <w:sz w:val="32"/>
          <w:szCs w:val="32"/>
          <w:highlight w:val="none"/>
          <w:lang w:eastAsia="zh-Hans"/>
        </w:rPr>
        <w:t>七、</w:t>
      </w:r>
      <w:r>
        <w:rPr>
          <w:rFonts w:eastAsia="黑体"/>
          <w:color w:val="auto"/>
          <w:sz w:val="32"/>
          <w:szCs w:val="32"/>
          <w:highlight w:val="none"/>
        </w:rPr>
        <w:t>有关建议</w:t>
      </w:r>
    </w:p>
    <w:p w14:paraId="7B0C4BAD">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14:paraId="57EA2DC3">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2.专门设定对绩效工作人员定职、定岗、定责等相关制度措施，进一步提升我单位绩效管理工作业务水平，扎实做好绩效管理工作。</w:t>
      </w:r>
    </w:p>
    <w:p w14:paraId="36DAD416">
      <w:pPr>
        <w:spacing w:line="560" w:lineRule="exact"/>
        <w:ind w:firstLine="640" w:firstLineChars="200"/>
        <w:rPr>
          <w:rFonts w:eastAsia="黑体"/>
          <w:color w:val="auto"/>
          <w:sz w:val="32"/>
          <w:szCs w:val="32"/>
          <w:highlight w:val="none"/>
        </w:rPr>
      </w:pPr>
      <w:r>
        <w:rPr>
          <w:rFonts w:hint="eastAsia" w:eastAsia="黑体"/>
          <w:color w:val="auto"/>
          <w:sz w:val="32"/>
          <w:szCs w:val="32"/>
          <w:highlight w:val="none"/>
          <w:lang w:eastAsia="zh-Hans"/>
        </w:rPr>
        <w:t>八、</w:t>
      </w:r>
      <w:r>
        <w:rPr>
          <w:rFonts w:eastAsia="黑体"/>
          <w:color w:val="auto"/>
          <w:sz w:val="32"/>
          <w:szCs w:val="32"/>
          <w:highlight w:val="none"/>
        </w:rPr>
        <w:t>其他需要说</w:t>
      </w:r>
      <w:bookmarkStart w:id="6" w:name="page8"/>
      <w:bookmarkEnd w:id="6"/>
      <w:r>
        <w:rPr>
          <w:rFonts w:eastAsia="黑体"/>
          <w:color w:val="auto"/>
          <w:sz w:val="32"/>
          <w:szCs w:val="32"/>
          <w:highlight w:val="none"/>
        </w:rPr>
        <w:t>明的问题</w:t>
      </w:r>
    </w:p>
    <w:p w14:paraId="50581F16">
      <w:pPr>
        <w:pStyle w:val="12"/>
        <w:spacing w:after="0" w:line="560" w:lineRule="exact"/>
        <w:ind w:left="0" w:leftChars="0" w:firstLine="640"/>
        <w:rPr>
          <w:color w:val="auto"/>
          <w:sz w:val="32"/>
          <w:szCs w:val="32"/>
          <w:highlight w:val="none"/>
        </w:rPr>
      </w:pPr>
      <w:r>
        <w:rPr>
          <w:rFonts w:hint="eastAsia" w:ascii="仿宋_GB2312" w:hAnsi="仿宋_GB2312" w:eastAsia="仿宋_GB2312" w:cs="仿宋_GB2312"/>
          <w:color w:val="auto"/>
          <w:sz w:val="32"/>
          <w:szCs w:val="32"/>
          <w:highlight w:val="none"/>
          <w:lang w:eastAsia="zh-Hans"/>
        </w:rPr>
        <w:t>本项目无其他需说明</w:t>
      </w:r>
      <w:bookmarkStart w:id="7" w:name="_GoBack"/>
      <w:bookmarkEnd w:id="7"/>
      <w:r>
        <w:rPr>
          <w:rFonts w:hint="eastAsia" w:ascii="仿宋_GB2312" w:hAnsi="仿宋_GB2312" w:eastAsia="仿宋_GB2312" w:cs="仿宋_GB2312"/>
          <w:color w:val="auto"/>
          <w:sz w:val="32"/>
          <w:szCs w:val="32"/>
          <w:highlight w:val="none"/>
          <w:lang w:eastAsia="zh-Hans"/>
        </w:rPr>
        <w:t>的问题。</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5C6143D">
        <w:pPr>
          <w:pStyle w:val="7"/>
          <w:jc w:val="center"/>
        </w:pPr>
        <w:r>
          <w:fldChar w:fldCharType="begin"/>
        </w:r>
        <w:r>
          <w:instrText xml:space="preserve">PAGE   \* MERGEFORMAT</w:instrText>
        </w:r>
        <w:r>
          <w:fldChar w:fldCharType="separate"/>
        </w:r>
        <w:r>
          <w:rPr>
            <w:lang w:val="zh-CN"/>
          </w:rPr>
          <w:t>13</w:t>
        </w:r>
        <w:r>
          <w:fldChar w:fldCharType="end"/>
        </w:r>
      </w:p>
    </w:sdtContent>
  </w:sdt>
  <w:p w14:paraId="285A0EA4">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0M2RlYjNmMjdiYjY3YzI0YWVmOTYxYTNjNDZhYTMifQ=="/>
  </w:docVars>
  <w:rsids>
    <w:rsidRoot w:val="FF6C4049"/>
    <w:rsid w:val="006F7242"/>
    <w:rsid w:val="007B168A"/>
    <w:rsid w:val="008B2CFE"/>
    <w:rsid w:val="00DD6DB4"/>
    <w:rsid w:val="00E16FE2"/>
    <w:rsid w:val="00F26FF6"/>
    <w:rsid w:val="0407172E"/>
    <w:rsid w:val="05D463F3"/>
    <w:rsid w:val="07397B77"/>
    <w:rsid w:val="084F4CAD"/>
    <w:rsid w:val="097430E9"/>
    <w:rsid w:val="099F7A3A"/>
    <w:rsid w:val="0B460AB5"/>
    <w:rsid w:val="0C14150E"/>
    <w:rsid w:val="0C5965C6"/>
    <w:rsid w:val="0D271D76"/>
    <w:rsid w:val="0D6945E7"/>
    <w:rsid w:val="0DBA7538"/>
    <w:rsid w:val="0DE40111"/>
    <w:rsid w:val="0E2D1AE3"/>
    <w:rsid w:val="0EAC50D3"/>
    <w:rsid w:val="0F256C33"/>
    <w:rsid w:val="0F5F2145"/>
    <w:rsid w:val="0F8B2F3A"/>
    <w:rsid w:val="11F519EF"/>
    <w:rsid w:val="120B195B"/>
    <w:rsid w:val="127B54E8"/>
    <w:rsid w:val="13471461"/>
    <w:rsid w:val="13B90F01"/>
    <w:rsid w:val="14F61B93"/>
    <w:rsid w:val="16A45735"/>
    <w:rsid w:val="16BE26F7"/>
    <w:rsid w:val="17DC3EC6"/>
    <w:rsid w:val="181066D2"/>
    <w:rsid w:val="19212219"/>
    <w:rsid w:val="19A12CBE"/>
    <w:rsid w:val="19F416DC"/>
    <w:rsid w:val="1A79261E"/>
    <w:rsid w:val="1AD734D7"/>
    <w:rsid w:val="1B18762B"/>
    <w:rsid w:val="1BA837E7"/>
    <w:rsid w:val="1C671E73"/>
    <w:rsid w:val="1DBE44DB"/>
    <w:rsid w:val="1F422EEA"/>
    <w:rsid w:val="1FB65C37"/>
    <w:rsid w:val="2136082C"/>
    <w:rsid w:val="21442F49"/>
    <w:rsid w:val="217B26FE"/>
    <w:rsid w:val="21E844DD"/>
    <w:rsid w:val="23160915"/>
    <w:rsid w:val="23587577"/>
    <w:rsid w:val="252E0198"/>
    <w:rsid w:val="25415B5B"/>
    <w:rsid w:val="2561056D"/>
    <w:rsid w:val="25A01EEF"/>
    <w:rsid w:val="26DB7BD1"/>
    <w:rsid w:val="27C0504F"/>
    <w:rsid w:val="290F208E"/>
    <w:rsid w:val="2B7E7FD8"/>
    <w:rsid w:val="2BAF1907"/>
    <w:rsid w:val="2CE850D0"/>
    <w:rsid w:val="2E187C37"/>
    <w:rsid w:val="2FFD4E80"/>
    <w:rsid w:val="305F6960"/>
    <w:rsid w:val="31DB6EF7"/>
    <w:rsid w:val="32FB6947"/>
    <w:rsid w:val="35853254"/>
    <w:rsid w:val="359D110B"/>
    <w:rsid w:val="381274A5"/>
    <w:rsid w:val="38CA40DD"/>
    <w:rsid w:val="395F2B56"/>
    <w:rsid w:val="3A9C399E"/>
    <w:rsid w:val="3B005CDB"/>
    <w:rsid w:val="3BECE841"/>
    <w:rsid w:val="3C681D8A"/>
    <w:rsid w:val="3CD72A6B"/>
    <w:rsid w:val="3D4A5933"/>
    <w:rsid w:val="3E004EE0"/>
    <w:rsid w:val="3EE871B2"/>
    <w:rsid w:val="3F746C97"/>
    <w:rsid w:val="3FF7797D"/>
    <w:rsid w:val="40256385"/>
    <w:rsid w:val="404B1975"/>
    <w:rsid w:val="40E63BC5"/>
    <w:rsid w:val="421B33FA"/>
    <w:rsid w:val="42DF08CC"/>
    <w:rsid w:val="42FB34D6"/>
    <w:rsid w:val="430968B2"/>
    <w:rsid w:val="43231EA6"/>
    <w:rsid w:val="43CC05E0"/>
    <w:rsid w:val="44155EBB"/>
    <w:rsid w:val="44667966"/>
    <w:rsid w:val="44AE49FA"/>
    <w:rsid w:val="45394A3E"/>
    <w:rsid w:val="454D6064"/>
    <w:rsid w:val="463B050F"/>
    <w:rsid w:val="4698326B"/>
    <w:rsid w:val="4AEC627C"/>
    <w:rsid w:val="4B0233A9"/>
    <w:rsid w:val="4C00597F"/>
    <w:rsid w:val="4CA02CF2"/>
    <w:rsid w:val="4D77007F"/>
    <w:rsid w:val="4EB8094F"/>
    <w:rsid w:val="4F1A33B7"/>
    <w:rsid w:val="4F530D5B"/>
    <w:rsid w:val="50CF3D2E"/>
    <w:rsid w:val="50F03FCE"/>
    <w:rsid w:val="51200A2D"/>
    <w:rsid w:val="522D1654"/>
    <w:rsid w:val="53AA2830"/>
    <w:rsid w:val="56D358E4"/>
    <w:rsid w:val="57203535"/>
    <w:rsid w:val="57A777B2"/>
    <w:rsid w:val="59352B9C"/>
    <w:rsid w:val="5BAB5397"/>
    <w:rsid w:val="5BFF6039"/>
    <w:rsid w:val="5D752101"/>
    <w:rsid w:val="5D76A616"/>
    <w:rsid w:val="5D7F20B9"/>
    <w:rsid w:val="5DAC7D0E"/>
    <w:rsid w:val="5E142269"/>
    <w:rsid w:val="5E8343A9"/>
    <w:rsid w:val="5EA42C9D"/>
    <w:rsid w:val="5F5F6BC4"/>
    <w:rsid w:val="5F98B5AF"/>
    <w:rsid w:val="5FFE8511"/>
    <w:rsid w:val="5FFEACE2"/>
    <w:rsid w:val="604F09E7"/>
    <w:rsid w:val="60673FEE"/>
    <w:rsid w:val="606D5311"/>
    <w:rsid w:val="643EE26D"/>
    <w:rsid w:val="64487C27"/>
    <w:rsid w:val="64B96D77"/>
    <w:rsid w:val="64BD6867"/>
    <w:rsid w:val="672A5D0A"/>
    <w:rsid w:val="684736A1"/>
    <w:rsid w:val="69A51678"/>
    <w:rsid w:val="6B3E4E79"/>
    <w:rsid w:val="6B456122"/>
    <w:rsid w:val="6B8468AA"/>
    <w:rsid w:val="6C303DC2"/>
    <w:rsid w:val="6C580C23"/>
    <w:rsid w:val="6CBE09EC"/>
    <w:rsid w:val="6D4A2425"/>
    <w:rsid w:val="6E13574A"/>
    <w:rsid w:val="6E863E2F"/>
    <w:rsid w:val="6F5C41AC"/>
    <w:rsid w:val="6FAF6C78"/>
    <w:rsid w:val="6FB95E7D"/>
    <w:rsid w:val="728A58AF"/>
    <w:rsid w:val="72C72545"/>
    <w:rsid w:val="7317C656"/>
    <w:rsid w:val="734ED73F"/>
    <w:rsid w:val="74177EF7"/>
    <w:rsid w:val="74856C75"/>
    <w:rsid w:val="76A333E3"/>
    <w:rsid w:val="77B6681B"/>
    <w:rsid w:val="77E52E64"/>
    <w:rsid w:val="77FD8BE9"/>
    <w:rsid w:val="78686692"/>
    <w:rsid w:val="79A9BD3F"/>
    <w:rsid w:val="7ABE07EB"/>
    <w:rsid w:val="7B0A1C83"/>
    <w:rsid w:val="7B340476"/>
    <w:rsid w:val="7BFFFDD0"/>
    <w:rsid w:val="7C336E5F"/>
    <w:rsid w:val="7C4E233E"/>
    <w:rsid w:val="7C7E0232"/>
    <w:rsid w:val="7CED360A"/>
    <w:rsid w:val="7D7A5F86"/>
    <w:rsid w:val="7DA31C4C"/>
    <w:rsid w:val="7F37BB4E"/>
    <w:rsid w:val="7F73558C"/>
    <w:rsid w:val="7FA91A6A"/>
    <w:rsid w:val="7FAC18B6"/>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19"/>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annotation subject"/>
    <w:basedOn w:val="3"/>
    <w:next w:val="3"/>
    <w:link w:val="22"/>
    <w:qFormat/>
    <w:uiPriority w:val="0"/>
    <w:rPr>
      <w:b/>
      <w:bCs/>
    </w:rPr>
  </w:style>
  <w:style w:type="paragraph" w:styleId="11">
    <w:name w:val="Body Text First Indent"/>
    <w:basedOn w:val="4"/>
    <w:qFormat/>
    <w:uiPriority w:val="0"/>
    <w:pPr>
      <w:spacing w:after="0"/>
      <w:ind w:firstLine="200" w:firstLineChars="200"/>
    </w:pPr>
  </w:style>
  <w:style w:type="paragraph" w:styleId="12">
    <w:name w:val="Body Text First Indent 2"/>
    <w:basedOn w:val="5"/>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6"/>
    <w:qFormat/>
    <w:uiPriority w:val="0"/>
    <w:rPr>
      <w:rFonts w:ascii="Times New Roman" w:hAnsi="Times New Roman" w:eastAsia="宋体" w:cs="Times New Roman"/>
      <w:kern w:val="2"/>
      <w:sz w:val="18"/>
      <w:szCs w:val="18"/>
    </w:rPr>
  </w:style>
  <w:style w:type="character" w:customStyle="1" w:styleId="20">
    <w:name w:val="页眉 字符"/>
    <w:basedOn w:val="14"/>
    <w:link w:val="8"/>
    <w:qFormat/>
    <w:uiPriority w:val="0"/>
    <w:rPr>
      <w:rFonts w:ascii="Times New Roman" w:hAnsi="Times New Roman" w:eastAsia="宋体" w:cs="Times New Roman"/>
      <w:kern w:val="2"/>
      <w:sz w:val="18"/>
      <w:szCs w:val="18"/>
    </w:rPr>
  </w:style>
  <w:style w:type="character" w:customStyle="1" w:styleId="21">
    <w:name w:val="批注文字 字符"/>
    <w:basedOn w:val="14"/>
    <w:link w:val="3"/>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6906</Words>
  <Characters>7184</Characters>
  <Lines>58</Lines>
  <Paragraphs>16</Paragraphs>
  <TotalTime>19</TotalTime>
  <ScaleCrop>false</ScaleCrop>
  <LinksUpToDate>false</LinksUpToDate>
  <CharactersWithSpaces>7184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7.</cp:lastModifiedBy>
  <dcterms:modified xsi:type="dcterms:W3CDTF">2024-09-23T07:29:03Z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DEB37354E36D40D48F20A3DAB18895C3</vt:lpwstr>
  </property>
</Properties>
</file>