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托克逊县人民代表大会常务委员会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8EFFDA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遵守和贯彻执行宪法、法律、行政法规和上级人民代表大会及其常务委员会决议。</w:t>
      </w:r>
    </w:p>
    <w:p w14:paraId="5F1E979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领导和主持本级人民代表大会选举。</w:t>
      </w:r>
    </w:p>
    <w:p w14:paraId="3A6594B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召集县级人民代表大会会议。</w:t>
      </w:r>
    </w:p>
    <w:p w14:paraId="0C581865">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讨论决定县的政治、经济、教育、科学</w:t>
      </w:r>
      <w:r>
        <w:rPr>
          <w:rFonts w:hint="eastAsia" w:ascii="仿宋" w:hAnsi="仿宋" w:eastAsia="仿宋"/>
          <w:color w:val="000000"/>
          <w:sz w:val="28"/>
          <w:szCs w:val="28"/>
          <w:lang w:eastAsia="zh-CN"/>
        </w:rPr>
        <w:t>、文化</w:t>
      </w:r>
      <w:r>
        <w:rPr>
          <w:rFonts w:hint="eastAsia" w:ascii="仿宋" w:hAnsi="仿宋" w:eastAsia="仿宋"/>
          <w:color w:val="000000"/>
          <w:sz w:val="28"/>
          <w:szCs w:val="28"/>
        </w:rPr>
        <w:t>、卫生</w:t>
      </w:r>
      <w:r>
        <w:rPr>
          <w:rFonts w:hint="eastAsia" w:ascii="仿宋" w:hAnsi="仿宋" w:eastAsia="仿宋"/>
          <w:color w:val="000000"/>
          <w:sz w:val="28"/>
          <w:szCs w:val="28"/>
          <w:lang w:eastAsia="zh-CN"/>
        </w:rPr>
        <w:t>、环境和</w:t>
      </w:r>
      <w:r>
        <w:rPr>
          <w:rFonts w:hint="eastAsia" w:ascii="仿宋" w:hAnsi="仿宋" w:eastAsia="仿宋"/>
          <w:color w:val="000000"/>
          <w:sz w:val="28"/>
          <w:szCs w:val="28"/>
        </w:rPr>
        <w:t>资源保护，民政、民族等工作的重大事项。</w:t>
      </w:r>
    </w:p>
    <w:p w14:paraId="577DE9B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根据县人民政府的建议，决定对县国民经济和社会发展计划，预算的部分变更。</w:t>
      </w:r>
    </w:p>
    <w:p w14:paraId="36F27E1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监督人民政府、人民法院、人民检察院的工作，联系本级人民代表大会代表，受理人民群众对上述机关和国家工作人员的申诉</w:t>
      </w:r>
      <w:r>
        <w:rPr>
          <w:rFonts w:hint="eastAsia" w:ascii="仿宋" w:hAnsi="仿宋" w:eastAsia="仿宋"/>
          <w:color w:val="000000"/>
          <w:sz w:val="28"/>
          <w:szCs w:val="28"/>
          <w:lang w:eastAsia="zh-CN"/>
        </w:rPr>
        <w:t>和</w:t>
      </w:r>
      <w:r>
        <w:rPr>
          <w:rFonts w:hint="eastAsia" w:ascii="仿宋" w:hAnsi="仿宋" w:eastAsia="仿宋"/>
          <w:color w:val="000000"/>
          <w:sz w:val="28"/>
          <w:szCs w:val="28"/>
        </w:rPr>
        <w:t>意见。</w:t>
      </w:r>
    </w:p>
    <w:p w14:paraId="3EFD995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eastAsia="zh-CN"/>
        </w:rPr>
        <w:t>撤销</w:t>
      </w:r>
      <w:r>
        <w:rPr>
          <w:rFonts w:hint="eastAsia" w:ascii="仿宋" w:hAnsi="仿宋" w:eastAsia="仿宋"/>
          <w:color w:val="000000"/>
          <w:sz w:val="28"/>
          <w:szCs w:val="28"/>
        </w:rPr>
        <w:t>人民政府的不适当的决定和命令。</w:t>
      </w:r>
    </w:p>
    <w:p w14:paraId="0EF3A4AC">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在人民代表大会闭会期间，决定副县长的个别任免；县长</w:t>
      </w:r>
      <w:r>
        <w:rPr>
          <w:rFonts w:hint="eastAsia" w:ascii="仿宋" w:hAnsi="仿宋" w:eastAsia="仿宋"/>
          <w:color w:val="000000"/>
          <w:sz w:val="28"/>
          <w:szCs w:val="28"/>
          <w:lang w:eastAsia="zh-CN"/>
        </w:rPr>
        <w:t>、</w:t>
      </w:r>
      <w:r>
        <w:rPr>
          <w:rFonts w:hint="eastAsia" w:ascii="仿宋" w:hAnsi="仿宋" w:eastAsia="仿宋"/>
          <w:color w:val="000000"/>
          <w:sz w:val="28"/>
          <w:szCs w:val="28"/>
        </w:rPr>
        <w:t>人民法院院长，人民检察院检察长，因故不能担任职务的时候，从县人民政府，人民法院，人民检察院副职领导人员中决定代理人选；须报上一级人民检察院和人民代表大会常务委员会备案。</w:t>
      </w:r>
    </w:p>
    <w:p w14:paraId="5EE6991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根据县长的提名，决定县人民政府各委、局、办领导的任免。</w:t>
      </w:r>
    </w:p>
    <w:p w14:paraId="48FF401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按照人民法院组织法和人民检察院组织法的规定，任免人民法院副院长，庭长、副庭长、审判委员会委员、审判员，任免人民检察院副检察长、检察委员会委员、</w:t>
      </w:r>
      <w:r>
        <w:rPr>
          <w:rFonts w:hint="eastAsia" w:ascii="仿宋" w:hAnsi="仿宋" w:eastAsia="仿宋"/>
          <w:color w:val="000000"/>
          <w:sz w:val="28"/>
          <w:szCs w:val="28"/>
          <w:lang w:eastAsia="zh-CN"/>
        </w:rPr>
        <w:t>检察员</w:t>
      </w:r>
      <w:r>
        <w:rPr>
          <w:rFonts w:hint="eastAsia" w:ascii="仿宋" w:hAnsi="仿宋" w:eastAsia="仿宋"/>
          <w:color w:val="000000"/>
          <w:sz w:val="28"/>
          <w:szCs w:val="28"/>
        </w:rPr>
        <w:t>。</w:t>
      </w:r>
    </w:p>
    <w:p w14:paraId="6076014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在本级人民代表大会闭会</w:t>
      </w:r>
      <w:r>
        <w:rPr>
          <w:rFonts w:hint="eastAsia" w:ascii="仿宋" w:hAnsi="仿宋" w:eastAsia="仿宋"/>
          <w:color w:val="000000"/>
          <w:sz w:val="28"/>
          <w:szCs w:val="28"/>
          <w:lang w:eastAsia="zh-CN"/>
        </w:rPr>
        <w:t>期间</w:t>
      </w:r>
      <w:r>
        <w:rPr>
          <w:rFonts w:hint="eastAsia" w:ascii="仿宋" w:hAnsi="仿宋" w:eastAsia="仿宋"/>
          <w:color w:val="000000"/>
          <w:sz w:val="28"/>
          <w:szCs w:val="28"/>
        </w:rPr>
        <w:t>，补选上一级人民代表大会出缺的代表和任免个别代表。</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决定授予地方的荣誉称号。</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90EA53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托克逊县人民代表大会常务委员会无下属预算单位，下设5个科室，分别是：办公室、预算工作委员会、教科文卫工作委员会、法制工作委员会、代表工作委员会。</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托克逊县人民代表大会常务委员会编制数14，实有人数46人，其中：在职16人，增加0人；退休30人，增加1人；离休0人，增加0人。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397.24</w:t>
            </w:r>
          </w:p>
        </w:tc>
      </w:tr>
      <w:tr w14:paraId="193D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76E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D265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6B8D39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B3D4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7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AC30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19A6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528.27</w:t>
            </w:r>
          </w:p>
        </w:tc>
        <w:tc>
          <w:tcPr>
            <w:tcW w:w="3600" w:type="dxa"/>
            <w:shd w:val="clear" w:color="auto" w:fill="auto"/>
            <w:vAlign w:val="center"/>
          </w:tcPr>
          <w:p w14:paraId="61510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8AFE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D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E43B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E789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3F304B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3C39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3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6965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AEA2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1C6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BE8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2C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B4B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94EF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27A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40CC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51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1B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9A90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A7A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A98C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74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E6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277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699D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74574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80.21</w:t>
            </w:r>
          </w:p>
        </w:tc>
      </w:tr>
      <w:tr w14:paraId="6903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E33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FA7A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5F6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93F5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C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5D6D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49F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6D59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6DB2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w:t>
            </w:r>
          </w:p>
        </w:tc>
      </w:tr>
      <w:tr w14:paraId="502C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4DCA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FC85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C3C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FB25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4A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FA9C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03D7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2A93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C726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C5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73A2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23AD3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5E1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7A1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FA3B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2F24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19BD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9AF8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6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E684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EEE9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5E3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CDAD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72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31DF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8C9A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F57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1B60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5C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67D6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4B5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19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F800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8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AA2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2980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56E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A0E2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6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079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8E2E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4A7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BBE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C4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933A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A768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C603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F84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r>
      <w:tr w14:paraId="2231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4F83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B868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066B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FCF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9B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C11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2B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12AF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577F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9B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C74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46C4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DEB8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7CFE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04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B98B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8D78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B813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D8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F3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33F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99A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841C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AE2D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F9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4E3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284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E596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8FA1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EB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236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718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C8C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4F6A3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C1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EC9E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602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297B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459A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4D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BAFE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921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1264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A3BB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73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ACAB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D59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3BF76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F2CA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FE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3A45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A9CA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EFC5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91B9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人大事务</w:t>
            </w:r>
          </w:p>
        </w:tc>
        <w:tc>
          <w:tcPr>
            <w:tcW w:w="1070" w:type="dxa"/>
            <w:shd w:val="clear" w:color="auto" w:fill="auto"/>
            <w:vAlign w:val="center"/>
          </w:tcPr>
          <w:p w14:paraId="26932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128" w:type="dxa"/>
            <w:shd w:val="clear" w:color="auto" w:fill="auto"/>
            <w:vAlign w:val="center"/>
          </w:tcPr>
          <w:p w14:paraId="211AD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082" w:type="dxa"/>
            <w:shd w:val="clear" w:color="auto" w:fill="auto"/>
            <w:vAlign w:val="center"/>
          </w:tcPr>
          <w:p w14:paraId="0CD4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390.24</w:t>
            </w:r>
          </w:p>
        </w:tc>
        <w:tc>
          <w:tcPr>
            <w:tcW w:w="1082" w:type="dxa"/>
            <w:shd w:val="clear" w:color="auto" w:fill="auto"/>
            <w:vAlign w:val="center"/>
          </w:tcPr>
          <w:p w14:paraId="1754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1445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937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FDC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009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C09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98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F32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73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49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21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5347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C5E6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DCF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9DA0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128" w:type="dxa"/>
            <w:shd w:val="clear" w:color="auto" w:fill="auto"/>
            <w:vAlign w:val="center"/>
          </w:tcPr>
          <w:p w14:paraId="1FFE4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082" w:type="dxa"/>
            <w:shd w:val="clear" w:color="auto" w:fill="auto"/>
            <w:vAlign w:val="center"/>
          </w:tcPr>
          <w:p w14:paraId="1489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082" w:type="dxa"/>
            <w:shd w:val="clear" w:color="auto" w:fill="auto"/>
            <w:vAlign w:val="center"/>
          </w:tcPr>
          <w:p w14:paraId="7AA63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4B1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C5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79F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3C6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A4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3E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9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41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01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513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DA57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13A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D166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人大会议</w:t>
            </w:r>
          </w:p>
        </w:tc>
        <w:tc>
          <w:tcPr>
            <w:tcW w:w="1070" w:type="dxa"/>
            <w:shd w:val="clear" w:color="auto" w:fill="auto"/>
            <w:vAlign w:val="center"/>
          </w:tcPr>
          <w:p w14:paraId="09319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22FD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07AE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0A37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38A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B0B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4C0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DAC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FD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85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E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56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DD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8FD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5C72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598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C7A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其他人大事务支出</w:t>
            </w:r>
          </w:p>
        </w:tc>
        <w:tc>
          <w:tcPr>
            <w:tcW w:w="1070" w:type="dxa"/>
            <w:shd w:val="clear" w:color="auto" w:fill="auto"/>
            <w:vAlign w:val="center"/>
          </w:tcPr>
          <w:p w14:paraId="2FBE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w:t>
            </w:r>
          </w:p>
        </w:tc>
        <w:tc>
          <w:tcPr>
            <w:tcW w:w="1128" w:type="dxa"/>
            <w:shd w:val="clear" w:color="auto" w:fill="auto"/>
            <w:vAlign w:val="center"/>
          </w:tcPr>
          <w:p w14:paraId="1A8CA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w:t>
            </w:r>
          </w:p>
        </w:tc>
        <w:tc>
          <w:tcPr>
            <w:tcW w:w="1082" w:type="dxa"/>
            <w:shd w:val="clear" w:color="auto" w:fill="auto"/>
            <w:vAlign w:val="center"/>
          </w:tcPr>
          <w:p w14:paraId="4EE8E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4D5F4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52BD6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8A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CDE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5E2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82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1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4E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8B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92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DA0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322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7C6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F4A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3C53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128" w:type="dxa"/>
            <w:shd w:val="clear" w:color="auto" w:fill="auto"/>
            <w:vAlign w:val="center"/>
          </w:tcPr>
          <w:p w14:paraId="0BC5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107A2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29343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9E1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D0E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61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2E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62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00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1B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0E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E18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403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9A5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EBB7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4B78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128" w:type="dxa"/>
            <w:shd w:val="clear" w:color="auto" w:fill="auto"/>
            <w:vAlign w:val="center"/>
          </w:tcPr>
          <w:p w14:paraId="5CE69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15A85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49B3D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86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67B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376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540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F4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BA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26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3D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9C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E1A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CB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406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80FD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3BB2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128" w:type="dxa"/>
            <w:shd w:val="clear" w:color="auto" w:fill="auto"/>
            <w:vAlign w:val="center"/>
          </w:tcPr>
          <w:p w14:paraId="5CC99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082" w:type="dxa"/>
            <w:shd w:val="clear" w:color="auto" w:fill="auto"/>
            <w:vAlign w:val="center"/>
          </w:tcPr>
          <w:p w14:paraId="759B4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082" w:type="dxa"/>
            <w:shd w:val="clear" w:color="auto" w:fill="auto"/>
            <w:vAlign w:val="center"/>
          </w:tcPr>
          <w:p w14:paraId="518C8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AFF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BF6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CE5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027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D6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18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4C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88E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72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22C7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D41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BD3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2819A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5920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128" w:type="dxa"/>
            <w:shd w:val="clear" w:color="auto" w:fill="auto"/>
            <w:vAlign w:val="center"/>
          </w:tcPr>
          <w:p w14:paraId="1DA2E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082" w:type="dxa"/>
            <w:shd w:val="clear" w:color="auto" w:fill="auto"/>
            <w:vAlign w:val="center"/>
          </w:tcPr>
          <w:p w14:paraId="356B9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082" w:type="dxa"/>
            <w:shd w:val="clear" w:color="auto" w:fill="auto"/>
            <w:vAlign w:val="center"/>
          </w:tcPr>
          <w:p w14:paraId="78326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678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B30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50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14B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4B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D2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1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0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A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2D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159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F47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333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85BB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128" w:type="dxa"/>
            <w:shd w:val="clear" w:color="auto" w:fill="auto"/>
            <w:vAlign w:val="center"/>
          </w:tcPr>
          <w:p w14:paraId="4AFAF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1D6E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78128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102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2C9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DA5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A62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2C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28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26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02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C8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50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FB7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F3C0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1B30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23E5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128" w:type="dxa"/>
            <w:shd w:val="clear" w:color="auto" w:fill="auto"/>
            <w:vAlign w:val="center"/>
          </w:tcPr>
          <w:p w14:paraId="6D945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4614B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1B52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B42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F61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21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48F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4C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16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4DF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16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0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C36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BD0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0540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3A9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7F2B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128" w:type="dxa"/>
            <w:shd w:val="clear" w:color="auto" w:fill="auto"/>
            <w:vAlign w:val="center"/>
          </w:tcPr>
          <w:p w14:paraId="2F56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082" w:type="dxa"/>
            <w:shd w:val="clear" w:color="auto" w:fill="auto"/>
            <w:vAlign w:val="center"/>
          </w:tcPr>
          <w:p w14:paraId="61DBA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082" w:type="dxa"/>
            <w:shd w:val="clear" w:color="auto" w:fill="auto"/>
            <w:vAlign w:val="center"/>
          </w:tcPr>
          <w:p w14:paraId="3822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5B4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68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82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FDD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5E1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A8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80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51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FF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720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60A8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21A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3558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53BE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128" w:type="dxa"/>
            <w:shd w:val="clear" w:color="auto" w:fill="auto"/>
            <w:vAlign w:val="center"/>
          </w:tcPr>
          <w:p w14:paraId="7C529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082" w:type="dxa"/>
            <w:shd w:val="clear" w:color="auto" w:fill="auto"/>
            <w:vAlign w:val="center"/>
          </w:tcPr>
          <w:p w14:paraId="368A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082" w:type="dxa"/>
            <w:shd w:val="clear" w:color="auto" w:fill="auto"/>
            <w:vAlign w:val="center"/>
          </w:tcPr>
          <w:p w14:paraId="62C45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E7A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7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079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A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AB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8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A7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53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7F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BEC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5BB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4D6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AFC5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501F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0D39D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50C45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1B58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96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B3E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254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6B7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99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65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16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14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91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A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4F72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B3A6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295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38E2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943C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72AA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6E99A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771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54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FC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3B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7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CD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0D4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73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1C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15C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2D9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DC38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350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C0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5D18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0588D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4F5B2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62B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C17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1B8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D31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4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25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40B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93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0C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841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C40C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578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590F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8683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535.27</w:t>
            </w:r>
          </w:p>
        </w:tc>
        <w:tc>
          <w:tcPr>
            <w:tcW w:w="1128" w:type="dxa"/>
            <w:shd w:val="clear" w:color="auto" w:fill="auto"/>
            <w:vAlign w:val="center"/>
          </w:tcPr>
          <w:p w14:paraId="36434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535.27</w:t>
            </w:r>
          </w:p>
        </w:tc>
        <w:tc>
          <w:tcPr>
            <w:tcW w:w="1082" w:type="dxa"/>
            <w:shd w:val="clear" w:color="auto" w:fill="auto"/>
            <w:vAlign w:val="center"/>
          </w:tcPr>
          <w:p w14:paraId="4DE67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528.27</w:t>
            </w:r>
          </w:p>
        </w:tc>
        <w:tc>
          <w:tcPr>
            <w:tcW w:w="1082" w:type="dxa"/>
            <w:shd w:val="clear" w:color="auto" w:fill="auto"/>
            <w:vAlign w:val="center"/>
          </w:tcPr>
          <w:p w14:paraId="5AF1F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26D42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DA6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61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768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00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1E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A0D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EC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397.24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5E99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AA0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629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907C8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3307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人大事务</w:t>
            </w:r>
          </w:p>
        </w:tc>
        <w:tc>
          <w:tcPr>
            <w:tcW w:w="1306" w:type="dxa"/>
            <w:shd w:val="clear" w:color="auto" w:fill="auto"/>
            <w:vAlign w:val="center"/>
          </w:tcPr>
          <w:p w14:paraId="59633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397.24</w:t>
            </w:r>
          </w:p>
        </w:tc>
        <w:tc>
          <w:tcPr>
            <w:tcW w:w="1306" w:type="dxa"/>
            <w:gridSpan w:val="2"/>
            <w:shd w:val="clear" w:color="auto" w:fill="auto"/>
            <w:vAlign w:val="center"/>
          </w:tcPr>
          <w:p w14:paraId="35705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3FF8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02A1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48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1B6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EA2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E52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DB17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306" w:type="dxa"/>
            <w:gridSpan w:val="2"/>
            <w:shd w:val="clear" w:color="auto" w:fill="auto"/>
            <w:vAlign w:val="center"/>
          </w:tcPr>
          <w:p w14:paraId="36479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3723A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CC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67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B570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77C9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1269E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人大会议</w:t>
            </w:r>
          </w:p>
        </w:tc>
        <w:tc>
          <w:tcPr>
            <w:tcW w:w="1306" w:type="dxa"/>
            <w:shd w:val="clear" w:color="auto" w:fill="auto"/>
            <w:vAlign w:val="center"/>
          </w:tcPr>
          <w:p w14:paraId="00739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6CF25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F4B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7BBF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913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014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4CD8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CDA3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其他人大事务支出</w:t>
            </w:r>
          </w:p>
        </w:tc>
        <w:tc>
          <w:tcPr>
            <w:tcW w:w="1306" w:type="dxa"/>
            <w:shd w:val="clear" w:color="auto" w:fill="auto"/>
            <w:vAlign w:val="center"/>
          </w:tcPr>
          <w:p w14:paraId="20C76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42.00</w:t>
            </w:r>
          </w:p>
        </w:tc>
        <w:tc>
          <w:tcPr>
            <w:tcW w:w="1306" w:type="dxa"/>
            <w:gridSpan w:val="2"/>
            <w:shd w:val="clear" w:color="auto" w:fill="auto"/>
            <w:vAlign w:val="center"/>
          </w:tcPr>
          <w:p w14:paraId="5F603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D2A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42.00</w:t>
            </w:r>
          </w:p>
        </w:tc>
      </w:tr>
      <w:tr w14:paraId="4612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A75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1FE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E27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7248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331E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306" w:type="dxa"/>
            <w:gridSpan w:val="2"/>
            <w:shd w:val="clear" w:color="auto" w:fill="auto"/>
            <w:vAlign w:val="center"/>
          </w:tcPr>
          <w:p w14:paraId="5A495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405" w:type="dxa"/>
            <w:shd w:val="clear" w:color="auto" w:fill="auto"/>
            <w:vAlign w:val="center"/>
          </w:tcPr>
          <w:p w14:paraId="35E78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BA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64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734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6FD0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47D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D00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306" w:type="dxa"/>
            <w:gridSpan w:val="2"/>
            <w:shd w:val="clear" w:color="auto" w:fill="auto"/>
            <w:vAlign w:val="center"/>
          </w:tcPr>
          <w:p w14:paraId="226FB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405" w:type="dxa"/>
            <w:shd w:val="clear" w:color="auto" w:fill="auto"/>
            <w:vAlign w:val="center"/>
          </w:tcPr>
          <w:p w14:paraId="62E4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8D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52ADD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5C9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E286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772D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4432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w:t>
            </w:r>
          </w:p>
        </w:tc>
        <w:tc>
          <w:tcPr>
            <w:tcW w:w="1306" w:type="dxa"/>
            <w:gridSpan w:val="2"/>
            <w:shd w:val="clear" w:color="auto" w:fill="auto"/>
            <w:vAlign w:val="center"/>
          </w:tcPr>
          <w:p w14:paraId="0277E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w:t>
            </w:r>
          </w:p>
        </w:tc>
        <w:tc>
          <w:tcPr>
            <w:tcW w:w="1405" w:type="dxa"/>
            <w:shd w:val="clear" w:color="auto" w:fill="auto"/>
            <w:vAlign w:val="center"/>
          </w:tcPr>
          <w:p w14:paraId="751DD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33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B5DF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087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F85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3C23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7E04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43.53</w:t>
            </w:r>
          </w:p>
        </w:tc>
        <w:tc>
          <w:tcPr>
            <w:tcW w:w="1306" w:type="dxa"/>
            <w:gridSpan w:val="2"/>
            <w:shd w:val="clear" w:color="auto" w:fill="auto"/>
            <w:vAlign w:val="center"/>
          </w:tcPr>
          <w:p w14:paraId="64ABB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43.53</w:t>
            </w:r>
          </w:p>
        </w:tc>
        <w:tc>
          <w:tcPr>
            <w:tcW w:w="1405" w:type="dxa"/>
            <w:shd w:val="clear" w:color="auto" w:fill="auto"/>
            <w:vAlign w:val="center"/>
          </w:tcPr>
          <w:p w14:paraId="3B4B6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89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C05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379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505B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5C3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58F6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306" w:type="dxa"/>
            <w:gridSpan w:val="2"/>
            <w:shd w:val="clear" w:color="auto" w:fill="auto"/>
            <w:vAlign w:val="center"/>
          </w:tcPr>
          <w:p w14:paraId="2F8CC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405" w:type="dxa"/>
            <w:shd w:val="clear" w:color="auto" w:fill="auto"/>
            <w:vAlign w:val="center"/>
          </w:tcPr>
          <w:p w14:paraId="24CC3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B4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C6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8B1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BAB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F1E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71E3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306" w:type="dxa"/>
            <w:gridSpan w:val="2"/>
            <w:shd w:val="clear" w:color="auto" w:fill="auto"/>
            <w:vAlign w:val="center"/>
          </w:tcPr>
          <w:p w14:paraId="25F91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405" w:type="dxa"/>
            <w:shd w:val="clear" w:color="auto" w:fill="auto"/>
            <w:vAlign w:val="center"/>
          </w:tcPr>
          <w:p w14:paraId="10C4A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CB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2D5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7FF3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5F3C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A97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A5BD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18.44</w:t>
            </w:r>
          </w:p>
        </w:tc>
        <w:tc>
          <w:tcPr>
            <w:tcW w:w="1306" w:type="dxa"/>
            <w:gridSpan w:val="2"/>
            <w:shd w:val="clear" w:color="auto" w:fill="auto"/>
            <w:vAlign w:val="center"/>
          </w:tcPr>
          <w:p w14:paraId="79D14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18.44</w:t>
            </w:r>
          </w:p>
        </w:tc>
        <w:tc>
          <w:tcPr>
            <w:tcW w:w="1405" w:type="dxa"/>
            <w:shd w:val="clear" w:color="auto" w:fill="auto"/>
            <w:vAlign w:val="center"/>
          </w:tcPr>
          <w:p w14:paraId="65CA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ED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94A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D50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FDA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844F1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EA13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w:t>
            </w:r>
          </w:p>
        </w:tc>
        <w:tc>
          <w:tcPr>
            <w:tcW w:w="1306" w:type="dxa"/>
            <w:gridSpan w:val="2"/>
            <w:shd w:val="clear" w:color="auto" w:fill="auto"/>
            <w:vAlign w:val="center"/>
          </w:tcPr>
          <w:p w14:paraId="0F0C4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w:t>
            </w:r>
          </w:p>
        </w:tc>
        <w:tc>
          <w:tcPr>
            <w:tcW w:w="1405" w:type="dxa"/>
            <w:shd w:val="clear" w:color="auto" w:fill="auto"/>
            <w:vAlign w:val="center"/>
          </w:tcPr>
          <w:p w14:paraId="014F1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A0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0C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DE0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5B3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D36D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10A4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0AEB6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2C3BE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54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1FD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CDE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23B7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E2D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8A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5E5BD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4AF9E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51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349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631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ECB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10C0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FD99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5D82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3983C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35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AC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31F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144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DB0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FC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535.27</w:t>
            </w:r>
          </w:p>
        </w:tc>
        <w:tc>
          <w:tcPr>
            <w:tcW w:w="1306" w:type="dxa"/>
            <w:gridSpan w:val="2"/>
            <w:shd w:val="clear" w:color="auto" w:fill="auto"/>
            <w:vAlign w:val="center"/>
          </w:tcPr>
          <w:p w14:paraId="6F6F9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473.27</w:t>
            </w:r>
          </w:p>
        </w:tc>
        <w:tc>
          <w:tcPr>
            <w:tcW w:w="1405" w:type="dxa"/>
            <w:shd w:val="clear" w:color="auto" w:fill="auto"/>
            <w:vAlign w:val="center"/>
          </w:tcPr>
          <w:p w14:paraId="1ED83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397.24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397.24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0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CCD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4747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596A7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2CF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90AA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E5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C8C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44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850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2B14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599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55C9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1D2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A21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1EC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7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8D0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B2D2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7296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2F39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C8E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450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013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0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46D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DC8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55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D868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5A4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665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F48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2D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26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32F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2373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BA89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A2A8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FEA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7C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39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CE80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CC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B5D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77652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B4E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E07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3F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01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1AC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3A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F62B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44C4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80.21</w:t>
            </w:r>
          </w:p>
        </w:tc>
        <w:tc>
          <w:tcPr>
            <w:tcW w:w="1063" w:type="dxa"/>
            <w:shd w:val="clear" w:color="auto" w:fill="auto"/>
            <w:vAlign w:val="center"/>
          </w:tcPr>
          <w:p w14:paraId="7FE571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80.21</w:t>
            </w:r>
          </w:p>
        </w:tc>
        <w:tc>
          <w:tcPr>
            <w:tcW w:w="1063" w:type="dxa"/>
            <w:gridSpan w:val="2"/>
            <w:shd w:val="clear" w:color="auto" w:fill="auto"/>
            <w:vAlign w:val="center"/>
          </w:tcPr>
          <w:p w14:paraId="0C252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ED1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05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C80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A5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13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07A0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E3B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29B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B27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0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6DCD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6B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CBBE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9250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w:t>
            </w:r>
          </w:p>
        </w:tc>
        <w:tc>
          <w:tcPr>
            <w:tcW w:w="1063" w:type="dxa"/>
            <w:shd w:val="clear" w:color="auto" w:fill="auto"/>
            <w:vAlign w:val="center"/>
          </w:tcPr>
          <w:p w14:paraId="16608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w:t>
            </w:r>
          </w:p>
        </w:tc>
        <w:tc>
          <w:tcPr>
            <w:tcW w:w="1063" w:type="dxa"/>
            <w:gridSpan w:val="2"/>
            <w:shd w:val="clear" w:color="auto" w:fill="auto"/>
            <w:vAlign w:val="center"/>
          </w:tcPr>
          <w:p w14:paraId="6AFDB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CCB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E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2C1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61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EC5E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2A78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432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91F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2FE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9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EA1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AE1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97BA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C421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DCA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22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CB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5D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0D0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8C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4D8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3CE9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BC9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48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BA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3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C75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585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A8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43FE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7E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3E3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26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8C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4A58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58F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755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4BB02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58C1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324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C93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A9C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7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C12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9881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0C7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969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E03E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EFE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CD0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C8C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264F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B488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66B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3F5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1A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31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E3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A10C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376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737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77F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01A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1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4F2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4231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52B1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EDE2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5157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80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ED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E8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E55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888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8E4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80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35.00</w:t>
            </w:r>
          </w:p>
        </w:tc>
        <w:tc>
          <w:tcPr>
            <w:tcW w:w="1063" w:type="dxa"/>
            <w:shd w:val="clear" w:color="auto" w:fill="auto"/>
            <w:vAlign w:val="center"/>
          </w:tcPr>
          <w:p w14:paraId="26EE36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35.00</w:t>
            </w:r>
          </w:p>
        </w:tc>
        <w:tc>
          <w:tcPr>
            <w:tcW w:w="1063" w:type="dxa"/>
            <w:gridSpan w:val="2"/>
            <w:shd w:val="clear" w:color="auto" w:fill="auto"/>
            <w:vAlign w:val="center"/>
          </w:tcPr>
          <w:p w14:paraId="37B6D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025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D9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23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55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6D4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36BB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488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A46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0B9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9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7D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787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1AC8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B181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13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3D7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72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D52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68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75E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4407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3F46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5F2F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C1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DF6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D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6C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559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71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5BFE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298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0C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469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A3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95D2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6AA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6A8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3F7F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E1A8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A27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582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F4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E0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98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69E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E589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6048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7D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2D0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1A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FF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7B9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D30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487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BFFA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A1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B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D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4E4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878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1D8E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9524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EE6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22D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E66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51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461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C9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BCF8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8D7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C60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222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7B5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71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324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1C5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FA7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11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4DE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4C7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CC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00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9A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EF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A82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7A0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757D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32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B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13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C3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D38F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6B986E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F42D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1063" w:type="dxa"/>
            <w:shd w:val="clear" w:color="auto" w:fill="auto"/>
            <w:vAlign w:val="center"/>
          </w:tcPr>
          <w:p w14:paraId="37871A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1063" w:type="dxa"/>
            <w:gridSpan w:val="2"/>
            <w:shd w:val="clear" w:color="auto" w:fill="auto"/>
            <w:vAlign w:val="center"/>
          </w:tcPr>
          <w:p w14:paraId="4A9CE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AE5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397.24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r w14:paraId="5C5C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5D0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23F6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82FB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5F30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人大事务</w:t>
            </w:r>
          </w:p>
        </w:tc>
        <w:tc>
          <w:tcPr>
            <w:tcW w:w="1367" w:type="dxa"/>
            <w:shd w:val="clear" w:color="auto" w:fill="auto"/>
            <w:vAlign w:val="center"/>
          </w:tcPr>
          <w:p w14:paraId="356FF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397.24</w:t>
            </w:r>
          </w:p>
        </w:tc>
        <w:tc>
          <w:tcPr>
            <w:tcW w:w="1366" w:type="dxa"/>
            <w:gridSpan w:val="2"/>
            <w:shd w:val="clear" w:color="auto" w:fill="auto"/>
            <w:vAlign w:val="center"/>
          </w:tcPr>
          <w:p w14:paraId="11D6C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2FCB0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r w14:paraId="72B8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3ADA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30CF0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00956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9C3A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B652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366" w:type="dxa"/>
            <w:gridSpan w:val="2"/>
            <w:shd w:val="clear" w:color="auto" w:fill="auto"/>
            <w:vAlign w:val="center"/>
          </w:tcPr>
          <w:p w14:paraId="2B816D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4281A8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2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82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6C689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3C3DC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45AE1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人大会议</w:t>
            </w:r>
          </w:p>
        </w:tc>
        <w:tc>
          <w:tcPr>
            <w:tcW w:w="1367" w:type="dxa"/>
            <w:shd w:val="clear" w:color="auto" w:fill="auto"/>
            <w:vAlign w:val="center"/>
          </w:tcPr>
          <w:p w14:paraId="4F7A0E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17FD5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321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3AA3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E45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E056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78B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015C0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其他人大事务支出</w:t>
            </w:r>
          </w:p>
        </w:tc>
        <w:tc>
          <w:tcPr>
            <w:tcW w:w="1367" w:type="dxa"/>
            <w:shd w:val="clear" w:color="auto" w:fill="auto"/>
            <w:vAlign w:val="center"/>
          </w:tcPr>
          <w:p w14:paraId="15337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42.00</w:t>
            </w:r>
          </w:p>
        </w:tc>
        <w:tc>
          <w:tcPr>
            <w:tcW w:w="1366" w:type="dxa"/>
            <w:gridSpan w:val="2"/>
            <w:shd w:val="clear" w:color="auto" w:fill="auto"/>
            <w:vAlign w:val="center"/>
          </w:tcPr>
          <w:p w14:paraId="6EEE9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0BD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42.00</w:t>
            </w:r>
          </w:p>
        </w:tc>
      </w:tr>
      <w:tr w14:paraId="3767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E49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2D7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1E3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71C8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8D997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366" w:type="dxa"/>
            <w:gridSpan w:val="2"/>
            <w:shd w:val="clear" w:color="auto" w:fill="auto"/>
            <w:vAlign w:val="center"/>
          </w:tcPr>
          <w:p w14:paraId="1C0BE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427" w:type="dxa"/>
            <w:shd w:val="clear" w:color="auto" w:fill="auto"/>
            <w:vAlign w:val="center"/>
          </w:tcPr>
          <w:p w14:paraId="41B30E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36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DC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E3F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323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84E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B8663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366" w:type="dxa"/>
            <w:gridSpan w:val="2"/>
            <w:shd w:val="clear" w:color="auto" w:fill="auto"/>
            <w:vAlign w:val="center"/>
          </w:tcPr>
          <w:p w14:paraId="6D4D5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427" w:type="dxa"/>
            <w:shd w:val="clear" w:color="auto" w:fill="auto"/>
            <w:vAlign w:val="center"/>
          </w:tcPr>
          <w:p w14:paraId="3F92A8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1A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B7A2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645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0C35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3F10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09B80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w:t>
            </w:r>
          </w:p>
        </w:tc>
        <w:tc>
          <w:tcPr>
            <w:tcW w:w="1366" w:type="dxa"/>
            <w:gridSpan w:val="2"/>
            <w:shd w:val="clear" w:color="auto" w:fill="auto"/>
            <w:vAlign w:val="center"/>
          </w:tcPr>
          <w:p w14:paraId="5F21B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w:t>
            </w:r>
          </w:p>
        </w:tc>
        <w:tc>
          <w:tcPr>
            <w:tcW w:w="1427" w:type="dxa"/>
            <w:shd w:val="clear" w:color="auto" w:fill="auto"/>
            <w:vAlign w:val="center"/>
          </w:tcPr>
          <w:p w14:paraId="63FB3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52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CA64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FD85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FAF7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FB86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A8D84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43.53</w:t>
            </w:r>
          </w:p>
        </w:tc>
        <w:tc>
          <w:tcPr>
            <w:tcW w:w="1366" w:type="dxa"/>
            <w:gridSpan w:val="2"/>
            <w:shd w:val="clear" w:color="auto" w:fill="auto"/>
            <w:vAlign w:val="center"/>
          </w:tcPr>
          <w:p w14:paraId="1FA4DA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43.53</w:t>
            </w:r>
          </w:p>
        </w:tc>
        <w:tc>
          <w:tcPr>
            <w:tcW w:w="1427" w:type="dxa"/>
            <w:shd w:val="clear" w:color="auto" w:fill="auto"/>
            <w:vAlign w:val="center"/>
          </w:tcPr>
          <w:p w14:paraId="1D678E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F9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0A8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9DC5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9164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CCA3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2CB43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366" w:type="dxa"/>
            <w:gridSpan w:val="2"/>
            <w:shd w:val="clear" w:color="auto" w:fill="auto"/>
            <w:vAlign w:val="center"/>
          </w:tcPr>
          <w:p w14:paraId="4944EA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427" w:type="dxa"/>
            <w:shd w:val="clear" w:color="auto" w:fill="auto"/>
            <w:vAlign w:val="center"/>
          </w:tcPr>
          <w:p w14:paraId="7B799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33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D6E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CB6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E5E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47E6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37C39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366" w:type="dxa"/>
            <w:gridSpan w:val="2"/>
            <w:shd w:val="clear" w:color="auto" w:fill="auto"/>
            <w:vAlign w:val="center"/>
          </w:tcPr>
          <w:p w14:paraId="37CEFE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427" w:type="dxa"/>
            <w:shd w:val="clear" w:color="auto" w:fill="auto"/>
            <w:vAlign w:val="center"/>
          </w:tcPr>
          <w:p w14:paraId="6E277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6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116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9E001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514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C79AC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7E04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18.44</w:t>
            </w:r>
          </w:p>
        </w:tc>
        <w:tc>
          <w:tcPr>
            <w:tcW w:w="1366" w:type="dxa"/>
            <w:gridSpan w:val="2"/>
            <w:shd w:val="clear" w:color="auto" w:fill="auto"/>
            <w:vAlign w:val="center"/>
          </w:tcPr>
          <w:p w14:paraId="004FA3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18.44</w:t>
            </w:r>
          </w:p>
        </w:tc>
        <w:tc>
          <w:tcPr>
            <w:tcW w:w="1427" w:type="dxa"/>
            <w:shd w:val="clear" w:color="auto" w:fill="auto"/>
            <w:vAlign w:val="center"/>
          </w:tcPr>
          <w:p w14:paraId="190807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BC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11B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E2FEF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AE1A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F799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6E3B0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4.38</w:t>
            </w:r>
          </w:p>
        </w:tc>
        <w:tc>
          <w:tcPr>
            <w:tcW w:w="1366" w:type="dxa"/>
            <w:gridSpan w:val="2"/>
            <w:shd w:val="clear" w:color="auto" w:fill="auto"/>
            <w:vAlign w:val="center"/>
          </w:tcPr>
          <w:p w14:paraId="769F32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4.38</w:t>
            </w:r>
          </w:p>
        </w:tc>
        <w:tc>
          <w:tcPr>
            <w:tcW w:w="1427" w:type="dxa"/>
            <w:shd w:val="clear" w:color="auto" w:fill="auto"/>
            <w:vAlign w:val="center"/>
          </w:tcPr>
          <w:p w14:paraId="3FDB9C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CB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15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266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2334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9C10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316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7C5C1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175B40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DB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11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B3A7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D6E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BDF7D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8D3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2A396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5BBBE5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19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42B4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B5D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74699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08AAB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8732B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17F5AA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290B9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9F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0EA8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4E9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7E5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DCD7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3A9F0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535.27</w:t>
            </w:r>
          </w:p>
        </w:tc>
        <w:tc>
          <w:tcPr>
            <w:tcW w:w="1366" w:type="dxa"/>
            <w:gridSpan w:val="2"/>
            <w:shd w:val="clear" w:color="auto" w:fill="auto"/>
            <w:vAlign w:val="center"/>
          </w:tcPr>
          <w:p w14:paraId="29809F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473.27</w:t>
            </w:r>
          </w:p>
        </w:tc>
        <w:tc>
          <w:tcPr>
            <w:tcW w:w="1427" w:type="dxa"/>
            <w:shd w:val="clear" w:color="auto" w:fill="auto"/>
            <w:vAlign w:val="center"/>
          </w:tcPr>
          <w:p w14:paraId="7F1749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5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457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ED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7AF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F76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93.92</w:t>
            </w:r>
          </w:p>
        </w:tc>
        <w:tc>
          <w:tcPr>
            <w:tcW w:w="1366" w:type="dxa"/>
            <w:gridSpan w:val="2"/>
            <w:shd w:val="clear" w:color="auto" w:fill="auto"/>
            <w:vAlign w:val="center"/>
          </w:tcPr>
          <w:p w14:paraId="0522A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93.92</w:t>
            </w:r>
          </w:p>
        </w:tc>
        <w:tc>
          <w:tcPr>
            <w:tcW w:w="1427" w:type="dxa"/>
            <w:shd w:val="clear" w:color="auto" w:fill="auto"/>
            <w:vAlign w:val="center"/>
          </w:tcPr>
          <w:p w14:paraId="23002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55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DF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E44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4B4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EBC7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81.64</w:t>
            </w:r>
          </w:p>
        </w:tc>
        <w:tc>
          <w:tcPr>
            <w:tcW w:w="1366" w:type="dxa"/>
            <w:gridSpan w:val="2"/>
            <w:shd w:val="clear" w:color="auto" w:fill="auto"/>
            <w:vAlign w:val="center"/>
          </w:tcPr>
          <w:p w14:paraId="3656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81.64</w:t>
            </w:r>
          </w:p>
        </w:tc>
        <w:tc>
          <w:tcPr>
            <w:tcW w:w="1427" w:type="dxa"/>
            <w:shd w:val="clear" w:color="auto" w:fill="auto"/>
            <w:vAlign w:val="center"/>
          </w:tcPr>
          <w:p w14:paraId="3CFEE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DA8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F56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C33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20F3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F98B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58.78</w:t>
            </w:r>
          </w:p>
        </w:tc>
        <w:tc>
          <w:tcPr>
            <w:tcW w:w="1366" w:type="dxa"/>
            <w:gridSpan w:val="2"/>
            <w:shd w:val="clear" w:color="auto" w:fill="auto"/>
            <w:vAlign w:val="center"/>
          </w:tcPr>
          <w:p w14:paraId="412FF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58.78</w:t>
            </w:r>
          </w:p>
        </w:tc>
        <w:tc>
          <w:tcPr>
            <w:tcW w:w="1427" w:type="dxa"/>
            <w:shd w:val="clear" w:color="auto" w:fill="auto"/>
            <w:vAlign w:val="center"/>
          </w:tcPr>
          <w:p w14:paraId="481C7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C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C5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6EE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658B0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DAA4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43.53</w:t>
            </w:r>
          </w:p>
        </w:tc>
        <w:tc>
          <w:tcPr>
            <w:tcW w:w="1366" w:type="dxa"/>
            <w:gridSpan w:val="2"/>
            <w:shd w:val="clear" w:color="auto" w:fill="auto"/>
            <w:vAlign w:val="center"/>
          </w:tcPr>
          <w:p w14:paraId="768A9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43.53</w:t>
            </w:r>
          </w:p>
        </w:tc>
        <w:tc>
          <w:tcPr>
            <w:tcW w:w="1427" w:type="dxa"/>
            <w:shd w:val="clear" w:color="auto" w:fill="auto"/>
            <w:vAlign w:val="center"/>
          </w:tcPr>
          <w:p w14:paraId="0E3BC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F9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00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BD4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2B6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7A2B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18.44</w:t>
            </w:r>
          </w:p>
        </w:tc>
        <w:tc>
          <w:tcPr>
            <w:tcW w:w="1366" w:type="dxa"/>
            <w:gridSpan w:val="2"/>
            <w:shd w:val="clear" w:color="auto" w:fill="auto"/>
            <w:vAlign w:val="center"/>
          </w:tcPr>
          <w:p w14:paraId="761C7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18.44</w:t>
            </w:r>
          </w:p>
        </w:tc>
        <w:tc>
          <w:tcPr>
            <w:tcW w:w="1427" w:type="dxa"/>
            <w:shd w:val="clear" w:color="auto" w:fill="auto"/>
            <w:vAlign w:val="center"/>
          </w:tcPr>
          <w:p w14:paraId="4FC92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A5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CF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912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90F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F4B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366" w:type="dxa"/>
            <w:gridSpan w:val="2"/>
            <w:shd w:val="clear" w:color="auto" w:fill="auto"/>
            <w:vAlign w:val="center"/>
          </w:tcPr>
          <w:p w14:paraId="0DB3B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427" w:type="dxa"/>
            <w:shd w:val="clear" w:color="auto" w:fill="auto"/>
            <w:vAlign w:val="center"/>
          </w:tcPr>
          <w:p w14:paraId="01E5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32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AA0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3D2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6F4C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DC7D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366" w:type="dxa"/>
            <w:gridSpan w:val="2"/>
            <w:shd w:val="clear" w:color="auto" w:fill="auto"/>
            <w:vAlign w:val="center"/>
          </w:tcPr>
          <w:p w14:paraId="7BF6D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427" w:type="dxa"/>
            <w:shd w:val="clear" w:color="auto" w:fill="auto"/>
            <w:vAlign w:val="center"/>
          </w:tcPr>
          <w:p w14:paraId="46BB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5C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5FB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9AC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C33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5948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35.00</w:t>
            </w:r>
          </w:p>
        </w:tc>
        <w:tc>
          <w:tcPr>
            <w:tcW w:w="1366" w:type="dxa"/>
            <w:gridSpan w:val="2"/>
            <w:shd w:val="clear" w:color="auto" w:fill="auto"/>
            <w:vAlign w:val="center"/>
          </w:tcPr>
          <w:p w14:paraId="771B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35.00</w:t>
            </w:r>
          </w:p>
        </w:tc>
        <w:tc>
          <w:tcPr>
            <w:tcW w:w="1427" w:type="dxa"/>
            <w:shd w:val="clear" w:color="auto" w:fill="auto"/>
            <w:vAlign w:val="center"/>
          </w:tcPr>
          <w:p w14:paraId="2C2AF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3D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0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149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4288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CE5C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58.99</w:t>
            </w:r>
          </w:p>
        </w:tc>
        <w:tc>
          <w:tcPr>
            <w:tcW w:w="1366" w:type="dxa"/>
            <w:gridSpan w:val="2"/>
            <w:shd w:val="clear" w:color="auto" w:fill="auto"/>
            <w:vAlign w:val="center"/>
          </w:tcPr>
          <w:p w14:paraId="3923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58.99</w:t>
            </w:r>
          </w:p>
        </w:tc>
        <w:tc>
          <w:tcPr>
            <w:tcW w:w="1427" w:type="dxa"/>
            <w:shd w:val="clear" w:color="auto" w:fill="auto"/>
            <w:vAlign w:val="center"/>
          </w:tcPr>
          <w:p w14:paraId="74CA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6D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2E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0A5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0A4BD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2B25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c>
          <w:tcPr>
            <w:tcW w:w="1366" w:type="dxa"/>
            <w:gridSpan w:val="2"/>
            <w:shd w:val="clear" w:color="auto" w:fill="auto"/>
            <w:vAlign w:val="center"/>
          </w:tcPr>
          <w:p w14:paraId="7DF79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A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r>
      <w:tr w14:paraId="5494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E5F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6C2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216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F782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14.57</w:t>
            </w:r>
          </w:p>
        </w:tc>
        <w:tc>
          <w:tcPr>
            <w:tcW w:w="1366" w:type="dxa"/>
            <w:gridSpan w:val="2"/>
            <w:shd w:val="clear" w:color="auto" w:fill="auto"/>
            <w:vAlign w:val="center"/>
          </w:tcPr>
          <w:p w14:paraId="0AFA6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DB7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14.57</w:t>
            </w:r>
          </w:p>
        </w:tc>
      </w:tr>
      <w:tr w14:paraId="4DDD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15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BA2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3208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59F1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30B93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EA8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92B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DE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72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307D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8553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4AA1A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FE1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r>
      <w:tr w14:paraId="68AA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D5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F8C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1D15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0365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w:t>
            </w:r>
          </w:p>
        </w:tc>
        <w:tc>
          <w:tcPr>
            <w:tcW w:w="1366" w:type="dxa"/>
            <w:gridSpan w:val="2"/>
            <w:shd w:val="clear" w:color="auto" w:fill="auto"/>
            <w:vAlign w:val="center"/>
          </w:tcPr>
          <w:p w14:paraId="6445A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8A3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w:t>
            </w:r>
          </w:p>
        </w:tc>
      </w:tr>
      <w:tr w14:paraId="4F9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F6F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8D4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34E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C9AA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c>
          <w:tcPr>
            <w:tcW w:w="1366" w:type="dxa"/>
            <w:gridSpan w:val="2"/>
            <w:shd w:val="clear" w:color="auto" w:fill="auto"/>
            <w:vAlign w:val="center"/>
          </w:tcPr>
          <w:p w14:paraId="1402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FF3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r>
      <w:tr w14:paraId="295A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C7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C83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56E2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08B3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366" w:type="dxa"/>
            <w:gridSpan w:val="2"/>
            <w:shd w:val="clear" w:color="auto" w:fill="auto"/>
            <w:vAlign w:val="center"/>
          </w:tcPr>
          <w:p w14:paraId="24B0E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3CA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r>
      <w:tr w14:paraId="670B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56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D6C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D5F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C169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37.05</w:t>
            </w:r>
          </w:p>
        </w:tc>
        <w:tc>
          <w:tcPr>
            <w:tcW w:w="1366" w:type="dxa"/>
            <w:gridSpan w:val="2"/>
            <w:shd w:val="clear" w:color="auto" w:fill="auto"/>
            <w:vAlign w:val="center"/>
          </w:tcPr>
          <w:p w14:paraId="7E333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37.05</w:t>
            </w:r>
          </w:p>
        </w:tc>
        <w:tc>
          <w:tcPr>
            <w:tcW w:w="1427" w:type="dxa"/>
            <w:shd w:val="clear" w:color="auto" w:fill="auto"/>
            <w:vAlign w:val="center"/>
          </w:tcPr>
          <w:p w14:paraId="57C75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F9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EF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5F6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60F6E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0B3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w:t>
            </w:r>
          </w:p>
        </w:tc>
        <w:tc>
          <w:tcPr>
            <w:tcW w:w="1366" w:type="dxa"/>
            <w:gridSpan w:val="2"/>
            <w:shd w:val="clear" w:color="auto" w:fill="auto"/>
            <w:vAlign w:val="center"/>
          </w:tcPr>
          <w:p w14:paraId="2E08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w:t>
            </w:r>
          </w:p>
        </w:tc>
        <w:tc>
          <w:tcPr>
            <w:tcW w:w="1427" w:type="dxa"/>
            <w:shd w:val="clear" w:color="auto" w:fill="auto"/>
            <w:vAlign w:val="center"/>
          </w:tcPr>
          <w:p w14:paraId="43357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4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88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2232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3C3B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FB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091E3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05D48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B6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2C6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52D9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39C52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F412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473.27</w:t>
            </w:r>
          </w:p>
        </w:tc>
        <w:tc>
          <w:tcPr>
            <w:tcW w:w="1366" w:type="dxa"/>
            <w:gridSpan w:val="2"/>
            <w:shd w:val="clear" w:color="auto" w:fill="auto"/>
            <w:vAlign w:val="center"/>
          </w:tcPr>
          <w:p w14:paraId="5309D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432.54</w:t>
            </w:r>
          </w:p>
        </w:tc>
        <w:tc>
          <w:tcPr>
            <w:tcW w:w="1427" w:type="dxa"/>
            <w:shd w:val="clear" w:color="auto" w:fill="auto"/>
            <w:vAlign w:val="center"/>
          </w:tcPr>
          <w:p w14:paraId="2D494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AB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5ED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12F6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4A4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14C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人大事务</w:t>
            </w:r>
          </w:p>
        </w:tc>
        <w:tc>
          <w:tcPr>
            <w:tcW w:w="2073" w:type="dxa"/>
            <w:shd w:val="clear" w:color="auto" w:fill="auto"/>
            <w:vAlign w:val="center"/>
          </w:tcPr>
          <w:p w14:paraId="302030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D85E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767BF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D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49F43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38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5A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62C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79E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8AD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D3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B65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8A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D54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63A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6D8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B9FDD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人大会议</w:t>
            </w:r>
          </w:p>
        </w:tc>
        <w:tc>
          <w:tcPr>
            <w:tcW w:w="2073" w:type="dxa"/>
            <w:shd w:val="clear" w:color="auto" w:fill="auto"/>
            <w:vAlign w:val="center"/>
          </w:tcPr>
          <w:p w14:paraId="1975BA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人大综合业务经费</w:t>
            </w:r>
          </w:p>
        </w:tc>
        <w:tc>
          <w:tcPr>
            <w:tcW w:w="881" w:type="dxa"/>
            <w:shd w:val="clear" w:color="auto" w:fill="auto"/>
            <w:vAlign w:val="center"/>
          </w:tcPr>
          <w:p w14:paraId="3FC70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19DF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EE3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4D01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1D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F1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D4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CD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BD4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53C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4A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6F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A26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497D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2CC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10AD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其他人大事务支出</w:t>
            </w:r>
          </w:p>
        </w:tc>
        <w:tc>
          <w:tcPr>
            <w:tcW w:w="2073" w:type="dxa"/>
            <w:shd w:val="clear" w:color="auto" w:fill="auto"/>
            <w:vAlign w:val="center"/>
          </w:tcPr>
          <w:p w14:paraId="343868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2025年自治区基层人大补助经费</w:t>
            </w:r>
          </w:p>
        </w:tc>
        <w:tc>
          <w:tcPr>
            <w:tcW w:w="881" w:type="dxa"/>
            <w:shd w:val="clear" w:color="auto" w:fill="auto"/>
            <w:vAlign w:val="center"/>
          </w:tcPr>
          <w:p w14:paraId="2DC9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445DD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32C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37A2C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2C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D8A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1C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A18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CA4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A3C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804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8B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07F5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00FF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7426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6668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其他人大事务支出</w:t>
            </w:r>
          </w:p>
        </w:tc>
        <w:tc>
          <w:tcPr>
            <w:tcW w:w="2073" w:type="dxa"/>
            <w:shd w:val="clear" w:color="auto" w:fill="auto"/>
            <w:vAlign w:val="center"/>
          </w:tcPr>
          <w:p w14:paraId="67750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人大综合业务经费</w:t>
            </w:r>
          </w:p>
        </w:tc>
        <w:tc>
          <w:tcPr>
            <w:tcW w:w="881" w:type="dxa"/>
            <w:shd w:val="clear" w:color="auto" w:fill="auto"/>
            <w:vAlign w:val="center"/>
          </w:tcPr>
          <w:p w14:paraId="5307A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2B9E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28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A1F7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CF8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1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B29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534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7E2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815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B0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69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CE6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2534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A345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E2C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2D3F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3E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6F368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2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4109A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599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9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7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5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D62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A66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544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托克逊县人民代表大会常务委员会2025年没有使用政府性基金预算拨款安排的支出，政府性基金预算支出情况表为空表。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托克逊县人民代表大会常务委员会2025年没有使用国有资本经营预算拨款安排的支出，国有资本经营预算支出情况表为空表。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297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F92B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3E40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36C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AFF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2F45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BD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661A6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CE5C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BE9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5DE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FB66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11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B598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A2BC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329C0A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15F318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1F8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AA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D7C3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EA5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55E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0B38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673D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0C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6180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79EBC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468B6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EA7A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44D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托克逊县人民代表大会常务委员会2025年没有上年结转结余预算安排的支出，上年结转结余情况明细表为空表。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按照全口径预算的原则，托克逊县人民代表大会常务委员会2025年所有收入和支出均纳入单位预算管理。收支总预算535.27万元。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托克逊县人民代表大会常务委员会单位收入预算535.27万元，其中：</w:t>
      </w:r>
    </w:p>
    <w:p w14:paraId="1230CB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一般公共预算528.27万元，占98.69%，比上年预算增加11.48万元，增长2.22%，主要原因是本年基本工资调标在职人员工资、社保、公积金等增加，退休人员绩效奖标准提高。</w:t>
      </w:r>
    </w:p>
    <w:p w14:paraId="059C87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上级一般公共预算安排的转移支付7.00万元，占1.31%，比上年预算增加0.00万元，增长0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%，主要原因是基层人大补助经费专项资金</w:t>
      </w:r>
      <w:r>
        <w:rPr>
          <w:rFonts w:hint="eastAsia" w:ascii="仿宋" w:hAnsi="微软雅黑" w:eastAsia="仿宋"/>
          <w:sz w:val="28"/>
          <w:szCs w:val="28"/>
          <w:lang w:val="en-US" w:eastAsia="zh-CN"/>
        </w:rPr>
        <w:t>与上年度持平</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无变化。</w:t>
      </w:r>
    </w:p>
    <w:p w14:paraId="50DE8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CBBC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D658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029E7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CD60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%，主要原因是该资金为2017年湖南省郴州人大拨付的帮扶资金，2024年已全部支付。</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托克逊县人民代表大会常务委员会2025年支出预算535.27万元，其中：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基本支出473.27万元，占88.42%，比上年预算增加16.48万元，增长3.61%，主要原因是本年基本工资调标在职人员工资、社保、公积金等增加，退休人员绩效奖标准提高，导致本年支出预算增加。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项目支出62.00万元，占11.58%，比上年预算减少35.00万元，下降36.08%，主要原因是2017年湖南省郴州人大拨付的帮扶资金2024年已全部支付，结转项目减少，导致项目支出预算下降。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2025年财政拨款收支总预算535.27万元。</w:t>
      </w:r>
    </w:p>
    <w:p w14:paraId="675F02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F44A8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收入预算包括：一般公共预算拨款535.27万元。</w:t>
      </w:r>
    </w:p>
    <w:p w14:paraId="7402DF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397.24万元，主要用于保障单位正常运行的人员经费、公用经费支出；社会保障和就业支出80.21万元，主要用于单位人员社保缴费支出；卫生健康支出22.82万元，主要用于单位人员医疗保险缴费支出；住房保障支出35.00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1BDB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托克逊县人民代表大会常务委员会2025年一般公共预算拨款合计535.27万元，其中：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基本支出473.27万元，比上年预算增加16.48万元，增长3.61%。主要原因是：本年基本工资调标在职人员工资、社保、公积金等增加，退休人员绩效奖标准提高，导致本年支出预算增加。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项目支出62.00万元，比上年预算减少5.00万元,下降7.46%。主要原因是：为贯彻落实政府过紧日子思想，压缩部分会议支出预算。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1、一般公共服务支出(类)397.24万元，占74.21%。</w:t>
      </w:r>
    </w:p>
    <w:p w14:paraId="5890B9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2、社会保障和就业支出(类)80.21万元，占14.98%。</w:t>
      </w:r>
    </w:p>
    <w:p w14:paraId="6B621C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3、卫生健康支出(类)22.82万元，占4.26%。</w:t>
      </w:r>
    </w:p>
    <w:p w14:paraId="06617F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4、住房保障支出(类)35.00万元，占6.54%。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1.一般公共服务支出（类）人大事务（款）行政运行（项）2025年预算数为335.24万元，比上年预算增加10.25万元，增长3.15%，主要原因是：本年基本工资调标，</w:t>
      </w:r>
      <w:r>
        <w:rPr>
          <w:rFonts w:hint="eastAsia" w:ascii="仿宋" w:hAnsi="微软雅黑" w:eastAsia="仿宋"/>
          <w:sz w:val="28"/>
          <w:szCs w:val="28"/>
          <w:lang w:val="en-US" w:eastAsia="zh-CN"/>
        </w:rPr>
        <w:t>相应人员经费、公用经费</w:t>
      </w:r>
      <w:r>
        <w:rPr>
          <w:rFonts w:hint="eastAsia" w:ascii="仿宋" w:hAnsi="微软雅黑" w:eastAsia="仿宋"/>
          <w:sz w:val="28"/>
          <w:szCs w:val="28"/>
        </w:rPr>
        <w:t>预算增加。</w:t>
      </w:r>
    </w:p>
    <w:p w14:paraId="2B71BF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2.一般公共服务支出（类）人大事务（款）人大会议（项）2025年预算数为20.00万元，比上年预算减少9.00万元，下降31.03%，主要原因是：2025年人大综合业务项目预算较上年减少。</w:t>
      </w:r>
    </w:p>
    <w:p w14:paraId="63BBF9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3.一般公共服务支出（类）人大事务（款）其他人大事务支出（项）2025年预算数为42.00万元，比上年预算增加4.00万元，增长10.53%，主要原因是：自治区基层人大补助经费较上年有所增加。</w:t>
      </w:r>
    </w:p>
    <w:p w14:paraId="75841B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36.68万元，比上年预算增加3.68万元，增长11.15%，主要原因是：我单位新增退休人员1名，退休人员绩效奖预算较上年增加。</w:t>
      </w:r>
    </w:p>
    <w:p w14:paraId="53B05E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43.53万元，比上年预算增加0.92万元，增长2.16%，主要原因是：本年基本工资调标，机关事业单位基本养老保险缴费基数增加。</w:t>
      </w:r>
    </w:p>
    <w:p w14:paraId="66347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6.卫生健康支出（类）行政事业单位医疗（款）行政单位医疗（项）2025年预算数为18.44万元，比上年预算增加0.39万元，增长2.16%，主要原因是：本年基本工资调标，行政单位医疗缴费基数增加。</w:t>
      </w:r>
    </w:p>
    <w:p w14:paraId="356930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7.卫生健康支出（类）行政事业单位医疗（款）公务员医疗补助（项）2025年预算数为4.38万元，比上年预算减少0.04万元，下降0.9</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%，主要原因是：本年调出公务员比调入公务员工资基数高，公务员医疗补助缴费基数减少。</w:t>
      </w:r>
    </w:p>
    <w:p w14:paraId="3B2045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8.住房保障支出（类）住房改革支出（款）住房公积金（项）2025年预算数为35.00万元，比上年预算增加1.28万元，增长3.8</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%，主要原因是：本年基本工资调标，住房公积金缴费基数增加。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托克逊县人民代表大会常务委员会2025年一般公共预算基本支出473.27万元，其中：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432.54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公用经费40.73万元，主要包括：办公费、邮电费、差旅费、工会经费、公务用车运行维护费、其他商品和服务支出。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（一）项目名称：人大综合业务经费</w:t>
      </w:r>
    </w:p>
    <w:p w14:paraId="0AC54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设立的政策依据：《中共全国人大常委会党组关于加强县乡人大工作和建设的若干意见》（中发[2015]18号）。《党政机关厉行节约反对浪费条例》办法第五十三条</w:t>
      </w:r>
    </w:p>
    <w:p w14:paraId="54C0B4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3E2FEC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60A5D6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资金分配情况：人大十八届六次会议20</w:t>
      </w:r>
      <w:r>
        <w:rPr>
          <w:rFonts w:hint="eastAsia" w:ascii="仿宋" w:hAnsi="微软雅黑" w:eastAsia="仿宋"/>
          <w:sz w:val="28"/>
          <w:szCs w:val="28"/>
          <w:lang w:val="en-US" w:eastAsia="zh-CN"/>
        </w:rPr>
        <w:t>.00</w:t>
      </w:r>
      <w:r>
        <w:rPr>
          <w:rFonts w:hint="eastAsia" w:ascii="仿宋" w:hAnsi="微软雅黑" w:eastAsia="仿宋"/>
          <w:sz w:val="28"/>
          <w:szCs w:val="28"/>
        </w:rPr>
        <w:t>万，人大无纸化改造项目25</w:t>
      </w:r>
      <w:r>
        <w:rPr>
          <w:rFonts w:hint="eastAsia" w:ascii="仿宋" w:hAnsi="微软雅黑" w:eastAsia="仿宋"/>
          <w:sz w:val="28"/>
          <w:szCs w:val="28"/>
          <w:lang w:val="en-US" w:eastAsia="zh-CN"/>
        </w:rPr>
        <w:t>.00</w:t>
      </w:r>
      <w:r>
        <w:rPr>
          <w:rFonts w:hint="eastAsia" w:ascii="仿宋" w:hAnsi="微软雅黑" w:eastAsia="仿宋"/>
          <w:sz w:val="28"/>
          <w:szCs w:val="28"/>
        </w:rPr>
        <w:t>万元、办公费10</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eastAsia="zh-CN"/>
        </w:rPr>
        <w:t>。</w:t>
      </w:r>
    </w:p>
    <w:p w14:paraId="4D157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D71A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（二）项目名称：2025年自治区基层人大补助经费</w:t>
      </w:r>
    </w:p>
    <w:p w14:paraId="43129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设立的政策依据：《关于提前下达2025年度自治区基层人大补助经费的通知》（吐市财行[2024]139号）</w:t>
      </w:r>
    </w:p>
    <w:p w14:paraId="3465B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45113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7F061D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资金分配情况：办公费5</w:t>
      </w:r>
      <w:r>
        <w:rPr>
          <w:rFonts w:hint="eastAsia" w:ascii="仿宋" w:hAnsi="微软雅黑" w:eastAsia="仿宋"/>
          <w:sz w:val="28"/>
          <w:szCs w:val="28"/>
          <w:lang w:val="en-US" w:eastAsia="zh-CN"/>
        </w:rPr>
        <w:t>.00</w:t>
      </w:r>
      <w:r>
        <w:rPr>
          <w:rFonts w:hint="eastAsia" w:ascii="仿宋" w:hAnsi="微软雅黑" w:eastAsia="仿宋"/>
          <w:sz w:val="28"/>
          <w:szCs w:val="28"/>
        </w:rPr>
        <w:t>万、培训费2</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eastAsia="zh-CN"/>
        </w:rPr>
        <w:t>。</w:t>
      </w:r>
    </w:p>
    <w:p w14:paraId="7942A0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FDEE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（三）项目名称：人大综合业务经费</w:t>
      </w:r>
    </w:p>
    <w:p w14:paraId="2B683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设立的政策依据：《党政机关厉行节约反对浪费条例》办法第五十三条</w:t>
      </w:r>
    </w:p>
    <w:p w14:paraId="50C6C3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7CD802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11E837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资金分配情况：人大无纸化改造项目25</w:t>
      </w:r>
      <w:r>
        <w:rPr>
          <w:rFonts w:hint="eastAsia" w:ascii="仿宋" w:hAnsi="微软雅黑" w:eastAsia="仿宋"/>
          <w:sz w:val="28"/>
          <w:szCs w:val="28"/>
          <w:lang w:val="en-US" w:eastAsia="zh-CN"/>
        </w:rPr>
        <w:t>.00</w:t>
      </w:r>
      <w:r>
        <w:rPr>
          <w:rFonts w:hint="eastAsia" w:ascii="仿宋" w:hAnsi="微软雅黑" w:eastAsia="仿宋"/>
          <w:sz w:val="28"/>
          <w:szCs w:val="28"/>
        </w:rPr>
        <w:t>万元、办公费10</w:t>
      </w:r>
      <w:r>
        <w:rPr>
          <w:rFonts w:hint="eastAsia" w:ascii="仿宋" w:hAnsi="微软雅黑" w:eastAsia="仿宋"/>
          <w:sz w:val="28"/>
          <w:szCs w:val="28"/>
          <w:lang w:val="en-US" w:eastAsia="zh-CN"/>
        </w:rPr>
        <w:t>.00万元</w:t>
      </w:r>
      <w:r>
        <w:rPr>
          <w:rFonts w:hint="eastAsia" w:ascii="仿宋" w:hAnsi="微软雅黑" w:eastAsia="仿宋"/>
          <w:sz w:val="28"/>
          <w:szCs w:val="28"/>
          <w:lang w:eastAsia="zh-CN"/>
        </w:rPr>
        <w:t>。</w:t>
      </w:r>
    </w:p>
    <w:p w14:paraId="1455CA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托克逊县人民代表大会常务委员会2025年财政拨款“三公”经费数为18.20万元，其中：因公出国（境）费0.00万元，公务用车购置费0.00万元，公务用车运行费18.20万元，公务接待费0.00万元。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万元，增长16.67%，其中：因公出国（境）费增加0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万元，增长16.67%，主要原因是我单位</w:t>
      </w:r>
      <w:r>
        <w:rPr>
          <w:rFonts w:hint="eastAsia" w:ascii="仿宋" w:hAnsi="微软雅黑" w:eastAsia="仿宋"/>
          <w:sz w:val="28"/>
          <w:szCs w:val="28"/>
          <w:lang w:val="en-US" w:eastAsia="zh-CN"/>
        </w:rPr>
        <w:t>调入</w:t>
      </w:r>
      <w:r>
        <w:rPr>
          <w:rFonts w:hint="eastAsia" w:ascii="仿宋" w:hAnsi="微软雅黑" w:eastAsia="仿宋"/>
          <w:sz w:val="28"/>
          <w:szCs w:val="28"/>
          <w:lang w:eastAsia="zh-CN"/>
        </w:rPr>
        <w:t>1辆</w:t>
      </w:r>
      <w:r>
        <w:rPr>
          <w:rFonts w:hint="eastAsia" w:ascii="仿宋" w:hAnsi="微软雅黑" w:eastAsia="仿宋"/>
          <w:sz w:val="28"/>
          <w:szCs w:val="28"/>
          <w:lang w:val="en-US" w:eastAsia="zh-CN"/>
        </w:rPr>
        <w:t>公务用车</w:t>
      </w:r>
      <w:r>
        <w:rPr>
          <w:rFonts w:hint="eastAsia" w:ascii="仿宋" w:hAnsi="微软雅黑" w:eastAsia="仿宋"/>
          <w:sz w:val="28"/>
          <w:szCs w:val="28"/>
          <w:lang w:eastAsia="zh-CN"/>
        </w:rPr>
        <w:t>，导致公务运行维护费预算增加；公务接待费增加0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托克逊县人民代表大会常务委员会2025年的机关运行经费财政拨款预算40.73万元，比上年预算减少0.5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万元，下降1.21%。主要原因是为贯彻落实政府过紧日子思想，本年办公费支出预算减少。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2025年，托克逊县人民代表大会常务委员会政府采购预算56.39万元，其中：政府采购货物预算37.19万元，政府采购工程预算0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万元，政府采购服务预算19.20万元。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2025年托克逊县人民代表大会常务委员会面向中小企业预留政府采购项目预算金额56.39万元，小微企业预留政府采购项目预算金额56.39万元。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截至2024年底，托克逊县人民代表大会常务委员会占用使用国有资产总体情况为：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2.车辆5辆，价值119.26万元；其中：一般公务用车5辆，价值119.26万元；执法执勤用车0辆，价值0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2025年，本单位预算绩效管理整体预算绩效目标1个，涉及预算金额535.27万元；当年预算安排项目共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个，其中:财政拨款项目涉及预算金额62</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托克逊县人民代表大会常务委员会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哈力旦木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15299880018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AEB31A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5C1BED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1106E8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11B937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30E52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目标1：确保托克逊县人大代表十八届第六次会议、常委会等人大会议的召开顺利进行。</w:t>
            </w:r>
          </w:p>
          <w:p w14:paraId="245D01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目标2：通过开展人大代表的培训，培养造就高素质的人大代表，推动社会发展，加强能力建设。</w:t>
            </w:r>
          </w:p>
          <w:p w14:paraId="7CE8DE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目标3：保证人大各项会议所需的办公用品采购和车辆的正常运行。</w:t>
            </w:r>
          </w:p>
          <w:p w14:paraId="46E932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目标4：保证人大调研、视察检查工作的顺利开展，重点检查社会保险法、义务教育法、基本医疗与卫生健康促进法、城乡规划法、自治区农民专业合作社</w:t>
            </w:r>
            <w:r>
              <w:rPr>
                <w:rFonts w:hint="eastAsia" w:ascii="宋体" w:hAnsi="宋体" w:cs="宋体"/>
                <w:i w:val="0"/>
                <w:iCs w:val="0"/>
                <w:color w:val="000000"/>
                <w:sz w:val="18"/>
                <w:szCs w:val="18"/>
                <w:highlight w:val="none"/>
                <w:u w:val="none"/>
                <w:lang w:eastAsia="zh-CN"/>
              </w:rPr>
              <w:t>法</w:t>
            </w:r>
            <w:r>
              <w:rPr>
                <w:rFonts w:hint="eastAsia" w:ascii="宋体" w:hAnsi="宋体" w:eastAsia="宋体" w:cs="宋体"/>
                <w:i w:val="0"/>
                <w:iCs w:val="0"/>
                <w:color w:val="000000"/>
                <w:sz w:val="18"/>
                <w:szCs w:val="18"/>
                <w:highlight w:val="none"/>
                <w:u w:val="none"/>
              </w:rPr>
              <w:t>、法制宣传教育条例、促进政府服务便利化条例和市文明行为促进条例等实施情况。</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目标5：通过代表视察、通报表彰等多种方式，加强对县十八届人民代表大会六次会议代表建议的跟踪督办，推动答复承诺代表事项的解决，不断提高办成率和满意率。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召开人大会议次数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村社区“家室站”巩固提升数量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人大代表建议跟踪督办率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人大建议办理全过程沟通率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2" w:tblpY="-132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A49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47CF9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665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F89E4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04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10D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48C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托克逊县人民代表大会常务委员会</w:t>
            </w:r>
          </w:p>
        </w:tc>
      </w:tr>
      <w:tr w14:paraId="724D3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77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D90C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2025年自治区基层人大补助经费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029A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893A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哈力旦木·依拉音</w:t>
            </w:r>
          </w:p>
        </w:tc>
      </w:tr>
      <w:tr w14:paraId="3CD2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24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E271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BCE57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7.00</w:t>
            </w:r>
          </w:p>
        </w:tc>
        <w:tc>
          <w:tcPr>
            <w:tcW w:w="1455" w:type="dxa"/>
            <w:tcBorders>
              <w:top w:val="single" w:color="000000" w:sz="4" w:space="0"/>
              <w:left w:val="nil"/>
              <w:bottom w:val="single" w:color="000000" w:sz="4" w:space="0"/>
              <w:right w:val="single" w:color="000000" w:sz="4" w:space="0"/>
            </w:tcBorders>
            <w:noWrap w:val="0"/>
            <w:vAlign w:val="center"/>
          </w:tcPr>
          <w:p w14:paraId="19DC2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FFAF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4F5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71F3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FD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C615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0C72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目标1.通过开展人大代表培训不少于3次，提高人大代表履职能力，有效巩固提升63个人大代表联络站的履职功能；</w:t>
            </w:r>
          </w:p>
          <w:p w14:paraId="24CDBC4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目标2.全年预计购买办公用品不少于3批次，有效改善各基层人大工作环境，确保全县人大各项工作正常开展。</w:t>
            </w:r>
          </w:p>
        </w:tc>
      </w:tr>
      <w:tr w14:paraId="1C35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C945E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DD2C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15C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31B7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B35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A1DE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26C2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3622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92AA2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EE7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BF9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3AF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CEF9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938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516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279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E05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8B7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BC9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F5B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7D6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5E57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53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购买办公用品批次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477B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2E9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6D3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3批次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B41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F38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564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D1E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FC7EA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19D31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81D7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巩固提升人大代表联络站数量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F25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2B7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DB6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F3F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A00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C3B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943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09433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CC3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FCD8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人大代表培训参与率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07F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DFA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6020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AA2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672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C0D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AA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0138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4B4BD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261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52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EC4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B9D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ED7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9A7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F4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5CA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D0B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EC2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CEA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5B6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20D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58D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4.47万元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7E8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078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E13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E9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8CE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832F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4132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FA7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026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A5A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58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B72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FFF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E0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796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DAA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C79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提高人大代表履职能力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872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D8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E0A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2B5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29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73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F75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EDE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77FD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C26C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改善各基层人大工作环境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4BF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DE5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E28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703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F9C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FC1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C13467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8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19"/>
        <w:gridCol w:w="809"/>
      </w:tblGrid>
      <w:tr w14:paraId="31C0C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BEAAB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9B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E325B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3F9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D570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30280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托克逊县人民代表大会常务委员会</w:t>
            </w:r>
          </w:p>
        </w:tc>
      </w:tr>
      <w:tr w14:paraId="7D182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111E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D4DC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7410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70CC3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哈力旦木·依拉音</w:t>
            </w:r>
          </w:p>
        </w:tc>
      </w:tr>
      <w:tr w14:paraId="7B91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927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590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C42FF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55.00</w:t>
            </w:r>
          </w:p>
        </w:tc>
        <w:tc>
          <w:tcPr>
            <w:tcW w:w="1455" w:type="dxa"/>
            <w:tcBorders>
              <w:top w:val="single" w:color="000000" w:sz="4" w:space="0"/>
              <w:left w:val="nil"/>
              <w:bottom w:val="single" w:color="000000" w:sz="4" w:space="0"/>
              <w:right w:val="single" w:color="000000" w:sz="4" w:space="0"/>
            </w:tcBorders>
            <w:noWrap w:val="0"/>
            <w:vAlign w:val="center"/>
          </w:tcPr>
          <w:p w14:paraId="7B538D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97A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B52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E3E1A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C3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7DA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32EA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通过组织人大代表开展视察调研不少于5次，保障人大第十八届六次会议顺利召开，有效加强各阶层群众联系团结，促进政策完善，推动民生改善。</w:t>
            </w:r>
          </w:p>
        </w:tc>
      </w:tr>
      <w:tr w14:paraId="5DC08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90960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4F98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BE53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2D1E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7566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03412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B27AE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9" w:type="dxa"/>
            <w:tcBorders>
              <w:top w:val="single" w:color="000000" w:sz="4" w:space="0"/>
              <w:left w:val="single" w:color="000000" w:sz="4" w:space="0"/>
              <w:bottom w:val="single" w:color="auto" w:sz="4" w:space="0"/>
              <w:right w:val="single" w:color="000000" w:sz="4" w:space="0"/>
            </w:tcBorders>
            <w:noWrap w:val="0"/>
            <w:vAlign w:val="center"/>
          </w:tcPr>
          <w:p w14:paraId="020335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41CC8F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F4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040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A8F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970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FEE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1081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8DF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A657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35A2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571AC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7A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CFC7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19308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3CD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人大第十八届六次会议召开次数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93C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20F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0EE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89F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E2C4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5925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FE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C63D1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5D8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B901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68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E8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0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AB3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1F36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78F34C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D5F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04E1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946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B850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51F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3DF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6A4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DD051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CF6B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88C3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7C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90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1D9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0444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8B2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653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5308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4A3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312B9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62ED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892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37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ECC21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137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3F09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68F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0C2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385E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E7ED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F4FA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6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248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AD8B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3453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w:t>
            </w:r>
            <w:r>
              <w:rPr>
                <w:rFonts w:hint="eastAsia" w:ascii="宋体" w:hAnsi="宋体" w:cs="宋体"/>
                <w:i w:val="0"/>
                <w:iCs w:val="0"/>
                <w:color w:val="000000"/>
                <w:kern w:val="0"/>
                <w:sz w:val="18"/>
                <w:szCs w:val="18"/>
                <w:u w:val="none"/>
                <w:lang w:val="en-US" w:eastAsia="zh-CN" w:bidi="ar"/>
              </w:rPr>
              <w:t>指出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70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E25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13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4.5104万元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7C5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7CD7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965A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B1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F63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B45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272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促进政策完善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119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16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131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5B9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98A5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2E47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535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3A51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F6455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37F7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加强各阶层群众联系团结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B1C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66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3C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0AF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00B3E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0D9E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托克逊县人民代表大会常务委员会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192B8"/>
    <w:multiLevelType w:val="singleLevel"/>
    <w:tmpl w:val="B3B192B8"/>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73E9B"/>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0853FCA"/>
    <w:rsid w:val="31BB2DB3"/>
    <w:rsid w:val="31D60DBC"/>
    <w:rsid w:val="3255145A"/>
    <w:rsid w:val="32732A73"/>
    <w:rsid w:val="3284589B"/>
    <w:rsid w:val="3390372F"/>
    <w:rsid w:val="34B06A8B"/>
    <w:rsid w:val="34DD74E5"/>
    <w:rsid w:val="34F053F7"/>
    <w:rsid w:val="352267FD"/>
    <w:rsid w:val="35903303"/>
    <w:rsid w:val="36167CD1"/>
    <w:rsid w:val="36625EF3"/>
    <w:rsid w:val="37717B47"/>
    <w:rsid w:val="37A95DA4"/>
    <w:rsid w:val="38F117B0"/>
    <w:rsid w:val="39F257E0"/>
    <w:rsid w:val="3A0B0650"/>
    <w:rsid w:val="3A1A4D37"/>
    <w:rsid w:val="3A4A0D29"/>
    <w:rsid w:val="3A9839D5"/>
    <w:rsid w:val="3B494EC9"/>
    <w:rsid w:val="3B497682"/>
    <w:rsid w:val="3B752F91"/>
    <w:rsid w:val="3C4B6E34"/>
    <w:rsid w:val="3D2F28A7"/>
    <w:rsid w:val="3D973713"/>
    <w:rsid w:val="3DB22CC1"/>
    <w:rsid w:val="3ED54A78"/>
    <w:rsid w:val="41412BA9"/>
    <w:rsid w:val="41CE3C23"/>
    <w:rsid w:val="43B933E5"/>
    <w:rsid w:val="43E500CC"/>
    <w:rsid w:val="44935E12"/>
    <w:rsid w:val="453250A1"/>
    <w:rsid w:val="453413E7"/>
    <w:rsid w:val="45867919"/>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69620C"/>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55008"/>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2930</Words>
  <Characters>3714</Characters>
  <Lines>0</Lines>
  <Paragraphs>0</Paragraphs>
  <TotalTime>0</TotalTime>
  <ScaleCrop>false</ScaleCrop>
  <LinksUpToDate>false</LinksUpToDate>
  <CharactersWithSpaces>3886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