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托克逊县发展和改革委员会(托克逊县粮食和物资储备局)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843" w:firstLineChars="3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0051C8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研究提出全县国民经济和社会发展战略、中长期规划、年度发展计划，贯彻执行有关国民经济和社会发展方针、政策；统筹协调全县经济社会发展，研究分析经济形势，提出国民经济发展、价格总水平调控和优化重大经济结构的目标、政策，提出综合运用各种经济手段和政策</w:t>
      </w:r>
      <w:r>
        <w:rPr>
          <w:rFonts w:hint="eastAsia" w:ascii="仿宋" w:hAnsi="仿宋" w:eastAsia="仿宋"/>
          <w:color w:val="000000"/>
          <w:sz w:val="28"/>
          <w:szCs w:val="28"/>
          <w:lang w:eastAsia="zh-CN"/>
        </w:rPr>
        <w:t>的调控</w:t>
      </w:r>
      <w:r>
        <w:rPr>
          <w:rFonts w:hint="eastAsia" w:ascii="仿宋" w:hAnsi="仿宋" w:eastAsia="仿宋"/>
          <w:color w:val="000000"/>
          <w:sz w:val="28"/>
          <w:szCs w:val="28"/>
        </w:rPr>
        <w:t>建议。负责县级发展规划、区域规划、空间规划与</w:t>
      </w:r>
      <w:r>
        <w:rPr>
          <w:rFonts w:hint="eastAsia" w:ascii="仿宋" w:hAnsi="仿宋" w:eastAsia="仿宋"/>
          <w:color w:val="000000"/>
          <w:sz w:val="28"/>
          <w:szCs w:val="28"/>
          <w:lang w:eastAsia="zh-CN"/>
        </w:rPr>
        <w:t>县级</w:t>
      </w:r>
      <w:r>
        <w:rPr>
          <w:rFonts w:hint="eastAsia" w:ascii="仿宋" w:hAnsi="仿宋" w:eastAsia="仿宋"/>
          <w:color w:val="000000"/>
          <w:sz w:val="28"/>
          <w:szCs w:val="28"/>
        </w:rPr>
        <w:t>发展规划的统筹衔接；起草国民经济和社会发展、经济体制改革、对外开放的有关草案</w:t>
      </w:r>
      <w:r>
        <w:rPr>
          <w:rFonts w:hint="eastAsia" w:ascii="仿宋" w:hAnsi="仿宋" w:eastAsia="仿宋"/>
          <w:color w:val="000000"/>
          <w:sz w:val="28"/>
          <w:szCs w:val="28"/>
          <w:lang w:eastAsia="zh-CN"/>
        </w:rPr>
        <w:t>和</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规范性文件。</w:t>
      </w:r>
    </w:p>
    <w:p w14:paraId="0E2B81D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提出加快建设现代化经济体系、推动高质量发展的总体目标、重大任务以及相关政策。组织开展重大战略规划、重大政策、重大工程等评估督导，提出相关调整建议。</w:t>
      </w:r>
    </w:p>
    <w:p w14:paraId="5AB6738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统筹提出国民经济和社会发展主要目标，负责监测预测宏观经济和社会发展</w:t>
      </w:r>
      <w:r>
        <w:rPr>
          <w:rFonts w:hint="eastAsia" w:ascii="仿宋" w:hAnsi="仿宋" w:eastAsia="仿宋"/>
          <w:color w:val="000000"/>
          <w:sz w:val="28"/>
          <w:szCs w:val="28"/>
          <w:lang w:eastAsia="zh-CN"/>
        </w:rPr>
        <w:t>态势</w:t>
      </w:r>
      <w:r>
        <w:rPr>
          <w:rFonts w:hint="eastAsia" w:ascii="仿宋" w:hAnsi="仿宋" w:eastAsia="仿宋"/>
          <w:color w:val="000000"/>
          <w:sz w:val="28"/>
          <w:szCs w:val="28"/>
        </w:rPr>
        <w:t>，提出宏观调控政策建议。综合协调宏观经济政策，牵头研究宏观经济应对措施。调节经济运行，协调经济运行中的重大问题。拟订并组织实施有关价格政策；组织制定少数由政府管理的重要商品、服务价格和收费项目、标准等。参与拟订财政政策、金融政策和土地政策。</w:t>
      </w:r>
    </w:p>
    <w:p w14:paraId="174FC4A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指导推进和综合协调经济体制改革有关工作，提出相关改革建议。牵头推进供给侧结构性改革。协调推进产权制度和要素市场化配置改革。落实市场准入负面清单制度。牵头推进优化营商环境工作。</w:t>
      </w:r>
    </w:p>
    <w:p w14:paraId="1FDA37D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提出利用外资和境外投资的战略、规划、总量平衡和结构优化政策，牵头推进实施“一带一路”建设，承担统筹协调走出去有关工作，会同有关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贯彻落实外商投资准入负面清单。</w:t>
      </w:r>
    </w:p>
    <w:p w14:paraId="73DD181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lang w:val="en-US" w:eastAsia="zh-CN"/>
        </w:rPr>
        <w:t>负责投资综合管理，拟订全社会固定资产投资总规模、结构调控目标和政策。申报和下达中央预算内投资计划；安排县级财政预算内固定资产投资计划，按规定权限审批、核准、备案、审核重大项目。规划重大建设项目和生产力布局。拟订并推动落实鼓励民间投资政策措施。</w:t>
      </w:r>
    </w:p>
    <w:p w14:paraId="48F5771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推进落实区域协调发展战略、新型城镇化战略和重大政策，组织拟订相关区域规划和政策。统筹推进实施国家、自治区重大区域发展战略。组织实施</w:t>
      </w:r>
      <w:r>
        <w:rPr>
          <w:rFonts w:hint="eastAsia" w:ascii="仿宋" w:hAnsi="仿宋" w:eastAsia="仿宋"/>
          <w:color w:val="000000"/>
          <w:sz w:val="28"/>
          <w:szCs w:val="28"/>
          <w:lang w:eastAsia="zh-CN"/>
        </w:rPr>
        <w:t>易地扶贫搬迁</w:t>
      </w:r>
      <w:r>
        <w:rPr>
          <w:rFonts w:hint="eastAsia" w:ascii="仿宋" w:hAnsi="仿宋" w:eastAsia="仿宋"/>
          <w:color w:val="000000"/>
          <w:sz w:val="28"/>
          <w:szCs w:val="28"/>
        </w:rPr>
        <w:t>等。统筹协调区域合作和对口支援工作。组织编制并推动实施新型城镇化规划。</w:t>
      </w:r>
    </w:p>
    <w:p w14:paraId="22E9BE3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组织拟订综合性产业政策。协调一</w:t>
      </w:r>
      <w:r>
        <w:rPr>
          <w:rFonts w:hint="eastAsia" w:ascii="仿宋" w:hAnsi="仿宋" w:eastAsia="仿宋"/>
          <w:color w:val="000000"/>
          <w:sz w:val="28"/>
          <w:szCs w:val="28"/>
          <w:lang w:eastAsia="zh-CN"/>
        </w:rPr>
        <w:t>二、三产业</w:t>
      </w:r>
      <w:r>
        <w:rPr>
          <w:rFonts w:hint="eastAsia" w:ascii="仿宋" w:hAnsi="仿宋" w:eastAsia="仿宋"/>
          <w:color w:val="000000"/>
          <w:sz w:val="28"/>
          <w:szCs w:val="28"/>
        </w:rPr>
        <w:t>发展重大问题并统筹衔接相关发展规划和重大政策。协调推进重大基础设施建设发展，组织拟订并推动实施服务业及现代物流业发展规划和相关政策。综合研判消费变动趋势，拟订实施促进消费的综合性政策措施。</w:t>
      </w:r>
    </w:p>
    <w:p w14:paraId="044FB0A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推动实施创新驱动发展战略。会同有关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拟订</w:t>
      </w:r>
      <w:r>
        <w:rPr>
          <w:rFonts w:hint="eastAsia" w:ascii="仿宋" w:hAnsi="仿宋" w:eastAsia="仿宋"/>
          <w:color w:val="000000"/>
          <w:sz w:val="28"/>
          <w:szCs w:val="28"/>
          <w:lang w:eastAsia="zh-CN"/>
        </w:rPr>
        <w:t>推进</w:t>
      </w:r>
      <w:r>
        <w:rPr>
          <w:rFonts w:hint="eastAsia" w:ascii="仿宋" w:hAnsi="仿宋" w:eastAsia="仿宋"/>
          <w:color w:val="000000"/>
          <w:sz w:val="28"/>
          <w:szCs w:val="28"/>
        </w:rPr>
        <w:t>创新创业的规划和政策，提出创新发展和培育经济发展新动能的政策。会同有关方面提出重大科技基础设施布局建议。组织拟订并推动实施高新技术产业和战略性新兴产业发展规划和政策，协调产业升级、重大技术装备推广应用等方面的重大问题。</w:t>
      </w:r>
    </w:p>
    <w:p w14:paraId="10EA760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执行国家、自治区储备物资品种目录、总体发展规划。</w:t>
      </w:r>
    </w:p>
    <w:p w14:paraId="219925D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负责县社会发展与国民经济发展的政策衔接，协调有关重大问题。组织拟订县社会发展战略、总体规划，统筹推进基本公共服务体系建设。提出促进就业、完善社会保障与经济协调发展的政策建议。牵头开展社会信用体系建设。</w:t>
      </w:r>
    </w:p>
    <w:p w14:paraId="4C988F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推进实施可持续发展战略，推动县生态文明建设和改革，协调生态环境保护与修复、能源资源节约和综合利用等工作。提出</w:t>
      </w:r>
      <w:r>
        <w:rPr>
          <w:rFonts w:hint="eastAsia" w:ascii="仿宋" w:hAnsi="仿宋" w:eastAsia="仿宋"/>
          <w:color w:val="000000"/>
          <w:sz w:val="28"/>
          <w:szCs w:val="28"/>
          <w:lang w:eastAsia="zh-CN"/>
        </w:rPr>
        <w:t>健全</w:t>
      </w:r>
      <w:r>
        <w:rPr>
          <w:rFonts w:hint="eastAsia" w:ascii="仿宋" w:hAnsi="仿宋" w:eastAsia="仿宋"/>
          <w:color w:val="000000"/>
          <w:sz w:val="28"/>
          <w:szCs w:val="28"/>
        </w:rPr>
        <w:t>生态保护补偿机制的政策措施，综合协调环保产业和清洁生产促进有关工作。提出全县能源消费控制目标、任务并组织实施。</w:t>
      </w:r>
    </w:p>
    <w:p w14:paraId="27F73DB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参与制</w:t>
      </w:r>
      <w:r>
        <w:rPr>
          <w:rFonts w:hint="eastAsia" w:ascii="仿宋" w:hAnsi="仿宋" w:eastAsia="仿宋"/>
          <w:color w:val="000000"/>
          <w:sz w:val="28"/>
          <w:szCs w:val="28"/>
          <w:lang w:eastAsia="zh-CN"/>
        </w:rPr>
        <w:t>定全</w:t>
      </w:r>
      <w:r>
        <w:rPr>
          <w:rFonts w:hint="eastAsia" w:ascii="仿宋" w:hAnsi="仿宋" w:eastAsia="仿宋"/>
          <w:color w:val="000000"/>
          <w:sz w:val="28"/>
          <w:szCs w:val="28"/>
        </w:rPr>
        <w:t>县能源发展重大战略和政策建议；组织起草全县能源管理的地方性法规和规章草案;拟订实施县能源发展总体规划、专项规划和年度计划；组织实施能源体制改革；按权限审核县级能源行业固定资产投资项目；负责县重大能源项目的管理和组织协调;指导电力计划调度和市场交易;开展县能源国际国内合作；承担全县范围内石油、天然气管道保护;统筹做好煤矿、电力安全监督管理。</w:t>
      </w:r>
    </w:p>
    <w:p w14:paraId="29AA2A0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贯彻落实国家、自治区粮食和物资储备的方针政策和法律法规，拟订粮食流通、地方储备粮油和物资储备管理的法规、规章草案和有关政策。</w:t>
      </w:r>
    </w:p>
    <w:p w14:paraId="15FF234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（十五)</w:t>
      </w:r>
      <w:r>
        <w:rPr>
          <w:rFonts w:hint="eastAsia" w:ascii="仿宋" w:hAnsi="仿宋" w:eastAsia="仿宋"/>
          <w:color w:val="000000"/>
          <w:sz w:val="28"/>
          <w:szCs w:val="28"/>
        </w:rPr>
        <w:t>研究提出地方储备粮油和物资储备规划、储备品种目录的建议，负责编制粮油、棉花、食糖、食盐等重要商品储备、轮换和投放计划，组织实施地方储备粮油、棉花、食糖、食盐等物资的储备、轮换和日常管理；承担救灾物资及救灾物资储备管理工作，落实有关动用计划和指令。</w:t>
      </w:r>
    </w:p>
    <w:p w14:paraId="17A971E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（十六)</w:t>
      </w:r>
      <w:r>
        <w:rPr>
          <w:rFonts w:hint="eastAsia" w:ascii="仿宋" w:hAnsi="仿宋" w:eastAsia="仿宋"/>
          <w:color w:val="000000"/>
          <w:sz w:val="28"/>
          <w:szCs w:val="28"/>
        </w:rPr>
        <w:t>负责县级地方储备粮油行政管理工作，指导和协调地方储备粮油管理，研究提出地方储备粮油总体布局和收购、销售、轮换计划建议。承担粮食监测预警和应急责任，承担粮食安全责任制考核的日常工作。承担粮食和物资储备系统军民融合工作。组织实施国家粮食和物资储备仓储管理有关技术标准和规范，指导粮食流通和物资储备承储单位安全生产工作。</w:t>
      </w:r>
    </w:p>
    <w:p w14:paraId="045ACB5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（十七)</w:t>
      </w:r>
      <w:r>
        <w:rPr>
          <w:rFonts w:hint="eastAsia" w:ascii="仿宋" w:hAnsi="仿宋" w:eastAsia="仿宋"/>
          <w:color w:val="000000"/>
          <w:sz w:val="28"/>
          <w:szCs w:val="28"/>
        </w:rPr>
        <w:t>根据粮食和物资储备总体发展规划，统一负责储备基础设施建设和管理。拟订储备基础设施、粮食流通设施规划并组织实施，管理有关储备基础设施和粮食流通设施国家、自治区、市、县级投资项目。负责对管理的政府储备、企业储备以及储备政策落实情况和粮食流通进行监督检查，负责粮食收购、储存、运输环节质量安全和原粮卫生的监督管理，组织实施粮食库存检查工作。负责粮食流通行政管理、行业指导，起草粮食行业发展规划，组织实施国家粮食流通和物资储备有关标准、粮食质量标准和技术规范，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拟订粮食流通和物资储备有关地方标准和技术规范并监督执行。承担粮食流通的对外合作与交流。</w:t>
      </w:r>
    </w:p>
    <w:p w14:paraId="6650017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（十八)</w:t>
      </w:r>
      <w:r>
        <w:rPr>
          <w:rFonts w:hint="eastAsia" w:ascii="仿宋" w:hAnsi="仿宋" w:eastAsia="仿宋"/>
          <w:color w:val="000000"/>
          <w:sz w:val="28"/>
          <w:szCs w:val="28"/>
        </w:rPr>
        <w:t>贯彻落实对口援疆各项政策措施，做好对口援疆工作综合协调、服务保障，组织开展对口援疆规划衔接平衡。</w:t>
      </w:r>
    </w:p>
    <w:p w14:paraId="5CA6BC5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（十九)</w:t>
      </w:r>
      <w:r>
        <w:rPr>
          <w:rFonts w:hint="eastAsia" w:ascii="仿宋" w:hAnsi="仿宋" w:eastAsia="仿宋"/>
          <w:color w:val="000000"/>
          <w:sz w:val="28"/>
          <w:szCs w:val="28"/>
        </w:rPr>
        <w:t>承担对口援托协调领导小组办公室、社会信用体系建设联席会议办公室、西部开发领导小组办公室、应对气候变化及节能减排工作领导小组、军民融合发展委员会办公室等相关具体工作。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F71A3C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发展和改革委员会(托克逊县粮食和物资储备局)无下属预算单位，下设11个科室，分别是：办公室、国防动员办公室、国民经济综合科、粮食流通管理科、价格管理科、全社会节能监察办公室、数字化发展科、重点项目管理办公室、价格认证中心、军粮供应点、固定资产评估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托克逊县发展和改革委员会(托克逊县粮食和物资储备局)编制数28，实有人数45人，其中：在职22人，增加2人；退休23人，减少2人；离休0人，增加0人。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847.85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1,119.31</w:t>
            </w:r>
          </w:p>
        </w:tc>
      </w:tr>
      <w:tr w14:paraId="2600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A22D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E0D17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847.07</w:t>
            </w:r>
          </w:p>
        </w:tc>
        <w:tc>
          <w:tcPr>
            <w:tcW w:w="3600" w:type="dxa"/>
            <w:shd w:val="clear" w:color="auto" w:fill="auto"/>
            <w:vAlign w:val="center"/>
          </w:tcPr>
          <w:p w14:paraId="5A27A4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EFB7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E0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2DD8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26CCB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843.47</w:t>
            </w:r>
          </w:p>
        </w:tc>
        <w:tc>
          <w:tcPr>
            <w:tcW w:w="3600" w:type="dxa"/>
            <w:shd w:val="clear" w:color="auto" w:fill="auto"/>
            <w:vAlign w:val="center"/>
          </w:tcPr>
          <w:p w14:paraId="084FC0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D5EA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A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26DF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3D8C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3.60</w:t>
            </w:r>
          </w:p>
        </w:tc>
        <w:tc>
          <w:tcPr>
            <w:tcW w:w="3600" w:type="dxa"/>
            <w:shd w:val="clear" w:color="auto" w:fill="auto"/>
            <w:vAlign w:val="center"/>
          </w:tcPr>
          <w:p w14:paraId="7F9F526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554B4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566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5E27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DF13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8EEE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6692D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B1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38FD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902B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562B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C03E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22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4AE0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25C20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227F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8E81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0DE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38C1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79E7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E32B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A452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69.58</w:t>
            </w:r>
          </w:p>
        </w:tc>
      </w:tr>
      <w:tr w14:paraId="7DEB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C63F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47FE9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72EA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998F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24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FBB7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D190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3327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8644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21.97</w:t>
            </w:r>
          </w:p>
        </w:tc>
      </w:tr>
      <w:tr w14:paraId="4488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68B2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8A4C3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D9B5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04C5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636.00</w:t>
            </w:r>
          </w:p>
        </w:tc>
      </w:tr>
      <w:tr w14:paraId="60F7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3CDC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C736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0.78</w:t>
            </w:r>
          </w:p>
        </w:tc>
        <w:tc>
          <w:tcPr>
            <w:tcW w:w="3600" w:type="dxa"/>
            <w:shd w:val="clear" w:color="auto" w:fill="auto"/>
            <w:vAlign w:val="center"/>
          </w:tcPr>
          <w:p w14:paraId="282D82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C65BA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E5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9449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0941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101E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9B704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71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721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CB67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5AEE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5DBA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DB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5C8E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C2C5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8ADD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6C91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8E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1849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7B75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7360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77B6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52E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6986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C3E46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0.78</w:t>
            </w:r>
          </w:p>
        </w:tc>
        <w:tc>
          <w:tcPr>
            <w:tcW w:w="3600" w:type="dxa"/>
            <w:shd w:val="clear" w:color="auto" w:fill="auto"/>
            <w:vAlign w:val="center"/>
          </w:tcPr>
          <w:p w14:paraId="7CC9AE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48C2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37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3689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FFEC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1,590.00</w:t>
            </w:r>
          </w:p>
        </w:tc>
        <w:tc>
          <w:tcPr>
            <w:tcW w:w="3600" w:type="dxa"/>
            <w:shd w:val="clear" w:color="auto" w:fill="auto"/>
            <w:vAlign w:val="center"/>
          </w:tcPr>
          <w:p w14:paraId="20C478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2F78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6A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02C0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D39A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1,590.00</w:t>
            </w:r>
          </w:p>
        </w:tc>
        <w:tc>
          <w:tcPr>
            <w:tcW w:w="3600" w:type="dxa"/>
            <w:shd w:val="clear" w:color="auto" w:fill="auto"/>
            <w:vAlign w:val="center"/>
          </w:tcPr>
          <w:p w14:paraId="48EAB1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CB15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B4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5C44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7D681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954.00</w:t>
            </w:r>
          </w:p>
        </w:tc>
        <w:tc>
          <w:tcPr>
            <w:tcW w:w="3600" w:type="dxa"/>
            <w:shd w:val="clear" w:color="auto" w:fill="auto"/>
            <w:vAlign w:val="center"/>
          </w:tcPr>
          <w:p w14:paraId="4D3501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028AB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36.99</w:t>
            </w:r>
          </w:p>
        </w:tc>
      </w:tr>
      <w:tr w14:paraId="3B05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EA12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8BB27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636.00</w:t>
            </w:r>
          </w:p>
        </w:tc>
        <w:tc>
          <w:tcPr>
            <w:tcW w:w="3600" w:type="dxa"/>
            <w:shd w:val="clear" w:color="auto" w:fill="auto"/>
            <w:vAlign w:val="center"/>
          </w:tcPr>
          <w:p w14:paraId="063752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C1FF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49C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592B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13104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93F6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75031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E9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5D6F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216E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B8AD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A498B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554.00</w:t>
            </w:r>
          </w:p>
        </w:tc>
      </w:tr>
      <w:tr w14:paraId="1F2F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5024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29D71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2586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39E8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28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4A1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DC2A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168A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AD91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E4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F1DA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1677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103F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D356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23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E831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C97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F0CB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2D55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C2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474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1EAD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2693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1C355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C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72B4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5ECF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6721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0181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FDA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5662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F234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2,437.85</w:t>
            </w:r>
          </w:p>
        </w:tc>
        <w:tc>
          <w:tcPr>
            <w:tcW w:w="3600" w:type="dxa"/>
            <w:shd w:val="clear" w:color="auto" w:fill="auto"/>
            <w:vAlign w:val="center"/>
          </w:tcPr>
          <w:p w14:paraId="51EF19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2A7F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2,437.85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1,119.31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718.53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714.93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0.78</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02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D4E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CA54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BC65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A010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发展与改革事务</w:t>
            </w:r>
          </w:p>
        </w:tc>
        <w:tc>
          <w:tcPr>
            <w:tcW w:w="1070" w:type="dxa"/>
            <w:shd w:val="clear" w:color="auto" w:fill="auto"/>
            <w:vAlign w:val="center"/>
          </w:tcPr>
          <w:p w14:paraId="0CAB8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1,119.31</w:t>
            </w:r>
          </w:p>
        </w:tc>
        <w:tc>
          <w:tcPr>
            <w:tcW w:w="1128" w:type="dxa"/>
            <w:shd w:val="clear" w:color="auto" w:fill="auto"/>
            <w:vAlign w:val="center"/>
          </w:tcPr>
          <w:p w14:paraId="578A0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718.53</w:t>
            </w:r>
          </w:p>
        </w:tc>
        <w:tc>
          <w:tcPr>
            <w:tcW w:w="1082" w:type="dxa"/>
            <w:shd w:val="clear" w:color="auto" w:fill="auto"/>
            <w:vAlign w:val="center"/>
          </w:tcPr>
          <w:p w14:paraId="35B2F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714.93</w:t>
            </w:r>
          </w:p>
        </w:tc>
        <w:tc>
          <w:tcPr>
            <w:tcW w:w="1082" w:type="dxa"/>
            <w:shd w:val="clear" w:color="auto" w:fill="auto"/>
            <w:vAlign w:val="center"/>
          </w:tcPr>
          <w:p w14:paraId="6E85C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w:t>
            </w:r>
          </w:p>
        </w:tc>
        <w:tc>
          <w:tcPr>
            <w:tcW w:w="328" w:type="dxa"/>
            <w:vAlign w:val="center"/>
          </w:tcPr>
          <w:p w14:paraId="2C876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B30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A31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77C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14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F26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0.78</w:t>
            </w:r>
          </w:p>
        </w:tc>
        <w:tc>
          <w:tcPr>
            <w:tcW w:w="876" w:type="dxa"/>
            <w:vAlign w:val="center"/>
          </w:tcPr>
          <w:p w14:paraId="4E10E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876" w:type="dxa"/>
            <w:vAlign w:val="center"/>
          </w:tcPr>
          <w:p w14:paraId="47DD5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55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8E43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FB29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7C570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03677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5555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344.93</w:t>
            </w:r>
          </w:p>
        </w:tc>
        <w:tc>
          <w:tcPr>
            <w:tcW w:w="1128" w:type="dxa"/>
            <w:shd w:val="clear" w:color="auto" w:fill="auto"/>
            <w:vAlign w:val="center"/>
          </w:tcPr>
          <w:p w14:paraId="033EF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344.93</w:t>
            </w:r>
          </w:p>
        </w:tc>
        <w:tc>
          <w:tcPr>
            <w:tcW w:w="1082" w:type="dxa"/>
            <w:shd w:val="clear" w:color="auto" w:fill="auto"/>
            <w:vAlign w:val="center"/>
          </w:tcPr>
          <w:p w14:paraId="57C59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344.93</w:t>
            </w:r>
          </w:p>
        </w:tc>
        <w:tc>
          <w:tcPr>
            <w:tcW w:w="1082" w:type="dxa"/>
            <w:shd w:val="clear" w:color="auto" w:fill="auto"/>
            <w:vAlign w:val="center"/>
          </w:tcPr>
          <w:p w14:paraId="4C22B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454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35A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528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834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127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7DE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60C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9E6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58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2B95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CC65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7B3DD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8CC55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其他发展与改革事务支出</w:t>
            </w:r>
          </w:p>
        </w:tc>
        <w:tc>
          <w:tcPr>
            <w:tcW w:w="1070" w:type="dxa"/>
            <w:shd w:val="clear" w:color="auto" w:fill="auto"/>
            <w:vAlign w:val="center"/>
          </w:tcPr>
          <w:p w14:paraId="54A1C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774.38</w:t>
            </w:r>
          </w:p>
        </w:tc>
        <w:tc>
          <w:tcPr>
            <w:tcW w:w="1128" w:type="dxa"/>
            <w:shd w:val="clear" w:color="auto" w:fill="auto"/>
            <w:vAlign w:val="center"/>
          </w:tcPr>
          <w:p w14:paraId="3B803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373.60</w:t>
            </w:r>
          </w:p>
        </w:tc>
        <w:tc>
          <w:tcPr>
            <w:tcW w:w="1082" w:type="dxa"/>
            <w:shd w:val="clear" w:color="auto" w:fill="auto"/>
            <w:vAlign w:val="center"/>
          </w:tcPr>
          <w:p w14:paraId="0D828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370.00</w:t>
            </w:r>
          </w:p>
        </w:tc>
        <w:tc>
          <w:tcPr>
            <w:tcW w:w="1082" w:type="dxa"/>
            <w:shd w:val="clear" w:color="auto" w:fill="auto"/>
            <w:vAlign w:val="center"/>
          </w:tcPr>
          <w:p w14:paraId="531F5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w:t>
            </w:r>
          </w:p>
        </w:tc>
        <w:tc>
          <w:tcPr>
            <w:tcW w:w="328" w:type="dxa"/>
            <w:vAlign w:val="center"/>
          </w:tcPr>
          <w:p w14:paraId="44781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25E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CFD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B28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11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CD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0.78</w:t>
            </w:r>
          </w:p>
        </w:tc>
        <w:tc>
          <w:tcPr>
            <w:tcW w:w="876" w:type="dxa"/>
            <w:vAlign w:val="center"/>
          </w:tcPr>
          <w:p w14:paraId="222AB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876" w:type="dxa"/>
            <w:vAlign w:val="center"/>
          </w:tcPr>
          <w:p w14:paraId="1AC78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DDF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A52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3B48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2720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EBB4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A5DF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128" w:type="dxa"/>
            <w:shd w:val="clear" w:color="auto" w:fill="auto"/>
            <w:vAlign w:val="center"/>
          </w:tcPr>
          <w:p w14:paraId="50FF0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082" w:type="dxa"/>
            <w:shd w:val="clear" w:color="auto" w:fill="auto"/>
            <w:vAlign w:val="center"/>
          </w:tcPr>
          <w:p w14:paraId="74381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082" w:type="dxa"/>
            <w:shd w:val="clear" w:color="auto" w:fill="auto"/>
            <w:vAlign w:val="center"/>
          </w:tcPr>
          <w:p w14:paraId="4A58E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DB8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0B5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783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890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1F9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B65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BF9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3B2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72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F8B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94B1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1F2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C620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F377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128" w:type="dxa"/>
            <w:shd w:val="clear" w:color="auto" w:fill="auto"/>
            <w:vAlign w:val="center"/>
          </w:tcPr>
          <w:p w14:paraId="6CAB6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082" w:type="dxa"/>
            <w:shd w:val="clear" w:color="auto" w:fill="auto"/>
            <w:vAlign w:val="center"/>
          </w:tcPr>
          <w:p w14:paraId="0097C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082" w:type="dxa"/>
            <w:shd w:val="clear" w:color="auto" w:fill="auto"/>
            <w:vAlign w:val="center"/>
          </w:tcPr>
          <w:p w14:paraId="290A2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69C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9F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8EE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C69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E4E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F1E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7E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ACB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2F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485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461A1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FC6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49AD2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0B2A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24.26</w:t>
            </w:r>
          </w:p>
        </w:tc>
        <w:tc>
          <w:tcPr>
            <w:tcW w:w="1128" w:type="dxa"/>
            <w:shd w:val="clear" w:color="auto" w:fill="auto"/>
            <w:vAlign w:val="center"/>
          </w:tcPr>
          <w:p w14:paraId="574BF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24.26</w:t>
            </w:r>
          </w:p>
        </w:tc>
        <w:tc>
          <w:tcPr>
            <w:tcW w:w="1082" w:type="dxa"/>
            <w:shd w:val="clear" w:color="auto" w:fill="auto"/>
            <w:vAlign w:val="center"/>
          </w:tcPr>
          <w:p w14:paraId="11B73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24.26</w:t>
            </w:r>
          </w:p>
        </w:tc>
        <w:tc>
          <w:tcPr>
            <w:tcW w:w="1082" w:type="dxa"/>
            <w:shd w:val="clear" w:color="auto" w:fill="auto"/>
            <w:vAlign w:val="center"/>
          </w:tcPr>
          <w:p w14:paraId="1D68B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130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2B8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0C9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650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6D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655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FD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CFA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59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3765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3DC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1C5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F0EA7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7AD7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128" w:type="dxa"/>
            <w:shd w:val="clear" w:color="auto" w:fill="auto"/>
            <w:vAlign w:val="center"/>
          </w:tcPr>
          <w:p w14:paraId="57AA6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1F550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4FB80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C95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8CF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282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1F4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3D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76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B2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18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156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1A48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2304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4677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5C19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1623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128" w:type="dxa"/>
            <w:shd w:val="clear" w:color="auto" w:fill="auto"/>
            <w:vAlign w:val="center"/>
          </w:tcPr>
          <w:p w14:paraId="216FF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082" w:type="dxa"/>
            <w:shd w:val="clear" w:color="auto" w:fill="auto"/>
            <w:vAlign w:val="center"/>
          </w:tcPr>
          <w:p w14:paraId="399DB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082" w:type="dxa"/>
            <w:shd w:val="clear" w:color="auto" w:fill="auto"/>
            <w:vAlign w:val="center"/>
          </w:tcPr>
          <w:p w14:paraId="00005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0E1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155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38F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618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F4C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227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3F9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C9C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6E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067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7DC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FB1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C7E6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414C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128" w:type="dxa"/>
            <w:shd w:val="clear" w:color="auto" w:fill="auto"/>
            <w:vAlign w:val="center"/>
          </w:tcPr>
          <w:p w14:paraId="64DFA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082" w:type="dxa"/>
            <w:shd w:val="clear" w:color="auto" w:fill="auto"/>
            <w:vAlign w:val="center"/>
          </w:tcPr>
          <w:p w14:paraId="21286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082" w:type="dxa"/>
            <w:shd w:val="clear" w:color="auto" w:fill="auto"/>
            <w:vAlign w:val="center"/>
          </w:tcPr>
          <w:p w14:paraId="16A65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F64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1B1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B1C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CA2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032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EC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085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818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17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7AF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A17F9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2FEE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A309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476E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19.25</w:t>
            </w:r>
          </w:p>
        </w:tc>
        <w:tc>
          <w:tcPr>
            <w:tcW w:w="1128" w:type="dxa"/>
            <w:shd w:val="clear" w:color="auto" w:fill="auto"/>
            <w:vAlign w:val="center"/>
          </w:tcPr>
          <w:p w14:paraId="22D17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19.25</w:t>
            </w:r>
          </w:p>
        </w:tc>
        <w:tc>
          <w:tcPr>
            <w:tcW w:w="1082" w:type="dxa"/>
            <w:shd w:val="clear" w:color="auto" w:fill="auto"/>
            <w:vAlign w:val="center"/>
          </w:tcPr>
          <w:p w14:paraId="3E5F8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19.25</w:t>
            </w:r>
          </w:p>
        </w:tc>
        <w:tc>
          <w:tcPr>
            <w:tcW w:w="1082" w:type="dxa"/>
            <w:shd w:val="clear" w:color="auto" w:fill="auto"/>
            <w:vAlign w:val="center"/>
          </w:tcPr>
          <w:p w14:paraId="71B6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97F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F9F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19E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52C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2BC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2F1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3BF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6B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52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1ED2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CD0A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4178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CA559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033D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128" w:type="dxa"/>
            <w:shd w:val="clear" w:color="auto" w:fill="auto"/>
            <w:vAlign w:val="center"/>
          </w:tcPr>
          <w:p w14:paraId="15ED5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4AEA0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60741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2EF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27A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39F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E40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E39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CB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08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3CD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0D0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93C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44C89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FE2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068D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节能环保支出</w:t>
            </w:r>
          </w:p>
        </w:tc>
        <w:tc>
          <w:tcPr>
            <w:tcW w:w="1070" w:type="dxa"/>
            <w:shd w:val="clear" w:color="auto" w:fill="auto"/>
            <w:vAlign w:val="center"/>
          </w:tcPr>
          <w:p w14:paraId="48945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1128" w:type="dxa"/>
            <w:shd w:val="clear" w:color="auto" w:fill="auto"/>
            <w:vAlign w:val="center"/>
          </w:tcPr>
          <w:p w14:paraId="677BF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C300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8505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AB7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4B4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DF2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9DA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34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2FC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EDB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876" w:type="dxa"/>
            <w:vAlign w:val="center"/>
          </w:tcPr>
          <w:p w14:paraId="70AE3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B6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E717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11F52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1E8F72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21AA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超长期特别国债安排的支出</w:t>
            </w:r>
          </w:p>
        </w:tc>
        <w:tc>
          <w:tcPr>
            <w:tcW w:w="1070" w:type="dxa"/>
            <w:shd w:val="clear" w:color="auto" w:fill="auto"/>
            <w:vAlign w:val="center"/>
          </w:tcPr>
          <w:p w14:paraId="28363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1128" w:type="dxa"/>
            <w:shd w:val="clear" w:color="auto" w:fill="auto"/>
            <w:vAlign w:val="center"/>
          </w:tcPr>
          <w:p w14:paraId="7185C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7533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78F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0DB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46B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D23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45E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FD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77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5B9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876" w:type="dxa"/>
            <w:vAlign w:val="center"/>
          </w:tcPr>
          <w:p w14:paraId="77E90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F92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8CF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552F6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3B0055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79983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应对气候变化</w:t>
            </w:r>
          </w:p>
        </w:tc>
        <w:tc>
          <w:tcPr>
            <w:tcW w:w="1070" w:type="dxa"/>
            <w:shd w:val="clear" w:color="auto" w:fill="auto"/>
            <w:vAlign w:val="center"/>
          </w:tcPr>
          <w:p w14:paraId="08A70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1128" w:type="dxa"/>
            <w:shd w:val="clear" w:color="auto" w:fill="auto"/>
            <w:vAlign w:val="center"/>
          </w:tcPr>
          <w:p w14:paraId="59854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0707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54E4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DD0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EFE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83A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475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7FD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CB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0E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876" w:type="dxa"/>
            <w:vAlign w:val="center"/>
          </w:tcPr>
          <w:p w14:paraId="1F22E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D6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11F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0506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7F6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58DA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3389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128" w:type="dxa"/>
            <w:shd w:val="clear" w:color="auto" w:fill="auto"/>
            <w:vAlign w:val="center"/>
          </w:tcPr>
          <w:p w14:paraId="15068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0DF98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74DF1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047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1F4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315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679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BAE2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4BD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365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2B9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AB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A0E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B1E2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FFE1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1EE0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F485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128" w:type="dxa"/>
            <w:shd w:val="clear" w:color="auto" w:fill="auto"/>
            <w:vAlign w:val="center"/>
          </w:tcPr>
          <w:p w14:paraId="00805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5C355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262BC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5FF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D7A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109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787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44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E4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6E4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D49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E5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07B9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CAC7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C91DF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D25C4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7FCF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128" w:type="dxa"/>
            <w:shd w:val="clear" w:color="auto" w:fill="auto"/>
            <w:vAlign w:val="center"/>
          </w:tcPr>
          <w:p w14:paraId="2C315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7C9B0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4D245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1AB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31B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E0D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B2D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D94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D4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61D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68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44C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8B6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08B3D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E6D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DECA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灾害防治及应急管理支出</w:t>
            </w:r>
          </w:p>
        </w:tc>
        <w:tc>
          <w:tcPr>
            <w:tcW w:w="1070" w:type="dxa"/>
            <w:shd w:val="clear" w:color="auto" w:fill="auto"/>
            <w:vAlign w:val="center"/>
          </w:tcPr>
          <w:p w14:paraId="17B40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1128" w:type="dxa"/>
            <w:shd w:val="clear" w:color="auto" w:fill="auto"/>
            <w:vAlign w:val="center"/>
          </w:tcPr>
          <w:p w14:paraId="01454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6ABE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F68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FE1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917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3E2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85E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2C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47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2D3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876" w:type="dxa"/>
            <w:vAlign w:val="center"/>
          </w:tcPr>
          <w:p w14:paraId="6EF20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CA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772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502D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6A1B2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B49B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煤矿安全</w:t>
            </w:r>
          </w:p>
        </w:tc>
        <w:tc>
          <w:tcPr>
            <w:tcW w:w="1070" w:type="dxa"/>
            <w:shd w:val="clear" w:color="auto" w:fill="auto"/>
            <w:vAlign w:val="center"/>
          </w:tcPr>
          <w:p w14:paraId="1E4D0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1128" w:type="dxa"/>
            <w:shd w:val="clear" w:color="auto" w:fill="auto"/>
            <w:vAlign w:val="center"/>
          </w:tcPr>
          <w:p w14:paraId="53F39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600C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26F2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6B6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4C7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80F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526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43B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C6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77C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876" w:type="dxa"/>
            <w:vAlign w:val="center"/>
          </w:tcPr>
          <w:p w14:paraId="43F8D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F7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799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84564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667D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4278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其他矿山安全支出</w:t>
            </w:r>
          </w:p>
        </w:tc>
        <w:tc>
          <w:tcPr>
            <w:tcW w:w="1070" w:type="dxa"/>
            <w:shd w:val="clear" w:color="auto" w:fill="auto"/>
            <w:vAlign w:val="center"/>
          </w:tcPr>
          <w:p w14:paraId="5451C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1128" w:type="dxa"/>
            <w:shd w:val="clear" w:color="auto" w:fill="auto"/>
            <w:vAlign w:val="center"/>
          </w:tcPr>
          <w:p w14:paraId="3583B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25D7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5A1D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B40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771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8D2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AAC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B9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4D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9EB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876" w:type="dxa"/>
            <w:vAlign w:val="center"/>
          </w:tcPr>
          <w:p w14:paraId="6156D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3B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051D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0FF3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F4D0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054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A2F6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2,437.85</w:t>
            </w:r>
          </w:p>
        </w:tc>
        <w:tc>
          <w:tcPr>
            <w:tcW w:w="1128" w:type="dxa"/>
            <w:shd w:val="clear" w:color="auto" w:fill="auto"/>
            <w:vAlign w:val="center"/>
          </w:tcPr>
          <w:p w14:paraId="3EDB3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847.07</w:t>
            </w:r>
          </w:p>
        </w:tc>
        <w:tc>
          <w:tcPr>
            <w:tcW w:w="1082" w:type="dxa"/>
            <w:shd w:val="clear" w:color="auto" w:fill="auto"/>
            <w:vAlign w:val="center"/>
          </w:tcPr>
          <w:p w14:paraId="231AA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843.47</w:t>
            </w:r>
          </w:p>
        </w:tc>
        <w:tc>
          <w:tcPr>
            <w:tcW w:w="1082" w:type="dxa"/>
            <w:shd w:val="clear" w:color="auto" w:fill="auto"/>
            <w:vAlign w:val="center"/>
          </w:tcPr>
          <w:p w14:paraId="73E97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w:t>
            </w:r>
          </w:p>
        </w:tc>
        <w:tc>
          <w:tcPr>
            <w:tcW w:w="328" w:type="dxa"/>
            <w:vAlign w:val="center"/>
          </w:tcPr>
          <w:p w14:paraId="229EB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E01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E46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25E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5D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120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0.78</w:t>
            </w:r>
          </w:p>
        </w:tc>
        <w:tc>
          <w:tcPr>
            <w:tcW w:w="876" w:type="dxa"/>
            <w:vAlign w:val="center"/>
          </w:tcPr>
          <w:p w14:paraId="4E5F8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1,590.00</w:t>
            </w:r>
          </w:p>
        </w:tc>
        <w:tc>
          <w:tcPr>
            <w:tcW w:w="876" w:type="dxa"/>
            <w:vAlign w:val="center"/>
          </w:tcPr>
          <w:p w14:paraId="43F72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1,119.31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344.93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774.38</w:t>
            </w:r>
          </w:p>
        </w:tc>
      </w:tr>
      <w:tr w14:paraId="65F7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7A8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1E5BA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115D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3BCE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发展与改革事务</w:t>
            </w:r>
          </w:p>
        </w:tc>
        <w:tc>
          <w:tcPr>
            <w:tcW w:w="1306" w:type="dxa"/>
            <w:shd w:val="clear" w:color="auto" w:fill="auto"/>
            <w:vAlign w:val="center"/>
          </w:tcPr>
          <w:p w14:paraId="40D73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1,119.31</w:t>
            </w:r>
          </w:p>
        </w:tc>
        <w:tc>
          <w:tcPr>
            <w:tcW w:w="1306" w:type="dxa"/>
            <w:gridSpan w:val="2"/>
            <w:shd w:val="clear" w:color="auto" w:fill="auto"/>
            <w:vAlign w:val="center"/>
          </w:tcPr>
          <w:p w14:paraId="15B1D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344.93</w:t>
            </w:r>
          </w:p>
        </w:tc>
        <w:tc>
          <w:tcPr>
            <w:tcW w:w="1405" w:type="dxa"/>
            <w:shd w:val="clear" w:color="auto" w:fill="auto"/>
            <w:vAlign w:val="center"/>
          </w:tcPr>
          <w:p w14:paraId="1E8C8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774.38</w:t>
            </w:r>
          </w:p>
        </w:tc>
      </w:tr>
      <w:tr w14:paraId="709F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A2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CEF9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D67A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4703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4F06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344.93</w:t>
            </w:r>
          </w:p>
        </w:tc>
        <w:tc>
          <w:tcPr>
            <w:tcW w:w="1306" w:type="dxa"/>
            <w:gridSpan w:val="2"/>
            <w:shd w:val="clear" w:color="auto" w:fill="auto"/>
            <w:vAlign w:val="center"/>
          </w:tcPr>
          <w:p w14:paraId="0E25E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344.93</w:t>
            </w:r>
          </w:p>
        </w:tc>
        <w:tc>
          <w:tcPr>
            <w:tcW w:w="1405" w:type="dxa"/>
            <w:shd w:val="clear" w:color="auto" w:fill="auto"/>
            <w:vAlign w:val="center"/>
          </w:tcPr>
          <w:p w14:paraId="7069C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716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D21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92F4F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E794F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A01E7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其他发展与改革事务支出</w:t>
            </w:r>
          </w:p>
        </w:tc>
        <w:tc>
          <w:tcPr>
            <w:tcW w:w="1306" w:type="dxa"/>
            <w:shd w:val="clear" w:color="auto" w:fill="auto"/>
            <w:vAlign w:val="center"/>
          </w:tcPr>
          <w:p w14:paraId="55B47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774.38</w:t>
            </w:r>
          </w:p>
        </w:tc>
        <w:tc>
          <w:tcPr>
            <w:tcW w:w="1306" w:type="dxa"/>
            <w:gridSpan w:val="2"/>
            <w:shd w:val="clear" w:color="auto" w:fill="auto"/>
            <w:vAlign w:val="center"/>
          </w:tcPr>
          <w:p w14:paraId="5E2E49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641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774.38</w:t>
            </w:r>
          </w:p>
        </w:tc>
      </w:tr>
      <w:tr w14:paraId="057A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2BC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57FD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F608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C42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B56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69.58</w:t>
            </w:r>
          </w:p>
        </w:tc>
        <w:tc>
          <w:tcPr>
            <w:tcW w:w="1306" w:type="dxa"/>
            <w:gridSpan w:val="2"/>
            <w:shd w:val="clear" w:color="auto" w:fill="auto"/>
            <w:vAlign w:val="center"/>
          </w:tcPr>
          <w:p w14:paraId="7EDCB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69.58</w:t>
            </w:r>
          </w:p>
        </w:tc>
        <w:tc>
          <w:tcPr>
            <w:tcW w:w="1405" w:type="dxa"/>
            <w:shd w:val="clear" w:color="auto" w:fill="auto"/>
            <w:vAlign w:val="center"/>
          </w:tcPr>
          <w:p w14:paraId="7B3BE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28F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C01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7CE7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840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891A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35AE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69.58</w:t>
            </w:r>
          </w:p>
        </w:tc>
        <w:tc>
          <w:tcPr>
            <w:tcW w:w="1306" w:type="dxa"/>
            <w:gridSpan w:val="2"/>
            <w:shd w:val="clear" w:color="auto" w:fill="auto"/>
            <w:vAlign w:val="center"/>
          </w:tcPr>
          <w:p w14:paraId="1C1F3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69.58</w:t>
            </w:r>
          </w:p>
        </w:tc>
        <w:tc>
          <w:tcPr>
            <w:tcW w:w="1405" w:type="dxa"/>
            <w:shd w:val="clear" w:color="auto" w:fill="auto"/>
            <w:vAlign w:val="center"/>
          </w:tcPr>
          <w:p w14:paraId="41FC4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D6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825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EE0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3A91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66C31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080A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24.26</w:t>
            </w:r>
          </w:p>
        </w:tc>
        <w:tc>
          <w:tcPr>
            <w:tcW w:w="1306" w:type="dxa"/>
            <w:gridSpan w:val="2"/>
            <w:shd w:val="clear" w:color="auto" w:fill="auto"/>
            <w:vAlign w:val="center"/>
          </w:tcPr>
          <w:p w14:paraId="0B63A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24.26</w:t>
            </w:r>
          </w:p>
        </w:tc>
        <w:tc>
          <w:tcPr>
            <w:tcW w:w="1405" w:type="dxa"/>
            <w:shd w:val="clear" w:color="auto" w:fill="auto"/>
            <w:vAlign w:val="center"/>
          </w:tcPr>
          <w:p w14:paraId="2CBAA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C0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CB7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DFEF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17FD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611AD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3C30A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306" w:type="dxa"/>
            <w:gridSpan w:val="2"/>
            <w:shd w:val="clear" w:color="auto" w:fill="auto"/>
            <w:vAlign w:val="center"/>
          </w:tcPr>
          <w:p w14:paraId="7DC10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405" w:type="dxa"/>
            <w:shd w:val="clear" w:color="auto" w:fill="auto"/>
            <w:vAlign w:val="center"/>
          </w:tcPr>
          <w:p w14:paraId="785CD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74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559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C9EAC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3FD98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1103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721E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21.97</w:t>
            </w:r>
          </w:p>
        </w:tc>
        <w:tc>
          <w:tcPr>
            <w:tcW w:w="1306" w:type="dxa"/>
            <w:gridSpan w:val="2"/>
            <w:shd w:val="clear" w:color="auto" w:fill="auto"/>
            <w:vAlign w:val="center"/>
          </w:tcPr>
          <w:p w14:paraId="6C119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21.97</w:t>
            </w:r>
          </w:p>
        </w:tc>
        <w:tc>
          <w:tcPr>
            <w:tcW w:w="1405" w:type="dxa"/>
            <w:shd w:val="clear" w:color="auto" w:fill="auto"/>
            <w:vAlign w:val="center"/>
          </w:tcPr>
          <w:p w14:paraId="5E10C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99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1FB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403A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7F6D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8C80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919E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21.97</w:t>
            </w:r>
          </w:p>
        </w:tc>
        <w:tc>
          <w:tcPr>
            <w:tcW w:w="1306" w:type="dxa"/>
            <w:gridSpan w:val="2"/>
            <w:shd w:val="clear" w:color="auto" w:fill="auto"/>
            <w:vAlign w:val="center"/>
          </w:tcPr>
          <w:p w14:paraId="4A738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21.97</w:t>
            </w:r>
          </w:p>
        </w:tc>
        <w:tc>
          <w:tcPr>
            <w:tcW w:w="1405" w:type="dxa"/>
            <w:shd w:val="clear" w:color="auto" w:fill="auto"/>
            <w:vAlign w:val="center"/>
          </w:tcPr>
          <w:p w14:paraId="464A3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47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258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172E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6ED61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D57D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95D2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19.25</w:t>
            </w:r>
          </w:p>
        </w:tc>
        <w:tc>
          <w:tcPr>
            <w:tcW w:w="1306" w:type="dxa"/>
            <w:gridSpan w:val="2"/>
            <w:shd w:val="clear" w:color="auto" w:fill="auto"/>
            <w:vAlign w:val="center"/>
          </w:tcPr>
          <w:p w14:paraId="1DCBC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19.25</w:t>
            </w:r>
          </w:p>
        </w:tc>
        <w:tc>
          <w:tcPr>
            <w:tcW w:w="1405" w:type="dxa"/>
            <w:shd w:val="clear" w:color="auto" w:fill="auto"/>
            <w:vAlign w:val="center"/>
          </w:tcPr>
          <w:p w14:paraId="31737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8B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230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D02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5BC3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1BB2F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2903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306" w:type="dxa"/>
            <w:gridSpan w:val="2"/>
            <w:shd w:val="clear" w:color="auto" w:fill="auto"/>
            <w:vAlign w:val="center"/>
          </w:tcPr>
          <w:p w14:paraId="4EBD3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405" w:type="dxa"/>
            <w:shd w:val="clear" w:color="auto" w:fill="auto"/>
            <w:vAlign w:val="center"/>
          </w:tcPr>
          <w:p w14:paraId="2F4DB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78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A91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40C10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C95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42EF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节能环保支出</w:t>
            </w:r>
          </w:p>
        </w:tc>
        <w:tc>
          <w:tcPr>
            <w:tcW w:w="1306" w:type="dxa"/>
            <w:shd w:val="clear" w:color="auto" w:fill="auto"/>
            <w:vAlign w:val="center"/>
          </w:tcPr>
          <w:p w14:paraId="3BCD5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c>
          <w:tcPr>
            <w:tcW w:w="1306" w:type="dxa"/>
            <w:gridSpan w:val="2"/>
            <w:shd w:val="clear" w:color="auto" w:fill="auto"/>
            <w:vAlign w:val="center"/>
          </w:tcPr>
          <w:p w14:paraId="00CC4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B88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r>
      <w:tr w14:paraId="5BD3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A7BC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43694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1D62FA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6DEC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超长期特别国债安排的支出</w:t>
            </w:r>
          </w:p>
        </w:tc>
        <w:tc>
          <w:tcPr>
            <w:tcW w:w="1306" w:type="dxa"/>
            <w:shd w:val="clear" w:color="auto" w:fill="auto"/>
            <w:vAlign w:val="center"/>
          </w:tcPr>
          <w:p w14:paraId="5F498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c>
          <w:tcPr>
            <w:tcW w:w="1306" w:type="dxa"/>
            <w:gridSpan w:val="2"/>
            <w:shd w:val="clear" w:color="auto" w:fill="auto"/>
            <w:vAlign w:val="center"/>
          </w:tcPr>
          <w:p w14:paraId="22C6F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064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r>
      <w:tr w14:paraId="2D9B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DCFF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60BF8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63CB97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387C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应对气候变化</w:t>
            </w:r>
          </w:p>
        </w:tc>
        <w:tc>
          <w:tcPr>
            <w:tcW w:w="1306" w:type="dxa"/>
            <w:shd w:val="clear" w:color="auto" w:fill="auto"/>
            <w:vAlign w:val="center"/>
          </w:tcPr>
          <w:p w14:paraId="49715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c>
          <w:tcPr>
            <w:tcW w:w="1306" w:type="dxa"/>
            <w:gridSpan w:val="2"/>
            <w:shd w:val="clear" w:color="auto" w:fill="auto"/>
            <w:vAlign w:val="center"/>
          </w:tcPr>
          <w:p w14:paraId="736DD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6F4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r>
      <w:tr w14:paraId="6838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B45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E9B4D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995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69A9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2B1E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306" w:type="dxa"/>
            <w:gridSpan w:val="2"/>
            <w:shd w:val="clear" w:color="auto" w:fill="auto"/>
            <w:vAlign w:val="center"/>
          </w:tcPr>
          <w:p w14:paraId="51F35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405" w:type="dxa"/>
            <w:shd w:val="clear" w:color="auto" w:fill="auto"/>
            <w:vAlign w:val="center"/>
          </w:tcPr>
          <w:p w14:paraId="67739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5B8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C80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4607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E8D27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F717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431B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306" w:type="dxa"/>
            <w:gridSpan w:val="2"/>
            <w:shd w:val="clear" w:color="auto" w:fill="auto"/>
            <w:vAlign w:val="center"/>
          </w:tcPr>
          <w:p w14:paraId="52491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405" w:type="dxa"/>
            <w:shd w:val="clear" w:color="auto" w:fill="auto"/>
            <w:vAlign w:val="center"/>
          </w:tcPr>
          <w:p w14:paraId="21D3E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62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F4A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8929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BA96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3A0A7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1B78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306" w:type="dxa"/>
            <w:gridSpan w:val="2"/>
            <w:shd w:val="clear" w:color="auto" w:fill="auto"/>
            <w:vAlign w:val="center"/>
          </w:tcPr>
          <w:p w14:paraId="2A06D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405" w:type="dxa"/>
            <w:shd w:val="clear" w:color="auto" w:fill="auto"/>
            <w:vAlign w:val="center"/>
          </w:tcPr>
          <w:p w14:paraId="0C559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095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5B1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0693E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8E6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A74A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灾害防治及应急管理支出</w:t>
            </w:r>
          </w:p>
        </w:tc>
        <w:tc>
          <w:tcPr>
            <w:tcW w:w="1306" w:type="dxa"/>
            <w:shd w:val="clear" w:color="auto" w:fill="auto"/>
            <w:vAlign w:val="center"/>
          </w:tcPr>
          <w:p w14:paraId="56F43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c>
          <w:tcPr>
            <w:tcW w:w="1306" w:type="dxa"/>
            <w:gridSpan w:val="2"/>
            <w:shd w:val="clear" w:color="auto" w:fill="auto"/>
            <w:vAlign w:val="center"/>
          </w:tcPr>
          <w:p w14:paraId="746AA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3DB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r>
      <w:tr w14:paraId="72CD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A4B2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3CA9E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8BB89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3E52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煤矿安全</w:t>
            </w:r>
          </w:p>
        </w:tc>
        <w:tc>
          <w:tcPr>
            <w:tcW w:w="1306" w:type="dxa"/>
            <w:shd w:val="clear" w:color="auto" w:fill="auto"/>
            <w:vAlign w:val="center"/>
          </w:tcPr>
          <w:p w14:paraId="463D2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c>
          <w:tcPr>
            <w:tcW w:w="1306" w:type="dxa"/>
            <w:gridSpan w:val="2"/>
            <w:shd w:val="clear" w:color="auto" w:fill="auto"/>
            <w:vAlign w:val="center"/>
          </w:tcPr>
          <w:p w14:paraId="2D337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6874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r>
      <w:tr w14:paraId="38CF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539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7A170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A346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3E1A9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其他矿山安全支出</w:t>
            </w:r>
          </w:p>
        </w:tc>
        <w:tc>
          <w:tcPr>
            <w:tcW w:w="1306" w:type="dxa"/>
            <w:shd w:val="clear" w:color="auto" w:fill="auto"/>
            <w:vAlign w:val="center"/>
          </w:tcPr>
          <w:p w14:paraId="0B564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c>
          <w:tcPr>
            <w:tcW w:w="1306" w:type="dxa"/>
            <w:gridSpan w:val="2"/>
            <w:shd w:val="clear" w:color="auto" w:fill="auto"/>
            <w:vAlign w:val="center"/>
          </w:tcPr>
          <w:p w14:paraId="527A7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D4D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r>
      <w:tr w14:paraId="054E5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B17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4C5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4114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FC5D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4604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2,437.85</w:t>
            </w:r>
          </w:p>
        </w:tc>
        <w:tc>
          <w:tcPr>
            <w:tcW w:w="1306" w:type="dxa"/>
            <w:gridSpan w:val="2"/>
            <w:shd w:val="clear" w:color="auto" w:fill="auto"/>
            <w:vAlign w:val="center"/>
          </w:tcPr>
          <w:p w14:paraId="266F0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473.47</w:t>
            </w:r>
          </w:p>
        </w:tc>
        <w:tc>
          <w:tcPr>
            <w:tcW w:w="1405" w:type="dxa"/>
            <w:shd w:val="clear" w:color="auto" w:fill="auto"/>
            <w:vAlign w:val="center"/>
          </w:tcPr>
          <w:p w14:paraId="5A5A4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1,964.38</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718.53</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718.53</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1F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407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941F1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2434" w:type="dxa"/>
            <w:shd w:val="clear" w:color="auto" w:fill="auto"/>
            <w:vAlign w:val="center"/>
          </w:tcPr>
          <w:p w14:paraId="2A457E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A817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12C0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AE4C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484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D86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33B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BB1D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F3D1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DD588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882E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AD2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06A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DB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6714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C11E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235E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6E1C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CF9B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537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DB8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AD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4A6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1D4C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6F42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F4E3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919C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D16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A94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4FD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8C35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386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C222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7941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970A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2EFC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7DF6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17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E769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AED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52FB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C6BA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CD85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249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AB4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3D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F7F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9D7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2E25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63EB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w:t>
            </w:r>
          </w:p>
        </w:tc>
        <w:tc>
          <w:tcPr>
            <w:tcW w:w="1063" w:type="dxa"/>
            <w:shd w:val="clear" w:color="auto" w:fill="auto"/>
            <w:vAlign w:val="center"/>
          </w:tcPr>
          <w:p w14:paraId="1E8DEE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w:t>
            </w:r>
          </w:p>
        </w:tc>
        <w:tc>
          <w:tcPr>
            <w:tcW w:w="1063" w:type="dxa"/>
            <w:gridSpan w:val="2"/>
            <w:shd w:val="clear" w:color="auto" w:fill="auto"/>
            <w:vAlign w:val="center"/>
          </w:tcPr>
          <w:p w14:paraId="2A96E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E08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4C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84AB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73A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24F7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179C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CDDD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4D6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4FBA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AF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04D8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67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5E21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2C90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21.97</w:t>
            </w:r>
          </w:p>
        </w:tc>
        <w:tc>
          <w:tcPr>
            <w:tcW w:w="1063" w:type="dxa"/>
            <w:shd w:val="clear" w:color="auto" w:fill="auto"/>
            <w:vAlign w:val="center"/>
          </w:tcPr>
          <w:p w14:paraId="192B8E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21.97</w:t>
            </w:r>
          </w:p>
        </w:tc>
        <w:tc>
          <w:tcPr>
            <w:tcW w:w="1063" w:type="dxa"/>
            <w:gridSpan w:val="2"/>
            <w:shd w:val="clear" w:color="auto" w:fill="auto"/>
            <w:vAlign w:val="center"/>
          </w:tcPr>
          <w:p w14:paraId="063152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828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04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34C2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B7D7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1D09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7342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1D77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86B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98B5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228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E6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359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7099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F5FD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A917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99F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DBC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68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5BD2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83E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F11C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46EA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DB5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F4C1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F7FA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35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4940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5EB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8098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362E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19D5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7E18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0B6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03B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4CE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C38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0D93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F970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2CB0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3F2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342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01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D8C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D2E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ED4D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5564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A1BA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06FD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285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B9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965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549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6BF0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F157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78C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FC0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8F4C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E2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3B1A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F3D7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134F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C6F9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6A04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CC5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DD2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87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A830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8C7B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54F1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B6ED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E7CE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1BA4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88B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CD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FF90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E25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76FA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E5A2E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36.99</w:t>
            </w:r>
          </w:p>
        </w:tc>
        <w:tc>
          <w:tcPr>
            <w:tcW w:w="1063" w:type="dxa"/>
            <w:shd w:val="clear" w:color="auto" w:fill="auto"/>
            <w:vAlign w:val="center"/>
          </w:tcPr>
          <w:p w14:paraId="4BF126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36.99</w:t>
            </w:r>
          </w:p>
        </w:tc>
        <w:tc>
          <w:tcPr>
            <w:tcW w:w="1063" w:type="dxa"/>
            <w:gridSpan w:val="2"/>
            <w:shd w:val="clear" w:color="auto" w:fill="auto"/>
            <w:vAlign w:val="center"/>
          </w:tcPr>
          <w:p w14:paraId="79E5D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081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C0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ACAB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C83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A80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B7FB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672D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FB0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07DE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22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348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E556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F9E6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AFF1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6913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C61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662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E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6FC3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CE35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699E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825D5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55B3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B5E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B1E3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BE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AA0F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68D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2EF7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196D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9B17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1A8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323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95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DC08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573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216F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EF1C5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620F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BAA9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993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4CE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37E5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707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480C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CA70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DA18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CDD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88E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98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E817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E20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D615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C0FB7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9150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FED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0A3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482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0423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3CF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402C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871A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D6E6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3447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5DB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55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3D32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E9C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EC42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1D51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0B89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527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FB6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5D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30E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F0AD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F8EF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1CB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557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BCE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73CF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43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6108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AB3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7F7CC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D02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45F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BCF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6FD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7E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2FDA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761A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2434" w:type="dxa"/>
            <w:shd w:val="clear" w:color="auto" w:fill="auto"/>
            <w:vAlign w:val="center"/>
          </w:tcPr>
          <w:p w14:paraId="7AD83C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3878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1063" w:type="dxa"/>
            <w:shd w:val="clear" w:color="auto" w:fill="auto"/>
            <w:vAlign w:val="center"/>
          </w:tcPr>
          <w:p w14:paraId="7D52B5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1063" w:type="dxa"/>
            <w:gridSpan w:val="2"/>
            <w:shd w:val="clear" w:color="auto" w:fill="auto"/>
            <w:vAlign w:val="center"/>
          </w:tcPr>
          <w:p w14:paraId="75CE3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14A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718.53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344.93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r>
      <w:tr w14:paraId="70DD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6681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451B7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3D1019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C28B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发展与改革事务</w:t>
            </w:r>
          </w:p>
        </w:tc>
        <w:tc>
          <w:tcPr>
            <w:tcW w:w="1367" w:type="dxa"/>
            <w:shd w:val="clear" w:color="auto" w:fill="auto"/>
            <w:vAlign w:val="center"/>
          </w:tcPr>
          <w:p w14:paraId="0896F9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718.53</w:t>
            </w:r>
          </w:p>
        </w:tc>
        <w:tc>
          <w:tcPr>
            <w:tcW w:w="1366" w:type="dxa"/>
            <w:gridSpan w:val="2"/>
            <w:shd w:val="clear" w:color="auto" w:fill="auto"/>
            <w:vAlign w:val="center"/>
          </w:tcPr>
          <w:p w14:paraId="0DA648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344.93</w:t>
            </w:r>
          </w:p>
        </w:tc>
        <w:tc>
          <w:tcPr>
            <w:tcW w:w="1427" w:type="dxa"/>
            <w:shd w:val="clear" w:color="auto" w:fill="auto"/>
            <w:vAlign w:val="center"/>
          </w:tcPr>
          <w:p w14:paraId="04D63C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r>
      <w:tr w14:paraId="67B7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D5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A262F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70EB81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7D599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BF6C2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344.93</w:t>
            </w:r>
          </w:p>
        </w:tc>
        <w:tc>
          <w:tcPr>
            <w:tcW w:w="1366" w:type="dxa"/>
            <w:gridSpan w:val="2"/>
            <w:shd w:val="clear" w:color="auto" w:fill="auto"/>
            <w:vAlign w:val="center"/>
          </w:tcPr>
          <w:p w14:paraId="1681C8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344.93</w:t>
            </w:r>
          </w:p>
        </w:tc>
        <w:tc>
          <w:tcPr>
            <w:tcW w:w="1427" w:type="dxa"/>
            <w:shd w:val="clear" w:color="auto" w:fill="auto"/>
            <w:vAlign w:val="center"/>
          </w:tcPr>
          <w:p w14:paraId="335E8C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0C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5D82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931C5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61B541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4395C1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其他发展与改革事务支出</w:t>
            </w:r>
          </w:p>
        </w:tc>
        <w:tc>
          <w:tcPr>
            <w:tcW w:w="1367" w:type="dxa"/>
            <w:shd w:val="clear" w:color="auto" w:fill="auto"/>
            <w:vAlign w:val="center"/>
          </w:tcPr>
          <w:p w14:paraId="0C0C4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c>
          <w:tcPr>
            <w:tcW w:w="1366" w:type="dxa"/>
            <w:gridSpan w:val="2"/>
            <w:shd w:val="clear" w:color="auto" w:fill="auto"/>
            <w:vAlign w:val="center"/>
          </w:tcPr>
          <w:p w14:paraId="4B35D5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C3F6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r>
      <w:tr w14:paraId="23334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E5AF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5F146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DFB8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C728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FA55B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w:t>
            </w:r>
          </w:p>
        </w:tc>
        <w:tc>
          <w:tcPr>
            <w:tcW w:w="1366" w:type="dxa"/>
            <w:gridSpan w:val="2"/>
            <w:shd w:val="clear" w:color="auto" w:fill="auto"/>
            <w:vAlign w:val="center"/>
          </w:tcPr>
          <w:p w14:paraId="283130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w:t>
            </w:r>
          </w:p>
        </w:tc>
        <w:tc>
          <w:tcPr>
            <w:tcW w:w="1427" w:type="dxa"/>
            <w:shd w:val="clear" w:color="auto" w:fill="auto"/>
            <w:vAlign w:val="center"/>
          </w:tcPr>
          <w:p w14:paraId="522713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B1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1573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F797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6A6B9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40AB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7A20C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w:t>
            </w:r>
          </w:p>
        </w:tc>
        <w:tc>
          <w:tcPr>
            <w:tcW w:w="1366" w:type="dxa"/>
            <w:gridSpan w:val="2"/>
            <w:shd w:val="clear" w:color="auto" w:fill="auto"/>
            <w:vAlign w:val="center"/>
          </w:tcPr>
          <w:p w14:paraId="25E578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w:t>
            </w:r>
          </w:p>
        </w:tc>
        <w:tc>
          <w:tcPr>
            <w:tcW w:w="1427" w:type="dxa"/>
            <w:shd w:val="clear" w:color="auto" w:fill="auto"/>
            <w:vAlign w:val="center"/>
          </w:tcPr>
          <w:p w14:paraId="2F84A5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A63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D3F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C10F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7217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4F00F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F374A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24.26</w:t>
            </w:r>
          </w:p>
        </w:tc>
        <w:tc>
          <w:tcPr>
            <w:tcW w:w="1366" w:type="dxa"/>
            <w:gridSpan w:val="2"/>
            <w:shd w:val="clear" w:color="auto" w:fill="auto"/>
            <w:vAlign w:val="center"/>
          </w:tcPr>
          <w:p w14:paraId="4D9903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24.26</w:t>
            </w:r>
          </w:p>
        </w:tc>
        <w:tc>
          <w:tcPr>
            <w:tcW w:w="1427" w:type="dxa"/>
            <w:shd w:val="clear" w:color="auto" w:fill="auto"/>
            <w:vAlign w:val="center"/>
          </w:tcPr>
          <w:p w14:paraId="0F68BE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1E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C68A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40128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2D558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4F36A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DFF7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366" w:type="dxa"/>
            <w:gridSpan w:val="2"/>
            <w:shd w:val="clear" w:color="auto" w:fill="auto"/>
            <w:vAlign w:val="center"/>
          </w:tcPr>
          <w:p w14:paraId="6F99FF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427" w:type="dxa"/>
            <w:shd w:val="clear" w:color="auto" w:fill="auto"/>
            <w:vAlign w:val="center"/>
          </w:tcPr>
          <w:p w14:paraId="0721F6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A77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BF7D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08A6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62F1C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9E3F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B1CFD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21.97</w:t>
            </w:r>
          </w:p>
        </w:tc>
        <w:tc>
          <w:tcPr>
            <w:tcW w:w="1366" w:type="dxa"/>
            <w:gridSpan w:val="2"/>
            <w:shd w:val="clear" w:color="auto" w:fill="auto"/>
            <w:vAlign w:val="center"/>
          </w:tcPr>
          <w:p w14:paraId="54FB07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21.97</w:t>
            </w:r>
          </w:p>
        </w:tc>
        <w:tc>
          <w:tcPr>
            <w:tcW w:w="1427" w:type="dxa"/>
            <w:shd w:val="clear" w:color="auto" w:fill="auto"/>
            <w:vAlign w:val="center"/>
          </w:tcPr>
          <w:p w14:paraId="2C1D4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2FE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6A29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6DC0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7B11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5CF2F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CCFCF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21.97</w:t>
            </w:r>
          </w:p>
        </w:tc>
        <w:tc>
          <w:tcPr>
            <w:tcW w:w="1366" w:type="dxa"/>
            <w:gridSpan w:val="2"/>
            <w:shd w:val="clear" w:color="auto" w:fill="auto"/>
            <w:vAlign w:val="center"/>
          </w:tcPr>
          <w:p w14:paraId="474DD3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21.97</w:t>
            </w:r>
          </w:p>
        </w:tc>
        <w:tc>
          <w:tcPr>
            <w:tcW w:w="1427" w:type="dxa"/>
            <w:shd w:val="clear" w:color="auto" w:fill="auto"/>
            <w:vAlign w:val="center"/>
          </w:tcPr>
          <w:p w14:paraId="66F482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AF4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5C75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E6496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2CBAF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8D7F8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6A77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19.25</w:t>
            </w:r>
          </w:p>
        </w:tc>
        <w:tc>
          <w:tcPr>
            <w:tcW w:w="1366" w:type="dxa"/>
            <w:gridSpan w:val="2"/>
            <w:shd w:val="clear" w:color="auto" w:fill="auto"/>
            <w:vAlign w:val="center"/>
          </w:tcPr>
          <w:p w14:paraId="0E27F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19.25</w:t>
            </w:r>
          </w:p>
        </w:tc>
        <w:tc>
          <w:tcPr>
            <w:tcW w:w="1427" w:type="dxa"/>
            <w:shd w:val="clear" w:color="auto" w:fill="auto"/>
            <w:vAlign w:val="center"/>
          </w:tcPr>
          <w:p w14:paraId="363130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37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1562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699B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F8EC0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A29EB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CA6D0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366" w:type="dxa"/>
            <w:gridSpan w:val="2"/>
            <w:shd w:val="clear" w:color="auto" w:fill="auto"/>
            <w:vAlign w:val="center"/>
          </w:tcPr>
          <w:p w14:paraId="6B1470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427" w:type="dxa"/>
            <w:shd w:val="clear" w:color="auto" w:fill="auto"/>
            <w:vAlign w:val="center"/>
          </w:tcPr>
          <w:p w14:paraId="722C70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23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57A7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0E84A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28F6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2E35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7EF23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366" w:type="dxa"/>
            <w:gridSpan w:val="2"/>
            <w:shd w:val="clear" w:color="auto" w:fill="auto"/>
            <w:vAlign w:val="center"/>
          </w:tcPr>
          <w:p w14:paraId="6E2C0F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427" w:type="dxa"/>
            <w:shd w:val="clear" w:color="auto" w:fill="auto"/>
            <w:vAlign w:val="center"/>
          </w:tcPr>
          <w:p w14:paraId="0D03C1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BB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AFE9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51AAF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C49DE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C10D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0C73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366" w:type="dxa"/>
            <w:gridSpan w:val="2"/>
            <w:shd w:val="clear" w:color="auto" w:fill="auto"/>
            <w:vAlign w:val="center"/>
          </w:tcPr>
          <w:p w14:paraId="421897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427" w:type="dxa"/>
            <w:shd w:val="clear" w:color="auto" w:fill="auto"/>
            <w:vAlign w:val="center"/>
          </w:tcPr>
          <w:p w14:paraId="42685A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9D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173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0B939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6E3F8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57E3E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0BE2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366" w:type="dxa"/>
            <w:gridSpan w:val="2"/>
            <w:shd w:val="clear" w:color="auto" w:fill="auto"/>
            <w:vAlign w:val="center"/>
          </w:tcPr>
          <w:p w14:paraId="466D8F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427" w:type="dxa"/>
            <w:shd w:val="clear" w:color="auto" w:fill="auto"/>
            <w:vAlign w:val="center"/>
          </w:tcPr>
          <w:p w14:paraId="4A0E17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636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E675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5A754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A56B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2DF5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40025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847.07</w:t>
            </w:r>
          </w:p>
        </w:tc>
        <w:tc>
          <w:tcPr>
            <w:tcW w:w="1366" w:type="dxa"/>
            <w:gridSpan w:val="2"/>
            <w:shd w:val="clear" w:color="auto" w:fill="auto"/>
            <w:vAlign w:val="center"/>
          </w:tcPr>
          <w:p w14:paraId="3EA2AA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473.47</w:t>
            </w:r>
          </w:p>
        </w:tc>
        <w:tc>
          <w:tcPr>
            <w:tcW w:w="1427" w:type="dxa"/>
            <w:shd w:val="clear" w:color="auto" w:fill="auto"/>
            <w:vAlign w:val="center"/>
          </w:tcPr>
          <w:p w14:paraId="1A7116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415.78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415.78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74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4F9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B93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CE6EB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124D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80.81</w:t>
            </w:r>
          </w:p>
        </w:tc>
        <w:tc>
          <w:tcPr>
            <w:tcW w:w="1366" w:type="dxa"/>
            <w:gridSpan w:val="2"/>
            <w:shd w:val="clear" w:color="auto" w:fill="auto"/>
            <w:vAlign w:val="center"/>
          </w:tcPr>
          <w:p w14:paraId="67825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80.81</w:t>
            </w:r>
          </w:p>
        </w:tc>
        <w:tc>
          <w:tcPr>
            <w:tcW w:w="1427" w:type="dxa"/>
            <w:shd w:val="clear" w:color="auto" w:fill="auto"/>
            <w:vAlign w:val="center"/>
          </w:tcPr>
          <w:p w14:paraId="13085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C3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B074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69E2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008DF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B139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70.49</w:t>
            </w:r>
          </w:p>
        </w:tc>
        <w:tc>
          <w:tcPr>
            <w:tcW w:w="1366" w:type="dxa"/>
            <w:gridSpan w:val="2"/>
            <w:shd w:val="clear" w:color="auto" w:fill="auto"/>
            <w:vAlign w:val="center"/>
          </w:tcPr>
          <w:p w14:paraId="26B08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70.49</w:t>
            </w:r>
          </w:p>
        </w:tc>
        <w:tc>
          <w:tcPr>
            <w:tcW w:w="1427" w:type="dxa"/>
            <w:shd w:val="clear" w:color="auto" w:fill="auto"/>
            <w:vAlign w:val="center"/>
          </w:tcPr>
          <w:p w14:paraId="3104E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FF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916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49A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090A7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266A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62.54</w:t>
            </w:r>
          </w:p>
        </w:tc>
        <w:tc>
          <w:tcPr>
            <w:tcW w:w="1366" w:type="dxa"/>
            <w:gridSpan w:val="2"/>
            <w:shd w:val="clear" w:color="auto" w:fill="auto"/>
            <w:vAlign w:val="center"/>
          </w:tcPr>
          <w:p w14:paraId="2F13B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62.54</w:t>
            </w:r>
          </w:p>
        </w:tc>
        <w:tc>
          <w:tcPr>
            <w:tcW w:w="1427" w:type="dxa"/>
            <w:shd w:val="clear" w:color="auto" w:fill="auto"/>
            <w:vAlign w:val="center"/>
          </w:tcPr>
          <w:p w14:paraId="6F2B3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62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C22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EF3B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DAD8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5B42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16.31</w:t>
            </w:r>
          </w:p>
        </w:tc>
        <w:tc>
          <w:tcPr>
            <w:tcW w:w="1366" w:type="dxa"/>
            <w:gridSpan w:val="2"/>
            <w:shd w:val="clear" w:color="auto" w:fill="auto"/>
            <w:vAlign w:val="center"/>
          </w:tcPr>
          <w:p w14:paraId="6EF8C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16.31</w:t>
            </w:r>
          </w:p>
        </w:tc>
        <w:tc>
          <w:tcPr>
            <w:tcW w:w="1427" w:type="dxa"/>
            <w:shd w:val="clear" w:color="auto" w:fill="auto"/>
            <w:vAlign w:val="center"/>
          </w:tcPr>
          <w:p w14:paraId="2CBD9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7D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927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114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AE3C6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3F69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45.32</w:t>
            </w:r>
          </w:p>
        </w:tc>
        <w:tc>
          <w:tcPr>
            <w:tcW w:w="1366" w:type="dxa"/>
            <w:gridSpan w:val="2"/>
            <w:shd w:val="clear" w:color="auto" w:fill="auto"/>
            <w:vAlign w:val="center"/>
          </w:tcPr>
          <w:p w14:paraId="78FBE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45.32</w:t>
            </w:r>
          </w:p>
        </w:tc>
        <w:tc>
          <w:tcPr>
            <w:tcW w:w="1427" w:type="dxa"/>
            <w:shd w:val="clear" w:color="auto" w:fill="auto"/>
            <w:vAlign w:val="center"/>
          </w:tcPr>
          <w:p w14:paraId="098FB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52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F21B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3A1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A16CE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C073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19.25</w:t>
            </w:r>
          </w:p>
        </w:tc>
        <w:tc>
          <w:tcPr>
            <w:tcW w:w="1366" w:type="dxa"/>
            <w:gridSpan w:val="2"/>
            <w:shd w:val="clear" w:color="auto" w:fill="auto"/>
            <w:vAlign w:val="center"/>
          </w:tcPr>
          <w:p w14:paraId="45E82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19.25</w:t>
            </w:r>
          </w:p>
        </w:tc>
        <w:tc>
          <w:tcPr>
            <w:tcW w:w="1427" w:type="dxa"/>
            <w:shd w:val="clear" w:color="auto" w:fill="auto"/>
            <w:vAlign w:val="center"/>
          </w:tcPr>
          <w:p w14:paraId="29C67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7F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CD0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A0CB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15832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26AB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2.72</w:t>
            </w:r>
          </w:p>
        </w:tc>
        <w:tc>
          <w:tcPr>
            <w:tcW w:w="1366" w:type="dxa"/>
            <w:gridSpan w:val="2"/>
            <w:shd w:val="clear" w:color="auto" w:fill="auto"/>
            <w:vAlign w:val="center"/>
          </w:tcPr>
          <w:p w14:paraId="4A720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2.72</w:t>
            </w:r>
          </w:p>
        </w:tc>
        <w:tc>
          <w:tcPr>
            <w:tcW w:w="1427" w:type="dxa"/>
            <w:shd w:val="clear" w:color="auto" w:fill="auto"/>
            <w:vAlign w:val="center"/>
          </w:tcPr>
          <w:p w14:paraId="3AAD7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D7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A9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E7F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5155C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4087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366" w:type="dxa"/>
            <w:gridSpan w:val="2"/>
            <w:shd w:val="clear" w:color="auto" w:fill="auto"/>
            <w:vAlign w:val="center"/>
          </w:tcPr>
          <w:p w14:paraId="135D6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427" w:type="dxa"/>
            <w:shd w:val="clear" w:color="auto" w:fill="auto"/>
            <w:vAlign w:val="center"/>
          </w:tcPr>
          <w:p w14:paraId="6AC93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32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1E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9C3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03767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0DF3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36.99</w:t>
            </w:r>
          </w:p>
        </w:tc>
        <w:tc>
          <w:tcPr>
            <w:tcW w:w="1366" w:type="dxa"/>
            <w:gridSpan w:val="2"/>
            <w:shd w:val="clear" w:color="auto" w:fill="auto"/>
            <w:vAlign w:val="center"/>
          </w:tcPr>
          <w:p w14:paraId="2745D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36.99</w:t>
            </w:r>
          </w:p>
        </w:tc>
        <w:tc>
          <w:tcPr>
            <w:tcW w:w="1427" w:type="dxa"/>
            <w:shd w:val="clear" w:color="auto" w:fill="auto"/>
            <w:vAlign w:val="center"/>
          </w:tcPr>
          <w:p w14:paraId="27CED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38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989C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5EC9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6476B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2114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80.04</w:t>
            </w:r>
          </w:p>
        </w:tc>
        <w:tc>
          <w:tcPr>
            <w:tcW w:w="1366" w:type="dxa"/>
            <w:gridSpan w:val="2"/>
            <w:shd w:val="clear" w:color="auto" w:fill="auto"/>
            <w:vAlign w:val="center"/>
          </w:tcPr>
          <w:p w14:paraId="5261D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80.04</w:t>
            </w:r>
          </w:p>
        </w:tc>
        <w:tc>
          <w:tcPr>
            <w:tcW w:w="1427" w:type="dxa"/>
            <w:shd w:val="clear" w:color="auto" w:fill="auto"/>
            <w:vAlign w:val="center"/>
          </w:tcPr>
          <w:p w14:paraId="37CDF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A2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BC2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7BD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3BC4B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2140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31.09</w:t>
            </w:r>
          </w:p>
        </w:tc>
        <w:tc>
          <w:tcPr>
            <w:tcW w:w="1366" w:type="dxa"/>
            <w:gridSpan w:val="2"/>
            <w:shd w:val="clear" w:color="auto" w:fill="auto"/>
            <w:vAlign w:val="center"/>
          </w:tcPr>
          <w:p w14:paraId="3F378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1EE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31.09</w:t>
            </w:r>
          </w:p>
        </w:tc>
      </w:tr>
      <w:tr w14:paraId="0C87C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645C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B2A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0FFFF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7731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14.60</w:t>
            </w:r>
          </w:p>
        </w:tc>
        <w:tc>
          <w:tcPr>
            <w:tcW w:w="1366" w:type="dxa"/>
            <w:gridSpan w:val="2"/>
            <w:shd w:val="clear" w:color="auto" w:fill="auto"/>
            <w:vAlign w:val="center"/>
          </w:tcPr>
          <w:p w14:paraId="40BCB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5A1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14.60</w:t>
            </w:r>
          </w:p>
        </w:tc>
      </w:tr>
      <w:tr w14:paraId="0A58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4570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CDE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5911E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92B6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922A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FC5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11A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EECF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4599A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1689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13A9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w:t>
            </w:r>
          </w:p>
        </w:tc>
        <w:tc>
          <w:tcPr>
            <w:tcW w:w="1366" w:type="dxa"/>
            <w:gridSpan w:val="2"/>
            <w:shd w:val="clear" w:color="auto" w:fill="auto"/>
            <w:vAlign w:val="center"/>
          </w:tcPr>
          <w:p w14:paraId="181CC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249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w:t>
            </w:r>
          </w:p>
        </w:tc>
      </w:tr>
      <w:tr w14:paraId="2D1B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EFA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0A3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978CB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46E1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966C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D46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FD86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02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19E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AB810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725CD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6E61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5FB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176F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9BA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9C9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9C318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65FC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w:t>
            </w:r>
          </w:p>
        </w:tc>
        <w:tc>
          <w:tcPr>
            <w:tcW w:w="1366" w:type="dxa"/>
            <w:gridSpan w:val="2"/>
            <w:shd w:val="clear" w:color="auto" w:fill="auto"/>
            <w:vAlign w:val="center"/>
          </w:tcPr>
          <w:p w14:paraId="00B6B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ADE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w:t>
            </w:r>
          </w:p>
        </w:tc>
      </w:tr>
      <w:tr w14:paraId="4A76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12E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ED615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0B712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AA82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79357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FC1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47A9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B9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FF0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6C08A1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16923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1EC47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48E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r>
      <w:tr w14:paraId="30A8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771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4F7C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A8BAF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CB2C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26.60</w:t>
            </w:r>
          </w:p>
        </w:tc>
        <w:tc>
          <w:tcPr>
            <w:tcW w:w="1366" w:type="dxa"/>
            <w:gridSpan w:val="2"/>
            <w:shd w:val="clear" w:color="auto" w:fill="auto"/>
            <w:vAlign w:val="center"/>
          </w:tcPr>
          <w:p w14:paraId="723B8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26.60</w:t>
            </w:r>
          </w:p>
        </w:tc>
        <w:tc>
          <w:tcPr>
            <w:tcW w:w="1427" w:type="dxa"/>
            <w:shd w:val="clear" w:color="auto" w:fill="auto"/>
            <w:vAlign w:val="center"/>
          </w:tcPr>
          <w:p w14:paraId="2F67B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45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E69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CC80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A4769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1870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24.26</w:t>
            </w:r>
          </w:p>
        </w:tc>
        <w:tc>
          <w:tcPr>
            <w:tcW w:w="1366" w:type="dxa"/>
            <w:gridSpan w:val="2"/>
            <w:shd w:val="clear" w:color="auto" w:fill="auto"/>
            <w:vAlign w:val="center"/>
          </w:tcPr>
          <w:p w14:paraId="12CE4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24.26</w:t>
            </w:r>
          </w:p>
        </w:tc>
        <w:tc>
          <w:tcPr>
            <w:tcW w:w="1427" w:type="dxa"/>
            <w:shd w:val="clear" w:color="auto" w:fill="auto"/>
            <w:vAlign w:val="center"/>
          </w:tcPr>
          <w:p w14:paraId="63BE7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6D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D3BC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9E8D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0C504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9064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2.34</w:t>
            </w:r>
          </w:p>
        </w:tc>
        <w:tc>
          <w:tcPr>
            <w:tcW w:w="1366" w:type="dxa"/>
            <w:gridSpan w:val="2"/>
            <w:shd w:val="clear" w:color="auto" w:fill="auto"/>
            <w:vAlign w:val="center"/>
          </w:tcPr>
          <w:p w14:paraId="27EFF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2.34</w:t>
            </w:r>
          </w:p>
        </w:tc>
        <w:tc>
          <w:tcPr>
            <w:tcW w:w="1427" w:type="dxa"/>
            <w:shd w:val="clear" w:color="auto" w:fill="auto"/>
            <w:vAlign w:val="center"/>
          </w:tcPr>
          <w:p w14:paraId="798C1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C3C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1993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9D90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E8A50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0C3A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473.47</w:t>
            </w:r>
          </w:p>
        </w:tc>
        <w:tc>
          <w:tcPr>
            <w:tcW w:w="1366" w:type="dxa"/>
            <w:gridSpan w:val="2"/>
            <w:shd w:val="clear" w:color="auto" w:fill="auto"/>
            <w:vAlign w:val="center"/>
          </w:tcPr>
          <w:p w14:paraId="61582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442.38</w:t>
            </w:r>
          </w:p>
        </w:tc>
        <w:tc>
          <w:tcPr>
            <w:tcW w:w="1427" w:type="dxa"/>
            <w:shd w:val="clear" w:color="auto" w:fill="auto"/>
            <w:vAlign w:val="center"/>
          </w:tcPr>
          <w:p w14:paraId="68ABD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31.09</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76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7C66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85236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3A236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9CED8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发展与改革事务</w:t>
            </w:r>
          </w:p>
        </w:tc>
        <w:tc>
          <w:tcPr>
            <w:tcW w:w="2073" w:type="dxa"/>
            <w:shd w:val="clear" w:color="auto" w:fill="auto"/>
            <w:vAlign w:val="center"/>
          </w:tcPr>
          <w:p w14:paraId="0BE1CC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79A0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23277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1D4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50F33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027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732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71E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207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295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9FE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B23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BF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9A7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7194A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B4495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CBC29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其他发展与改革事务支出</w:t>
            </w:r>
          </w:p>
        </w:tc>
        <w:tc>
          <w:tcPr>
            <w:tcW w:w="2073" w:type="dxa"/>
            <w:shd w:val="clear" w:color="auto" w:fill="auto"/>
            <w:vAlign w:val="center"/>
          </w:tcPr>
          <w:p w14:paraId="743C43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2025年农产品成本调查经费</w:t>
            </w:r>
          </w:p>
        </w:tc>
        <w:tc>
          <w:tcPr>
            <w:tcW w:w="881" w:type="dxa"/>
            <w:shd w:val="clear" w:color="auto" w:fill="auto"/>
            <w:vAlign w:val="center"/>
          </w:tcPr>
          <w:p w14:paraId="28A81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3D5A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028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78025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4BC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8D4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EDB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EE6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A9A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101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EEB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04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690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17F2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0C7F24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0C732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其他发展与改革事务支出</w:t>
            </w:r>
          </w:p>
        </w:tc>
        <w:tc>
          <w:tcPr>
            <w:tcW w:w="2073" w:type="dxa"/>
            <w:shd w:val="clear" w:color="auto" w:fill="auto"/>
            <w:vAlign w:val="center"/>
          </w:tcPr>
          <w:p w14:paraId="212F99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县级应急成品粮油和物资储备管理费用</w:t>
            </w:r>
          </w:p>
        </w:tc>
        <w:tc>
          <w:tcPr>
            <w:tcW w:w="881" w:type="dxa"/>
            <w:shd w:val="clear" w:color="auto" w:fill="auto"/>
            <w:vAlign w:val="center"/>
          </w:tcPr>
          <w:p w14:paraId="4CA2B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33BD9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F41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0BDB8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D0C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F3A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122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EFA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3E1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E08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C93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56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FB4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D161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27444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B3D4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其他发展与改革事务支出</w:t>
            </w:r>
          </w:p>
        </w:tc>
        <w:tc>
          <w:tcPr>
            <w:tcW w:w="2073" w:type="dxa"/>
            <w:shd w:val="clear" w:color="auto" w:fill="auto"/>
            <w:vAlign w:val="center"/>
          </w:tcPr>
          <w:p w14:paraId="0BBABE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项目前期费县级</w:t>
            </w:r>
          </w:p>
        </w:tc>
        <w:tc>
          <w:tcPr>
            <w:tcW w:w="881" w:type="dxa"/>
            <w:shd w:val="clear" w:color="auto" w:fill="auto"/>
            <w:vAlign w:val="center"/>
          </w:tcPr>
          <w:p w14:paraId="164C0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1E89D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40E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37446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C58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57C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F4D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E2F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CFA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EE6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A56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AC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E85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144A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5E295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AA3B4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其他发展与改革事务支出</w:t>
            </w:r>
          </w:p>
        </w:tc>
        <w:tc>
          <w:tcPr>
            <w:tcW w:w="2073" w:type="dxa"/>
            <w:shd w:val="clear" w:color="auto" w:fill="auto"/>
            <w:vAlign w:val="center"/>
          </w:tcPr>
          <w:p w14:paraId="7530E7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污染防治县级配套项目</w:t>
            </w:r>
          </w:p>
        </w:tc>
        <w:tc>
          <w:tcPr>
            <w:tcW w:w="881" w:type="dxa"/>
            <w:shd w:val="clear" w:color="auto" w:fill="auto"/>
            <w:vAlign w:val="center"/>
          </w:tcPr>
          <w:p w14:paraId="3DD50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D1B2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0C0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4463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535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C4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E77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396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581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052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44B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A5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5D2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54F2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EFF0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F8176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174AB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B3F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5F58C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85A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54B83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9A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5F8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D8C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DAC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A5D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9F6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9B8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托克逊县发展和改革委员会(托克逊县粮食和物资储备局)2025年没有使用政府性基金预算拨款安排的支出，政府性基金预算支出情况表为空表。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托克逊县发展和改革委员会(托克逊县粮食和物资储备局)2025年没有使用国有资本经营预算拨款安排的支出，国有资本经营预算支出情况表为空表。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15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A5F18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379CA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2DD80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F6F50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B66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5B2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24980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D1BAF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739C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F497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CFD7F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AB1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B1FB7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1BEE9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0381E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17CE1D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AAFF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8A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F8A71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85626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310A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8E90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10CC1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818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A6B90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BB978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A2488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279FD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E27F1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6"/>
                <w:szCs w:val="16"/>
                <w:lang w:eastAsia="zh-CN"/>
              </w:rPr>
            </w:pPr>
            <w:r>
              <w:rPr>
                <w:rFonts w:hint="eastAsia" w:asciiTheme="majorEastAsia" w:hAnsiTheme="majorEastAsia" w:eastAsiaTheme="majorEastAsia" w:cstheme="majorEastAsia"/>
                <w:sz w:val="16"/>
                <w:szCs w:val="16"/>
                <w:lang w:val="en-US" w:eastAsia="zh-CN"/>
              </w:rPr>
              <w:t>总</w:t>
            </w:r>
            <w:r>
              <w:rPr>
                <w:rFonts w:hint="eastAsia" w:asciiTheme="majorEastAsia" w:hAnsiTheme="majorEastAsia" w:eastAsiaTheme="majorEastAsia" w:cstheme="majorEastAsia"/>
                <w:sz w:val="16"/>
                <w:szCs w:val="16"/>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1590</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r>
              <w:rPr>
                <w:rFonts w:hint="eastAsia" w:asciiTheme="majorEastAsia" w:hAnsiTheme="majorEastAsia" w:eastAsiaTheme="majorEastAsia" w:cstheme="majorEastAsia"/>
                <w:sz w:val="16"/>
                <w:szCs w:val="16"/>
              </w:rPr>
              <w:t>1590</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r>
              <w:rPr>
                <w:rFonts w:hint="eastAsia" w:asciiTheme="majorEastAsia" w:hAnsiTheme="majorEastAsia" w:eastAsiaTheme="majorEastAsia" w:cstheme="majorEastAsia"/>
                <w:sz w:val="16"/>
                <w:szCs w:val="16"/>
              </w:rPr>
              <w:t>1590</w:t>
            </w:r>
            <w:r>
              <w:rPr>
                <w:rFonts w:hint="eastAsia" w:asciiTheme="majorEastAsia" w:hAnsiTheme="majorEastAsia" w:eastAsiaTheme="majorEastAsia" w:cstheme="majorEastAsia"/>
                <w:sz w:val="16"/>
                <w:szCs w:val="16"/>
                <w:lang w:val="en-US" w:eastAsia="zh-CN"/>
              </w:rPr>
              <w:t>.00</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B1C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98795B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6"/>
                <w:szCs w:val="16"/>
                <w:lang w:eastAsia="zh-CN"/>
              </w:rPr>
            </w:pPr>
            <w:r>
              <w:rPr>
                <w:rFonts w:hint="eastAsia" w:asciiTheme="majorEastAsia" w:hAnsiTheme="majorEastAsia" w:eastAsiaTheme="majorEastAsia" w:cstheme="majorEastAsia"/>
                <w:sz w:val="16"/>
                <w:szCs w:val="16"/>
              </w:rPr>
              <w:t>新疆中泰化学托克逊能化有限公司电石炉智能冶炼系统开发与系统数字化改造应用项目</w:t>
            </w:r>
          </w:p>
        </w:tc>
        <w:tc>
          <w:tcPr>
            <w:tcW w:w="1247" w:type="dxa"/>
            <w:shd w:val="clear" w:color="auto" w:fill="auto"/>
            <w:vAlign w:val="center"/>
          </w:tcPr>
          <w:p w14:paraId="2734C243">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318</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578EF0E2">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318</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7544F5B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4811E46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3CFF42B7">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318</w:t>
            </w:r>
            <w:r>
              <w:rPr>
                <w:rFonts w:hint="eastAsia" w:asciiTheme="majorEastAsia" w:hAnsiTheme="majorEastAsia" w:eastAsiaTheme="majorEastAsia" w:cstheme="majorEastAsia"/>
                <w:sz w:val="16"/>
                <w:szCs w:val="16"/>
                <w:lang w:val="en-US" w:eastAsia="zh-CN"/>
              </w:rPr>
              <w:t>.00</w:t>
            </w:r>
          </w:p>
        </w:tc>
        <w:tc>
          <w:tcPr>
            <w:tcW w:w="1247" w:type="dxa"/>
            <w:gridSpan w:val="2"/>
            <w:shd w:val="clear" w:color="auto" w:fill="auto"/>
            <w:vAlign w:val="center"/>
          </w:tcPr>
          <w:p w14:paraId="25E1E6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5512C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FEA9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CAEC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820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AAF27D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6"/>
                <w:szCs w:val="16"/>
                <w:lang w:eastAsia="zh-CN"/>
              </w:rPr>
            </w:pPr>
            <w:r>
              <w:rPr>
                <w:rFonts w:hint="eastAsia" w:asciiTheme="majorEastAsia" w:hAnsiTheme="majorEastAsia" w:eastAsiaTheme="majorEastAsia" w:cstheme="majorEastAsia"/>
                <w:sz w:val="16"/>
                <w:szCs w:val="16"/>
              </w:rPr>
              <w:t>新疆中泰化学托克逊能化有限公司新型烘干窑热交换方式改造项目</w:t>
            </w:r>
          </w:p>
        </w:tc>
        <w:tc>
          <w:tcPr>
            <w:tcW w:w="1247" w:type="dxa"/>
            <w:shd w:val="clear" w:color="auto" w:fill="auto"/>
            <w:vAlign w:val="center"/>
          </w:tcPr>
          <w:p w14:paraId="01551F32">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318</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19FEE9C7">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318</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66F09A8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30A018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6FB5CC54">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318</w:t>
            </w:r>
            <w:r>
              <w:rPr>
                <w:rFonts w:hint="eastAsia" w:asciiTheme="majorEastAsia" w:hAnsiTheme="majorEastAsia" w:eastAsiaTheme="majorEastAsia" w:cstheme="majorEastAsia"/>
                <w:sz w:val="16"/>
                <w:szCs w:val="16"/>
                <w:lang w:val="en-US" w:eastAsia="zh-CN"/>
              </w:rPr>
              <w:t>.00</w:t>
            </w:r>
          </w:p>
        </w:tc>
        <w:tc>
          <w:tcPr>
            <w:tcW w:w="1247" w:type="dxa"/>
            <w:gridSpan w:val="2"/>
            <w:shd w:val="clear" w:color="auto" w:fill="auto"/>
            <w:vAlign w:val="center"/>
          </w:tcPr>
          <w:p w14:paraId="10F757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704A3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B500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6D49E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EF1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793AE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6"/>
                <w:szCs w:val="16"/>
                <w:lang w:eastAsia="zh-CN"/>
              </w:rPr>
            </w:pPr>
            <w:r>
              <w:rPr>
                <w:rFonts w:hint="eastAsia" w:asciiTheme="majorEastAsia" w:hAnsiTheme="majorEastAsia" w:eastAsiaTheme="majorEastAsia" w:cstheme="majorEastAsia"/>
                <w:sz w:val="16"/>
                <w:szCs w:val="16"/>
              </w:rPr>
              <w:t>吐鲁番市托克逊县重点项目前期费</w:t>
            </w:r>
          </w:p>
        </w:tc>
        <w:tc>
          <w:tcPr>
            <w:tcW w:w="1247" w:type="dxa"/>
            <w:shd w:val="clear" w:color="auto" w:fill="auto"/>
            <w:vAlign w:val="center"/>
          </w:tcPr>
          <w:p w14:paraId="6E726CD3">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400</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5D0471CF">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400</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370AF6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2BF08E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272C6A2A">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400</w:t>
            </w:r>
            <w:r>
              <w:rPr>
                <w:rFonts w:hint="eastAsia" w:asciiTheme="majorEastAsia" w:hAnsiTheme="majorEastAsia" w:eastAsiaTheme="majorEastAsia" w:cstheme="majorEastAsia"/>
                <w:sz w:val="16"/>
                <w:szCs w:val="16"/>
                <w:lang w:val="en-US" w:eastAsia="zh-CN"/>
              </w:rPr>
              <w:t>.00</w:t>
            </w:r>
          </w:p>
        </w:tc>
        <w:tc>
          <w:tcPr>
            <w:tcW w:w="1247" w:type="dxa"/>
            <w:gridSpan w:val="2"/>
            <w:shd w:val="clear" w:color="auto" w:fill="auto"/>
            <w:vAlign w:val="center"/>
          </w:tcPr>
          <w:p w14:paraId="67E8B64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DC0E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FC66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987D8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80A3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E2BA4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6"/>
                <w:szCs w:val="16"/>
                <w:lang w:eastAsia="zh-CN"/>
              </w:rPr>
            </w:pPr>
            <w:r>
              <w:rPr>
                <w:rFonts w:hint="eastAsia" w:asciiTheme="majorEastAsia" w:hAnsiTheme="majorEastAsia" w:eastAsiaTheme="majorEastAsia" w:cstheme="majorEastAsia"/>
                <w:sz w:val="16"/>
                <w:szCs w:val="16"/>
              </w:rPr>
              <w:t>关于下达煤矿安全改造专项2024年中央基建投资预算的通知</w:t>
            </w:r>
          </w:p>
        </w:tc>
        <w:tc>
          <w:tcPr>
            <w:tcW w:w="1247" w:type="dxa"/>
            <w:shd w:val="clear" w:color="auto" w:fill="auto"/>
            <w:vAlign w:val="center"/>
          </w:tcPr>
          <w:p w14:paraId="67761DC3">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554</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2ABCFCEA">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554</w:t>
            </w:r>
            <w:r>
              <w:rPr>
                <w:rFonts w:hint="eastAsia" w:asciiTheme="majorEastAsia" w:hAnsiTheme="majorEastAsia" w:eastAsiaTheme="majorEastAsia" w:cstheme="majorEastAsia"/>
                <w:sz w:val="16"/>
                <w:szCs w:val="16"/>
                <w:lang w:val="en-US" w:eastAsia="zh-CN"/>
              </w:rPr>
              <w:t>.00</w:t>
            </w:r>
          </w:p>
        </w:tc>
        <w:tc>
          <w:tcPr>
            <w:tcW w:w="1247" w:type="dxa"/>
            <w:shd w:val="clear" w:color="auto" w:fill="auto"/>
            <w:vAlign w:val="center"/>
          </w:tcPr>
          <w:p w14:paraId="7329F7E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6A4E58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6"/>
                <w:szCs w:val="16"/>
              </w:rPr>
            </w:pPr>
          </w:p>
        </w:tc>
        <w:tc>
          <w:tcPr>
            <w:tcW w:w="1247" w:type="dxa"/>
            <w:shd w:val="clear" w:color="auto" w:fill="auto"/>
            <w:vAlign w:val="center"/>
          </w:tcPr>
          <w:p w14:paraId="21013C14">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6"/>
                <w:szCs w:val="16"/>
                <w:lang w:val="en-US" w:eastAsia="zh-CN"/>
              </w:rPr>
            </w:pPr>
            <w:r>
              <w:rPr>
                <w:rFonts w:hint="eastAsia" w:asciiTheme="majorEastAsia" w:hAnsiTheme="majorEastAsia" w:eastAsiaTheme="majorEastAsia" w:cstheme="majorEastAsia"/>
                <w:sz w:val="16"/>
                <w:szCs w:val="16"/>
              </w:rPr>
              <w:t>554</w:t>
            </w:r>
            <w:r>
              <w:rPr>
                <w:rFonts w:hint="eastAsia" w:asciiTheme="majorEastAsia" w:hAnsiTheme="majorEastAsia" w:eastAsiaTheme="majorEastAsia" w:cstheme="majorEastAsia"/>
                <w:sz w:val="16"/>
                <w:szCs w:val="16"/>
                <w:lang w:val="en-US" w:eastAsia="zh-CN"/>
              </w:rPr>
              <w:t>.00</w:t>
            </w:r>
          </w:p>
        </w:tc>
        <w:tc>
          <w:tcPr>
            <w:tcW w:w="1247" w:type="dxa"/>
            <w:gridSpan w:val="2"/>
            <w:shd w:val="clear" w:color="auto" w:fill="auto"/>
            <w:vAlign w:val="center"/>
          </w:tcPr>
          <w:p w14:paraId="5F37C7E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E919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86BA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3BFF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按照全口径预算的原则，托克逊县发展和改革委员会(托克逊县粮食和物资储备局)2025年所有收入和支出均纳入单位预算管理。收支总预算2,437.85万元。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支出预算包括：一般公共服务支出、社会保障和就业支出、卫生健康支出、节能环保支出、住房保障支出、灾害防治及应急管理支出。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托克逊县发展和改革委员会(托克逊县粮食和物资储备局)单位收入预算2,437.85万元，其中：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一般公共预算843.47万元，占34.6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%，比上年预算减少97.26万元，下降10.34%，主要原因是县级应急成品粮油和物资储备管理费</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、污染防治县级配套项目减少。</w:t>
      </w:r>
    </w:p>
    <w:p w14:paraId="624D04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上级一般公共预算安排的转移支付3.60万元，占0.15%，比上年预算减少1.32万元，下降26.83%，主要原因是2025年上级一般公共预算安排转移支付资金（2025年农产品成本调查经费）较上年减少。</w:t>
      </w:r>
    </w:p>
    <w:p w14:paraId="567F27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EC87A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DE901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853E9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783BF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单位资金0.78万元，占0.03%，比上年预算减少3.72万元，下降82.67%，主要原因是援疆项目前期费减少，因此预算较上年有所下降。</w:t>
      </w:r>
    </w:p>
    <w:p w14:paraId="4504C9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1,590.00万元，占65.22%，比上年预算增加1,532.60万元，增长2670.03%，主要原因是本年度结转资金增加盘吉煤矿2024年智能化改造项目、中泰电石炉智能冶炼系统开发与系统数字化改造应用项目、中泰新型烘干窑热交换方式改造项目、吐鲁番市托克逊县重点项目前期费，导致财政拨款结转比上年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托克逊县发展和改革委员会(托克逊县粮食和物资储备局)2025年支出预算2,437.85万元，其中：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基本支出473.47万元，占19.42%，比上年预算减少12.26万元，下降2.52%，主要原因是本年度有人员辞职1人、调出3人，导致人员工资、社保、公积金、办公费等预算减少。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1,964.38万元，占80.58%，比上年预算增加1,442.56万元，增长276.45%，主要原因是本年度增加盘吉煤矿2024年智能化改造项目、2024年煤矿智能化标准化建设项目、中泰电石炉智能冶炼系统开发与系统数字化改造应用、中泰新型烘干窑热交换方式改造等项目支出预算，导致比上年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2025年财政拨款收支总预算847.07万元。</w:t>
      </w:r>
    </w:p>
    <w:p w14:paraId="41015D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FCE11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收入预算包括：一般公共预算拨款847.07万元。</w:t>
      </w:r>
    </w:p>
    <w:p w14:paraId="0F52CE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718.53万元，主要用于保障单位正常运行的人员经费、公用经费支出；社会保障和就业支出69.58万元，主要用于单位人员社保缴费支出；卫生健康支出21.97万元，主要用于单位人员医疗保险缴费支出；住房保障支出36.99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882BE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托克逊县发展和改革委员会(托克逊县粮食和物资储备局)2025年一般公共预算拨款合计847.07万元，其中：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基本支出473.47万元，比上年预算减少12.26万元，下降2.52%。主要原因是：本年度有人员辞职1人、调出3人，导致人员工资、社保、公积金、办公费等预算减少。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项目支出373.60万元，比上年预算减少86.32万元,下降18.77%。主要原因是：由于全县统筹考虑资金使用，项目前期费项目预算调整至其他单位，导致预算较上年减少。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1、一般公共服务支出(类)718.53万元，占84.83%。</w:t>
      </w:r>
    </w:p>
    <w:p w14:paraId="1F7F3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2、社会保障和就业支出(类)69.58万元，占8.21%。</w:t>
      </w:r>
    </w:p>
    <w:p w14:paraId="4E680D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3、卫生健康支出(类)21.97万元，占2.59%。</w:t>
      </w:r>
    </w:p>
    <w:p w14:paraId="6850D5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4、住房保障支出(类)36.99万元，占4.37%。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1.一般公共服务支出（类）发展与改革事务（款）行政运行（项）2025年预算数为344.93万元，比上年预算减少10.84万元，下降3.05%，主要原因是：辞职1名长聘人员、调出3名在职人员</w:t>
      </w:r>
      <w:r>
        <w:rPr>
          <w:rFonts w:hint="eastAsia" w:ascii="仿宋" w:hAnsi="微软雅黑" w:eastAsia="仿宋"/>
          <w:sz w:val="28"/>
          <w:szCs w:val="28"/>
          <w:lang w:eastAsia="zh-CN"/>
        </w:rPr>
        <w:t>，</w:t>
      </w:r>
      <w:r>
        <w:rPr>
          <w:rFonts w:hint="eastAsia" w:ascii="仿宋" w:hAnsi="微软雅黑" w:eastAsia="仿宋"/>
          <w:sz w:val="28"/>
          <w:szCs w:val="28"/>
        </w:rPr>
        <w:t>人员工资福利等支出减少，因此预算数较上年有所减少。</w:t>
      </w:r>
    </w:p>
    <w:p w14:paraId="3DCB0B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发展与改革事务（款）其他发展与改革事务支出（项）2025年预算数为373.60万元，比上年预算减少86.32万元，下降18.77%，主要原因是：由于全县统筹考虑资金使用，前期费项目预算调整至其他单位，导致预算较上年减少。</w:t>
      </w:r>
    </w:p>
    <w:p w14:paraId="036E69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3.社会保障和就业支出（类）行政事业单位养老支出（款）行政单位离退休（项）2025年预算数为24.26万元，比上年预算增加3.03万元，增长14.27%，主要原因是：退休人员绩效奖待遇提高</w:t>
      </w:r>
      <w:r>
        <w:rPr>
          <w:rFonts w:hint="eastAsia" w:ascii="仿宋" w:hAnsi="微软雅黑" w:eastAsia="仿宋"/>
          <w:sz w:val="28"/>
          <w:szCs w:val="28"/>
          <w:lang w:eastAsia="zh-CN"/>
        </w:rPr>
        <w:t>，</w:t>
      </w:r>
      <w:r>
        <w:rPr>
          <w:rFonts w:hint="eastAsia" w:ascii="仿宋" w:hAnsi="微软雅黑" w:eastAsia="仿宋"/>
          <w:sz w:val="28"/>
          <w:szCs w:val="28"/>
        </w:rPr>
        <w:t>导致预算增加。</w:t>
      </w:r>
    </w:p>
    <w:p w14:paraId="6C2F76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45.32万元，比上年预算减少2.45万元，下降5.13%，主要原因是：单位人员减少4人，养老保险缴费相应减少，因此预算数较上年有所减少。</w:t>
      </w:r>
    </w:p>
    <w:p w14:paraId="09F88B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5.卫生健康支出（类）行政事业单位医疗（款）行政单位医疗（项）2025年预算数为19.25万元，比上年预算减少1.05万元，下降5.17%，主要原因是：单位人员减少4人，医保缴费相应减少，因此预算数较上年有所减少。</w:t>
      </w:r>
    </w:p>
    <w:p w14:paraId="16BB63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6.卫生健康支出（类）行政事业单位医疗（款）公务员医疗补助（项）2025年预算数为2.72万元，比上年预算增加0.32万元，增长13.33%，主要原因是：</w:t>
      </w:r>
      <w:r>
        <w:rPr>
          <w:rFonts w:hint="eastAsia" w:ascii="仿宋" w:hAnsi="微软雅黑" w:eastAsia="仿宋"/>
          <w:sz w:val="28"/>
          <w:szCs w:val="28"/>
          <w:lang w:val="en-US" w:eastAsia="zh-CN"/>
        </w:rPr>
        <w:t>人员工资调增、社保基数增加，</w:t>
      </w:r>
      <w:r>
        <w:rPr>
          <w:rFonts w:hint="eastAsia" w:ascii="仿宋" w:hAnsi="微软雅黑" w:eastAsia="仿宋"/>
          <w:sz w:val="28"/>
          <w:szCs w:val="28"/>
        </w:rPr>
        <w:t>导致公务员医疗补助预算增加。</w:t>
      </w:r>
    </w:p>
    <w:p w14:paraId="0B62AE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7.住房保障支出（类）住房改革支出（款）住房公积金（项）2025年预算数为36.99万元，比上年预算减少1.27万元，下降3.32%，主要原因是：单位人员减少4人，住房公积金缴费相应减少，因此预算数较上年有所减少。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托克逊县发展和改革委员会(托克逊县粮食和物资储备局)2025年一般公共预算基本支出473.47万元，其中：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442.38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公用经费31.09万元，主要包括：办公费、印刷费、邮电费、差旅费、培训费、工会经费、公务用车运行维护费、其他交通费用。</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（一）项目名称：2025年农产品成本调查经费</w:t>
      </w:r>
    </w:p>
    <w:p w14:paraId="715078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家发展改革委关于“十四五”时期深化价格机制改革行动方案的通知》（发改价格〔2021〕689号）和《自治区发展改革委办公厅关于做好2024年全区农产品成本调查工作的通知》（新发改成本〔2023〕703号）</w:t>
      </w:r>
    </w:p>
    <w:p w14:paraId="0C67D1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53BBCE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4EE228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资金分配情况：1.农户误工补贴费支出0.72万元；2.农产品成本调查业务费2.13万元；3.价格监测补助支出0.75万元</w:t>
      </w:r>
    </w:p>
    <w:p w14:paraId="16BD6D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BA44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（二）项目名称：县级应急成品粮油和物资储备管理费用</w:t>
      </w:r>
    </w:p>
    <w:p w14:paraId="419E7D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w:t>
      </w:r>
      <w:r>
        <w:rPr>
          <w:rFonts w:hint="eastAsia" w:ascii="仿宋" w:hAnsi="微软雅黑" w:eastAsia="仿宋"/>
          <w:sz w:val="28"/>
          <w:szCs w:val="28"/>
          <w:lang w:eastAsia="zh-CN"/>
        </w:rPr>
        <w:t>市委、市政府</w:t>
      </w:r>
      <w:r>
        <w:rPr>
          <w:rFonts w:hint="eastAsia" w:ascii="仿宋" w:hAnsi="微软雅黑" w:eastAsia="仿宋"/>
          <w:sz w:val="28"/>
          <w:szCs w:val="28"/>
        </w:rPr>
        <w:t>关于县级政府应急成品粮油储备工</w:t>
      </w:r>
      <w:r>
        <w:rPr>
          <w:rFonts w:hint="eastAsia" w:ascii="仿宋" w:hAnsi="微软雅黑" w:eastAsia="仿宋"/>
          <w:sz w:val="28"/>
          <w:szCs w:val="28"/>
          <w:lang w:eastAsia="zh-CN"/>
        </w:rPr>
        <w:t>作的</w:t>
      </w:r>
      <w:r>
        <w:rPr>
          <w:rFonts w:hint="eastAsia" w:ascii="仿宋" w:hAnsi="微软雅黑" w:eastAsia="仿宋"/>
          <w:sz w:val="28"/>
          <w:szCs w:val="28"/>
        </w:rPr>
        <w:t>指示及吐鲁番市发改委、财政局、农发行《关于下达县级成品粮油储备计划的通知》〔2022〕208号、《托克逊县突发公共事件总体应急预案》</w:t>
      </w:r>
    </w:p>
    <w:p w14:paraId="7AB9D4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3E5B9C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1D66F7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资金分配情况：1.应急粮油储备政府购买管理服务费70</w:t>
      </w:r>
      <w:r>
        <w:rPr>
          <w:rFonts w:hint="eastAsia" w:ascii="仿宋" w:hAnsi="微软雅黑" w:eastAsia="仿宋"/>
          <w:sz w:val="28"/>
          <w:szCs w:val="28"/>
          <w:lang w:val="en-US" w:eastAsia="zh-CN"/>
        </w:rPr>
        <w:t>.00</w:t>
      </w:r>
      <w:r>
        <w:rPr>
          <w:rFonts w:hint="eastAsia" w:ascii="仿宋" w:hAnsi="微软雅黑" w:eastAsia="仿宋"/>
          <w:sz w:val="28"/>
          <w:szCs w:val="28"/>
        </w:rPr>
        <w:t>万元；2.储备库日常管理和维护费用10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CAC5F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0FA9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（三）项目名称：项目前期费县级</w:t>
      </w:r>
    </w:p>
    <w:p w14:paraId="600E22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自治区视频会议精神及吐鲁番市工作部署及《关于做好“十五五”规划前期工作的通知》、《国务院办公厅关于进一步构建高质量充电基础设施体系的指导意见》（国办发〔2024〕19号）、《关于加快构建自治区高质量充电基础设施体系的实施方案》（新政办发〔2024〕19号）、《关于加快构建吐鲁番市加快高质量充电基础设施实施方案》、《关于抓紧组织做好2025年中央预算内投资计划编制工作的通知》（吐市发改投资〔2024〕243号）、《吐鲁番市国防动员委员会关于做好国防动员工作》(吐动函〔2024〕1号)、《新疆维吾尔自治区政府制定价格成本监审引入第三方审核服务暂行办法》、国家能源局《关于开展电力建设施工安全和工程治理专项监管的通知》、自治区发展改革委《关于扎实开展2024年度电力建设施工安全和工程质量专项监管的通知》</w:t>
      </w:r>
    </w:p>
    <w:p w14:paraId="2C4A34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26F008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7D4781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资金分配情况：1.编制政府投资项目评审报告、政府投资项目事中事后报告费用75</w:t>
      </w:r>
      <w:r>
        <w:rPr>
          <w:rFonts w:hint="eastAsia" w:ascii="仿宋" w:hAnsi="微软雅黑" w:eastAsia="仿宋"/>
          <w:sz w:val="28"/>
          <w:szCs w:val="28"/>
          <w:lang w:val="en-US" w:eastAsia="zh-CN"/>
        </w:rPr>
        <w:t>.00</w:t>
      </w:r>
      <w:r>
        <w:rPr>
          <w:rFonts w:hint="eastAsia" w:ascii="仿宋" w:hAnsi="微软雅黑" w:eastAsia="仿宋"/>
          <w:sz w:val="28"/>
          <w:szCs w:val="28"/>
        </w:rPr>
        <w:t>万元；2.编制预算内、超长期国债、政府投资等资金项目初步设计、可研报告费用81.8</w:t>
      </w:r>
      <w:r>
        <w:rPr>
          <w:rFonts w:hint="eastAsia" w:ascii="仿宋" w:hAnsi="微软雅黑" w:eastAsia="仿宋"/>
          <w:sz w:val="28"/>
          <w:szCs w:val="28"/>
          <w:lang w:val="en-US" w:eastAsia="zh-CN"/>
        </w:rPr>
        <w:t>0</w:t>
      </w:r>
      <w:r>
        <w:rPr>
          <w:rFonts w:hint="eastAsia" w:ascii="仿宋" w:hAnsi="微软雅黑" w:eastAsia="仿宋"/>
          <w:sz w:val="28"/>
          <w:szCs w:val="28"/>
        </w:rPr>
        <w:t>万元；3.国防动员任务行动保障经费15</w:t>
      </w:r>
      <w:r>
        <w:rPr>
          <w:rFonts w:hint="eastAsia" w:ascii="仿宋" w:hAnsi="微软雅黑" w:eastAsia="仿宋"/>
          <w:sz w:val="28"/>
          <w:szCs w:val="28"/>
          <w:lang w:val="en-US" w:eastAsia="zh-CN"/>
        </w:rPr>
        <w:t>.00</w:t>
      </w:r>
      <w:r>
        <w:rPr>
          <w:rFonts w:hint="eastAsia" w:ascii="仿宋" w:hAnsi="微软雅黑" w:eastAsia="仿宋"/>
          <w:sz w:val="28"/>
          <w:szCs w:val="28"/>
        </w:rPr>
        <w:t>万元；4.安全生产领域专家指导检查服务费18.2</w:t>
      </w:r>
      <w:r>
        <w:rPr>
          <w:rFonts w:hint="eastAsia" w:ascii="仿宋" w:hAnsi="微软雅黑" w:eastAsia="仿宋"/>
          <w:sz w:val="28"/>
          <w:szCs w:val="28"/>
          <w:lang w:val="en-US" w:eastAsia="zh-CN"/>
        </w:rPr>
        <w:t>0</w:t>
      </w:r>
      <w:r>
        <w:rPr>
          <w:rFonts w:hint="eastAsia" w:ascii="仿宋" w:hAnsi="微软雅黑" w:eastAsia="仿宋"/>
          <w:sz w:val="28"/>
          <w:szCs w:val="28"/>
        </w:rPr>
        <w:t>万元；5.成本监审相关报告监审费用10</w:t>
      </w:r>
      <w:r>
        <w:rPr>
          <w:rFonts w:hint="eastAsia" w:ascii="仿宋" w:hAnsi="微软雅黑" w:eastAsia="仿宋"/>
          <w:sz w:val="28"/>
          <w:szCs w:val="28"/>
          <w:lang w:val="en-US" w:eastAsia="zh-CN"/>
        </w:rPr>
        <w:t>.00</w:t>
      </w:r>
      <w:r>
        <w:rPr>
          <w:rFonts w:hint="eastAsia" w:ascii="仿宋" w:hAnsi="微软雅黑" w:eastAsia="仿宋"/>
          <w:sz w:val="28"/>
          <w:szCs w:val="28"/>
        </w:rPr>
        <w:t>万元；6.开展前期工作费用60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9E0E1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45ABC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（四）项目名称：污染防治县级配套项目</w:t>
      </w:r>
    </w:p>
    <w:p w14:paraId="7C9299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设立的政策依据：《中华人民共和国节约能源法》、《新疆维吾尔自治区实施(中华人民共和国节约能源法)办法》、《固定资产投资项目节能审查办法》（国家发展改革委2023年第2号令）</w:t>
      </w:r>
    </w:p>
    <w:p w14:paraId="38D381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45FA94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2464E4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资金分配情况：1.节能宣传工作经费5</w:t>
      </w:r>
      <w:r>
        <w:rPr>
          <w:rFonts w:hint="eastAsia" w:ascii="仿宋" w:hAnsi="微软雅黑" w:eastAsia="仿宋"/>
          <w:sz w:val="28"/>
          <w:szCs w:val="28"/>
          <w:lang w:val="en-US" w:eastAsia="zh-CN"/>
        </w:rPr>
        <w:t>.00</w:t>
      </w:r>
      <w:r>
        <w:rPr>
          <w:rFonts w:hint="eastAsia" w:ascii="仿宋" w:hAnsi="微软雅黑" w:eastAsia="仿宋"/>
          <w:sz w:val="28"/>
          <w:szCs w:val="28"/>
        </w:rPr>
        <w:t>万元；2.节能审查竣工验收经费25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EDAC9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托克逊县发展和改革委员会(托克逊县粮食和物资储备局)2025年财政拨款“三公”经费数为4.00万元，其中：因公出国（境）费0.00万元，公务用车购置费0.00万元，</w:t>
      </w:r>
      <w:r>
        <w:rPr>
          <w:rFonts w:hint="eastAsia" w:ascii="仿宋" w:hAnsi="微软雅黑" w:eastAsia="仿宋"/>
          <w:sz w:val="28"/>
          <w:szCs w:val="28"/>
          <w:highlight w:val="none"/>
          <w:lang w:eastAsia="zh-CN"/>
        </w:rPr>
        <w:t>公务用车运行费4.00万元</w:t>
      </w:r>
      <w:r>
        <w:rPr>
          <w:rFonts w:hint="eastAsia" w:ascii="仿宋" w:hAnsi="微软雅黑" w:eastAsia="仿宋"/>
          <w:sz w:val="28"/>
          <w:szCs w:val="28"/>
          <w:lang w:eastAsia="zh-CN"/>
        </w:rPr>
        <w:t>，公务接待费0.00万元。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highlight w:val="none"/>
          <w:lang w:eastAsia="zh-CN"/>
        </w:rPr>
        <w:t>我单位车辆编制数未发生变化，所以公务用车运行费</w:t>
      </w:r>
      <w:r>
        <w:rPr>
          <w:rFonts w:hint="eastAsia" w:ascii="仿宋" w:hAnsi="微软雅黑" w:eastAsia="仿宋"/>
          <w:sz w:val="28"/>
          <w:szCs w:val="28"/>
          <w:highlight w:val="none"/>
          <w:lang w:val="en-US" w:eastAsia="zh-CN"/>
        </w:rPr>
        <w:t>与上年一致</w:t>
      </w:r>
      <w:r>
        <w:rPr>
          <w:rFonts w:hint="eastAsia" w:ascii="仿宋" w:hAnsi="微软雅黑" w:eastAsia="仿宋"/>
          <w:sz w:val="28"/>
          <w:szCs w:val="28"/>
          <w:lang w:eastAsia="zh-CN"/>
        </w:rPr>
        <w:t>；公务接待费增加0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托克逊县发展和改革委员会(托克逊县粮食和物资储备局)2025上年结转结余1,590.00万元，包括：财政拨款1,590.00万元，非财政拨款0.00万元，其中：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1.新疆中泰化学托克逊能化有限公司电石炉智能冶炼系统开发与系统数字化改造应用项目（项目）318.00万元，主要用于：新疆中泰化学托克逊能化有限公司智能冶炼系统的开发与改造。</w:t>
      </w:r>
    </w:p>
    <w:p w14:paraId="7D3133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2.新疆中泰化学托克逊能化有限公司新型烘干窑热交换方式改造项目（项目）318.00万元，主要用于：新疆中泰化学托克逊能化有限公司烘干窑热交换方式的改造升级。</w:t>
      </w:r>
    </w:p>
    <w:p w14:paraId="57796B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吐鲁番市托克逊县重点项目前期费（项目）400.00万元，主要用于：编制政府投资项目评审报告、政府投资项目，编制预算内、超长期国债、政府投资等资金项目初步设计、可研报告，国防动员任务行动保障，安全生产领域专家指导检查；成本监审相关报告监审。</w:t>
      </w:r>
    </w:p>
    <w:p w14:paraId="380369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关于下达煤矿安全改造专项2024年中央基建投资预算的通知（项目）554.00万元，主要用于：督促企业在2024年度完成不少于11个矿井智能化系统改造工作，实现提升煤矿安全生产保障能力和煤炭稳定供应能力的目标。</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托克逊县发展和改革委员会(托克逊县粮食和物资储备局)2025年的机关运行经费财政拨款预算31.09万元，比上年预算减少0.3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万元，下降0.96%。主要原因是</w:t>
      </w:r>
      <w:r>
        <w:rPr>
          <w:rFonts w:hint="eastAsia" w:ascii="仿宋" w:hAnsi="微软雅黑" w:eastAsia="仿宋"/>
          <w:sz w:val="28"/>
          <w:szCs w:val="28"/>
          <w:lang w:val="en-US" w:eastAsia="zh-CN"/>
        </w:rPr>
        <w:t>厉行节约压减</w:t>
      </w:r>
      <w:r>
        <w:rPr>
          <w:rFonts w:hint="eastAsia" w:ascii="仿宋" w:hAnsi="微软雅黑" w:eastAsia="仿宋"/>
          <w:sz w:val="28"/>
          <w:szCs w:val="28"/>
          <w:lang w:eastAsia="zh-CN"/>
        </w:rPr>
        <w:t>机关运行经费，因此预算有所下降。</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2025年，托克逊县发展和改革委员会(托克逊县粮食和物资储备局)政府采购预算711.16万元，其中：政府采购货物预算9.04万元，政府采购工程预算0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万元，政府采购服务预算702.12万元。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2025年托克逊县发展和改革委员会(托克逊县粮食和物资储备局)面向中小企业预留政府采购项目预算金额711.16万元，小微企业预留政府采购项目预算金额711.16万元。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截至2024年底，托克逊县发展和改革委员会(托克逊县粮食和物资储备局)占用使用国有资产总体情况为：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1.房屋389平方米，价值264.44万元。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2.车辆2辆，价值36.64万元；其中：一般公务用车2辆，价值36.64万元；执法执勤用车0辆，价值0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3.办公家具价值12.37万元。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4.其他资产价值43.02万元。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2025年，本单位预算绩效管理整体预算绩效目标1个，涉及预算金额2437.8</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373.60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.78</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董翠</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0995-8822565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D48D16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003EBA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C9C8CC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59EFDE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3488CE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9F59A2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9D3B79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7A8D91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0C46A4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D63A20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468CB2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EAD9E3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FC84634">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1、强化经济运行监测，强化经济运行服务保障，不断提升经济运行分析研判质量。</w:t>
            </w:r>
          </w:p>
          <w:p w14:paraId="5D72C4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加快推动煤炭煤电煤化工产业发展。一是加快推进黑山矿区等3个矿区总规和总规环评修编工作。二是加快墨龙煤矿等已核准煤矿前期工作进度，争取年内全面开工建设。三是加快推进亿航新材料500万吨/年煤炭清洁高效综合利用示范项目前期工作。四是紧盯重点产业多元化发展，加快科信二期、4个镁基新材料项目前期工作，力争开春即可开工建设。</w:t>
            </w:r>
          </w:p>
          <w:p w14:paraId="271DE8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加快推进新能源产业发展。一是紧盯在建、新开工新能源项目建设，实现年度并网325万千瓦目标。二是紧盯托克逊750千伏输变电工程前期工作，争取尽早开工建设。三是全力推进40万千瓦独立储能项目前期工作，争取早日开工建设。全力争取托克逊县抽水蓄能项目纳入规划。</w:t>
            </w:r>
          </w:p>
          <w:p w14:paraId="44B8EF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4、扩大有效投资。力争2025年固定资产投资同比增长20%以上。积极争取中央预算内、超长期国债、地方政府专项债券等资金。</w:t>
            </w:r>
          </w:p>
          <w:p w14:paraId="140D75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5、加速绿色发展。强化重点领域和重点行业能效管控，督促14家自治区重点用能单位，尤其督促用能大户企业认真落实节能目标责任，加大节能措施落实力度，加快开展节能技改。</w:t>
            </w:r>
          </w:p>
          <w:p w14:paraId="445101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持续优化营商环境。科学编制国民经济和社会发展“十五五”规划纲要，严格实施《市场准入负面清单》，督促全县信用体系成员单位在吐鲁番市信用信息处理平台上公示信用处理信息。深入推进投资项目审批制度改革，进一步简化审批环节，优化审批流程，提高投资项目审批效率。</w:t>
            </w:r>
          </w:p>
          <w:p w14:paraId="311C65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7、做实民生工作。抓好重要商品价格监测，迅速、准确反映价格变化和市场趋势。通过成本监审、稳风险评估、合法性审查、听证会等方式充分论证</w:t>
            </w:r>
            <w:r>
              <w:rPr>
                <w:rFonts w:hint="eastAsia" w:ascii="宋体" w:hAnsi="宋体" w:cs="宋体"/>
                <w:i w:val="0"/>
                <w:iCs w:val="0"/>
                <w:color w:val="000000"/>
                <w:sz w:val="18"/>
                <w:szCs w:val="18"/>
                <w:highlight w:val="none"/>
                <w:u w:val="none"/>
                <w:lang w:eastAsia="zh-CN"/>
              </w:rPr>
              <w:t>城市</w:t>
            </w:r>
            <w:r>
              <w:rPr>
                <w:rFonts w:hint="eastAsia" w:ascii="宋体" w:hAnsi="宋体" w:eastAsia="宋体" w:cs="宋体"/>
                <w:i w:val="0"/>
                <w:iCs w:val="0"/>
                <w:color w:val="000000"/>
                <w:sz w:val="18"/>
                <w:szCs w:val="18"/>
                <w:highlight w:val="none"/>
                <w:u w:val="none"/>
              </w:rPr>
              <w:t>供排水、供热价格调整方案，并对城市供排水、供热价格进行调整。强化托克逊县碧禾兰商贸有限公司主体责任意识，做好政府成品粮油储备、轮换、管理工作。切实加强</w:t>
            </w:r>
            <w:r>
              <w:rPr>
                <w:rFonts w:hint="eastAsia" w:ascii="宋体" w:hAnsi="宋体" w:cs="宋体"/>
                <w:i w:val="0"/>
                <w:iCs w:val="0"/>
                <w:color w:val="000000"/>
                <w:sz w:val="18"/>
                <w:szCs w:val="18"/>
                <w:highlight w:val="none"/>
                <w:u w:val="none"/>
                <w:lang w:eastAsia="zh-CN"/>
              </w:rPr>
              <w:t>粮食购销领域</w:t>
            </w:r>
            <w:r>
              <w:rPr>
                <w:rFonts w:hint="eastAsia" w:ascii="宋体" w:hAnsi="宋体" w:eastAsia="宋体" w:cs="宋体"/>
                <w:i w:val="0"/>
                <w:iCs w:val="0"/>
                <w:color w:val="000000"/>
                <w:sz w:val="18"/>
                <w:szCs w:val="18"/>
                <w:highlight w:val="none"/>
                <w:u w:val="none"/>
              </w:rPr>
              <w:t>“三个安全”责任落实，强化日常隐患排查，确保全县粮油储备有保障。</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加快推进政务服务事项标准化。推进政务服务标准化规范化便利化，统筹做好“高效办成一件事”事项落实，将加快推进部门行业系统向自治区一体化在线政务服务平台迁移或并联，实现电子证照等数据资源要素在平台系统内互联互通，满足企业和群众办理业务“一网通办”、数据共享需要。</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1593.6</w:t>
            </w:r>
            <w:r>
              <w:rPr>
                <w:rFonts w:hint="eastAsia" w:ascii="宋体" w:hAnsi="宋体" w:cs="宋体"/>
                <w:i w:val="0"/>
                <w:iCs w:val="0"/>
                <w:color w:val="000000"/>
                <w:sz w:val="18"/>
                <w:szCs w:val="18"/>
                <w:highlight w:val="none"/>
                <w:u w:val="none"/>
                <w:lang w:val="en-US" w:eastAsia="zh-CN"/>
              </w:rPr>
              <w:t>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843.4</w:t>
            </w:r>
            <w:r>
              <w:rPr>
                <w:rFonts w:hint="eastAsia" w:ascii="宋体" w:hAnsi="宋体" w:cs="宋体"/>
                <w:i w:val="0"/>
                <w:iCs w:val="0"/>
                <w:color w:val="000000"/>
                <w:sz w:val="18"/>
                <w:szCs w:val="18"/>
                <w:highlight w:val="none"/>
                <w:u w:val="none"/>
                <w:lang w:val="en-US" w:eastAsia="zh-CN"/>
              </w:rPr>
              <w:t>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0.78</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新能源并网项目个数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固定资产投资同比增长</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政府投资项目相关报告完成数量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节能监察企业数量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76F3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2107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DD6E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000F1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本地储备粮油数量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B824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AAC4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9281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国民经济和社会发展“十五五”规划纲要编制数量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63EAD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424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D185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D3B6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城市供排水、供热成本监审报告编制数量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9AE7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E05A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A101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规上企业万元工业增加值能耗下降率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85DCF6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2" w:tblpY="-1351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931"/>
        <w:gridCol w:w="880"/>
        <w:gridCol w:w="901"/>
        <w:gridCol w:w="914"/>
      </w:tblGrid>
      <w:tr w14:paraId="66F37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8059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4F97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BC138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F54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467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B01E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0F34C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C44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85731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2025年农产品成本调查经费</w:t>
            </w:r>
          </w:p>
        </w:tc>
        <w:tc>
          <w:tcPr>
            <w:tcW w:w="1811" w:type="dxa"/>
            <w:gridSpan w:val="2"/>
            <w:tcBorders>
              <w:top w:val="single" w:color="000000" w:sz="4" w:space="0"/>
              <w:left w:val="single" w:color="000000" w:sz="4" w:space="0"/>
              <w:bottom w:val="single" w:color="000000" w:sz="4" w:space="0"/>
              <w:right w:val="single" w:color="000000" w:sz="4" w:space="0"/>
            </w:tcBorders>
            <w:noWrap w:val="0"/>
            <w:vAlign w:val="center"/>
          </w:tcPr>
          <w:p w14:paraId="0EA8D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70168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刘雪莲</w:t>
            </w:r>
          </w:p>
        </w:tc>
      </w:tr>
      <w:tr w14:paraId="5DB7B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93C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933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20A0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0B59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472379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3.6</w:t>
            </w:r>
            <w:r>
              <w:rPr>
                <w:rFonts w:hint="eastAsia" w:ascii="宋体" w:hAnsi="宋体" w:cs="宋体"/>
                <w:i w:val="0"/>
                <w:iCs w:val="0"/>
                <w:color w:val="000000"/>
                <w:sz w:val="18"/>
                <w:szCs w:val="18"/>
                <w:highlight w:val="none"/>
                <w:u w:val="none"/>
                <w:lang w:val="en-US" w:eastAsia="zh-CN"/>
              </w:rPr>
              <w:t>0</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2EF1A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7D24B3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CE4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06A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02EEB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目标1：通过组织12名农户参与农产品成本调查，按时发放误工补贴，为建立农资綜合补贴动态调整机制提供成本数据，为农业补贴政策的调整做出公共科学依据。</w:t>
            </w:r>
          </w:p>
          <w:p w14:paraId="55B8113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科学、有效地组织价格监测工作，组织15名个体工商户参与价格监测工作，发放价格检测补助，保障价格监测数据的真实性、准确性和及时性，发挥价格监测在宏观经济调控和价格管理中的重要作用，正确引导生产、流通和消费，保持市场价格总水平的基本稳定。</w:t>
            </w:r>
          </w:p>
          <w:p w14:paraId="6B1A02A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目标3：做好农产品批发市场信息采集工作，完成农产品成本报告2份，农产品批发市场信息采集数量30条，为制定农产品价格、财政补贴、保险及农业支持政策提供参考数据。</w:t>
            </w:r>
          </w:p>
        </w:tc>
      </w:tr>
      <w:tr w14:paraId="078E5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A0194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00A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941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658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12B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158A8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0E5F2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C855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107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CF29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238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3E4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897C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享受误工补贴农户人数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B21E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42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2F6AC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26人</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6337C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E7D4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BE6A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D5E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7256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884EA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6B48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价格监测补助人数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77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B2E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4A9A7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6F53B0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F6F1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65D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B41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F8B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561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8B34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农产品批发市场信息采集数量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078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A65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7502CD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30条</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3F44B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CD6A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73E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F4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8123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528D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18C9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制作农产品成本报告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546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CB8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05204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2份</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10A76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E29BE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90C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0CC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E804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7733E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A4C3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调查数据合格率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4C5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5CC1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6AC77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730EA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90C2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655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7E7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60F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25A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44D71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农户误工补贴费支出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AC78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9D3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28878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1.4万元</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079434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F5F6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BA6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47F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5456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D91D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F0F3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农产品成本调查业务费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95F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540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0B905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3BEED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1BB6C3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B4B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7F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A2D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17E6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7C096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价格监测补助支出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42B0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&lt;=0.75万元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F1A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739BB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2FE622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A4F5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60C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bl>
    <w:p w14:paraId="35679A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br w:type="page"/>
      </w:r>
    </w:p>
    <w:tbl>
      <w:tblPr>
        <w:tblStyle w:val="9"/>
        <w:tblpPr w:leftFromText="180" w:rightFromText="180" w:vertAnchor="text" w:horzAnchor="page" w:tblpX="1422"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931"/>
        <w:gridCol w:w="880"/>
        <w:gridCol w:w="901"/>
        <w:gridCol w:w="914"/>
      </w:tblGrid>
      <w:tr w14:paraId="1B4CE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7E8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47B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290F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为制定农业支持政策提供参考数据及公共科学依据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732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B1F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05F7C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5BC99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F21B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BCC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7A0F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99B58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16539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8EAD1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促进我县农业健康发展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8BF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B32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48011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09B30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D875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151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EF6A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310BFA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C24C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98CE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D4C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0E9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6479D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62F760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10578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67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1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0"/>
        <w:gridCol w:w="961"/>
        <w:gridCol w:w="914"/>
      </w:tblGrid>
      <w:tr w14:paraId="1974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03FA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C1D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40D3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8A4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1F6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8F726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5BD1A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BC1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49BB7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县级应急成品粮油和物资储备管理费用</w:t>
            </w:r>
          </w:p>
        </w:tc>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14:paraId="54CAC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5" w:type="dxa"/>
            <w:gridSpan w:val="2"/>
            <w:tcBorders>
              <w:top w:val="single" w:color="000000" w:sz="4" w:space="0"/>
              <w:left w:val="single" w:color="000000" w:sz="4" w:space="0"/>
              <w:bottom w:val="single" w:color="000000" w:sz="4" w:space="0"/>
              <w:right w:val="single" w:color="000000" w:sz="4" w:space="0"/>
            </w:tcBorders>
            <w:noWrap w:val="0"/>
            <w:vAlign w:val="center"/>
          </w:tcPr>
          <w:p w14:paraId="7E3C6F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刘雪莲</w:t>
            </w:r>
          </w:p>
        </w:tc>
      </w:tr>
      <w:tr w14:paraId="1A870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30A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D99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C35E2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80.00</w:t>
            </w:r>
          </w:p>
        </w:tc>
        <w:tc>
          <w:tcPr>
            <w:tcW w:w="1455" w:type="dxa"/>
            <w:tcBorders>
              <w:top w:val="single" w:color="000000" w:sz="4" w:space="0"/>
              <w:left w:val="nil"/>
              <w:bottom w:val="single" w:color="000000" w:sz="4" w:space="0"/>
              <w:right w:val="single" w:color="000000" w:sz="4" w:space="0"/>
            </w:tcBorders>
            <w:noWrap w:val="0"/>
            <w:vAlign w:val="center"/>
          </w:tcPr>
          <w:p w14:paraId="2F271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CAD5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80.00</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4FFC8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5" w:type="dxa"/>
            <w:gridSpan w:val="2"/>
            <w:tcBorders>
              <w:top w:val="single" w:color="000000" w:sz="4" w:space="0"/>
              <w:left w:val="single" w:color="000000" w:sz="4" w:space="0"/>
              <w:bottom w:val="single" w:color="000000" w:sz="4" w:space="0"/>
              <w:right w:val="single" w:color="000000" w:sz="4" w:space="0"/>
            </w:tcBorders>
            <w:noWrap w:val="0"/>
            <w:vAlign w:val="center"/>
          </w:tcPr>
          <w:p w14:paraId="2A5178D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AA92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2BCD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9D865D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政府购买管理服务方式，委托国资公司做好我县政策性粮油储备管理工作，计划2025年本地粮油储备400吨，粮食储备轮换4次，开展粮油监督检查16次，确保我县粮油储备数量真实、质量安全，提升政府在地震、洪灾、疫情等突发事件发生时，对粮油市场的宏观调控能力和应急处理能力，确保应急物资储备库安全与紧急调用。</w:t>
            </w:r>
          </w:p>
          <w:p w14:paraId="708949A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2.通过开展储备库日常管理和维护，计划全年储备库设备维护检修4次、改造升级1次，做好防火、防盗、防虫、防鼠等工作，确保应急救援物资储备管理工作有序开展。</w:t>
            </w:r>
          </w:p>
        </w:tc>
      </w:tr>
      <w:tr w14:paraId="265BB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6404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04A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4690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FE12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23FB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9C3E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70" w:type="dxa"/>
            <w:tcBorders>
              <w:top w:val="single" w:color="000000" w:sz="4" w:space="0"/>
              <w:left w:val="single" w:color="000000" w:sz="4" w:space="0"/>
              <w:bottom w:val="single" w:color="auto" w:sz="4" w:space="0"/>
              <w:right w:val="single" w:color="000000" w:sz="4" w:space="0"/>
            </w:tcBorders>
            <w:noWrap w:val="0"/>
            <w:vAlign w:val="center"/>
          </w:tcPr>
          <w:p w14:paraId="74E84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1" w:type="dxa"/>
            <w:tcBorders>
              <w:top w:val="single" w:color="000000" w:sz="4" w:space="0"/>
              <w:left w:val="single" w:color="000000" w:sz="4" w:space="0"/>
              <w:bottom w:val="single" w:color="auto" w:sz="4" w:space="0"/>
              <w:right w:val="single" w:color="000000" w:sz="4" w:space="0"/>
            </w:tcBorders>
            <w:noWrap w:val="0"/>
            <w:vAlign w:val="center"/>
          </w:tcPr>
          <w:p w14:paraId="0F1F4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0638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233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4381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F79A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DA3BB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本地储备粮油数量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CC17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&gt;=400吨</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C297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2C972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400吨</w:t>
            </w:r>
          </w:p>
        </w:tc>
        <w:tc>
          <w:tcPr>
            <w:tcW w:w="670" w:type="dxa"/>
            <w:tcBorders>
              <w:top w:val="single" w:color="auto" w:sz="4" w:space="0"/>
              <w:left w:val="single" w:color="000000" w:sz="4" w:space="0"/>
              <w:bottom w:val="single" w:color="000000" w:sz="4" w:space="0"/>
              <w:right w:val="single" w:color="000000" w:sz="4" w:space="0"/>
            </w:tcBorders>
            <w:noWrap w:val="0"/>
            <w:vAlign w:val="center"/>
          </w:tcPr>
          <w:p w14:paraId="56109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1" w:type="dxa"/>
            <w:tcBorders>
              <w:top w:val="single" w:color="auto" w:sz="4" w:space="0"/>
              <w:left w:val="single" w:color="000000" w:sz="4" w:space="0"/>
              <w:bottom w:val="single" w:color="000000" w:sz="4" w:space="0"/>
              <w:right w:val="single" w:color="000000" w:sz="4" w:space="0"/>
            </w:tcBorders>
            <w:noWrap w:val="0"/>
            <w:vAlign w:val="center"/>
          </w:tcPr>
          <w:p w14:paraId="36D27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EA931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C88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19215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A4FC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AAA5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粮油监督检查次数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290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EC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C0B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16次</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657266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B6E9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376C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33F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8633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6E51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B5E2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粮食储备轮换次数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EC2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24B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14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37EEBC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4F385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405D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67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2F55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6F86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C026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粮油仓储设施维修改造及设备维护检修次数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C75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2A6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BEB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1085F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7C35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E0D6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87D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18BEF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D3F3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7908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储备粮油质量完好率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8E18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C4B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0DF2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4A767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812C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8D0C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A33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C696A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2DBF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A6AB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储备粮油随机抽检合格率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E7E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60E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9C78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599179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4C8DB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9DB0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744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nil"/>
              <w:right w:val="single" w:color="000000" w:sz="4" w:space="0"/>
            </w:tcBorders>
            <w:noWrap w:val="0"/>
            <w:vAlign w:val="center"/>
          </w:tcPr>
          <w:p w14:paraId="2B958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C97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5382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应急粮油储备政府购买管理服务费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9BB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9C6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297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0725F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61ED4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A8B8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E70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70BDF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80E8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703D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储备库日常管理和维护费用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F83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589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280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14.06万元</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44B6B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F756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0B00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3E7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49C81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EB3E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1D57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确保应急物资储备库安全与紧急调用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94E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有效确保</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30D7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C7D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1F6E1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DA5B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A35D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9006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682C7D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E7B05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2627B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粮油保供稳价</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4F50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DD87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A4AD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基本达成目标</w:t>
            </w:r>
          </w:p>
        </w:tc>
        <w:tc>
          <w:tcPr>
            <w:tcW w:w="670" w:type="dxa"/>
            <w:tcBorders>
              <w:top w:val="single" w:color="000000" w:sz="4" w:space="0"/>
              <w:left w:val="single" w:color="000000" w:sz="4" w:space="0"/>
              <w:bottom w:val="single" w:color="auto" w:sz="4" w:space="0"/>
              <w:right w:val="single" w:color="000000" w:sz="4" w:space="0"/>
            </w:tcBorders>
            <w:noWrap w:val="0"/>
            <w:vAlign w:val="center"/>
          </w:tcPr>
          <w:p w14:paraId="3BAF4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961" w:type="dxa"/>
            <w:tcBorders>
              <w:top w:val="single" w:color="000000" w:sz="4" w:space="0"/>
              <w:left w:val="single" w:color="000000" w:sz="4" w:space="0"/>
              <w:bottom w:val="single" w:color="auto" w:sz="4" w:space="0"/>
              <w:right w:val="single" w:color="000000" w:sz="4" w:space="0"/>
            </w:tcBorders>
            <w:noWrap w:val="0"/>
            <w:vAlign w:val="center"/>
          </w:tcPr>
          <w:p w14:paraId="404C0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1F97A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说明材料</w:t>
            </w:r>
          </w:p>
        </w:tc>
      </w:tr>
    </w:tbl>
    <w:p w14:paraId="4668314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1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910"/>
        <w:gridCol w:w="707"/>
        <w:gridCol w:w="905"/>
      </w:tblGrid>
      <w:tr w14:paraId="639F0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B39FB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BD7C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AB3D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78C5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6836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ED812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23AE1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983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726B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项目前期费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A13E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8933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刘雪莲</w:t>
            </w:r>
          </w:p>
        </w:tc>
      </w:tr>
      <w:tr w14:paraId="6FD54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014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639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1321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C59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85551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AD8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7B679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E807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650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F836E6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1、通过开展政府投资项目评审，开展政府投资项目事中事后评估、编制政府投资项目初设、可研报告不少于45个，达到争取专项资金，减轻县财政压力，保障项目建设的目标；</w:t>
            </w:r>
          </w:p>
          <w:p w14:paraId="5137E2A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2、通过开展国防动员综合保障任务，确保我县国防动员潜力调查、保交护路、国防动员宣传工作顺利完成；</w:t>
            </w:r>
          </w:p>
          <w:p w14:paraId="1C720FD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3、通过编制城镇供排水、供热、景区、停车场成本监审相关报告4个，为调整、决策价格奠定基础；</w:t>
            </w:r>
          </w:p>
          <w:p w14:paraId="7B1BC08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4、通过聘请专家开展安全生产领域指导检查服务12次，对项目建设过程进行专业有效管理和监管，确保安全领域项目安全施工。</w:t>
            </w:r>
          </w:p>
        </w:tc>
      </w:tr>
      <w:tr w14:paraId="77A89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1D6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93F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384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F3C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BA37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007A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C77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85F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59E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6BB2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5594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808C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922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政府投资项目相关报告完成数量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59C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CCD4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CD7F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964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05F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6F8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617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1C97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5D7ED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AC8A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国防动员专项保障任务次数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DB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C4E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9E9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C18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8CB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E6C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76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5087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6D46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FD1E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安全生产领域专家指导检查服务次数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91E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3DD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DEC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B20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768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5B8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A09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4790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677F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2F2F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编制成本领域成本监审报告个数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7C58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727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AA6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7BD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500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251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4F6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9D20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B8A9F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D2AD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国防动员专项任务完成率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21A6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EB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09C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BD1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C32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19C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86F3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04E51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3A912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46C4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规划报告评审合格率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2B3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3EB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0EF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550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83E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059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A14A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5FD3A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6BDF5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EFBAB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政府投资项目相关报告编制费用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850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&lt;=156.80万元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50A2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AA7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74B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9937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F25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7AE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22F76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1FCA8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F470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国防动员任务行动保障经费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00C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681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76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BFC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59CF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661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747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94B40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A2E82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F0ABC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安全生产领域专家指导检查服务费用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D409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0D7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80E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07E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BECB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E0F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8BC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81BA1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3F83C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D4584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成本监审相关报告编制费用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3B8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993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28A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9E4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64F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BFA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32E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1910B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0FE95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953B7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开展前期工作费用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22C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CF9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B9AF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234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2B1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701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6B8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2DC522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26E5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2454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推动产业升级、结构优化及民生改善</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1B4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968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695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5ADB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8E6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3DA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8631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1EB6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71E2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9A8F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推动新能源汽车产业发展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DEE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1E1C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9E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B3FD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AE6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52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1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D132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8120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3ABE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3DE78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440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89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38EE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671A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89A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6CC23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污染防治县级配套项目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58FD2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4173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刘雪莲</w:t>
            </w:r>
          </w:p>
        </w:tc>
      </w:tr>
      <w:tr w14:paraId="14F4F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C08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044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EDD39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DDFD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E6168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2AD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3353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0529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C04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BA33A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邀请第三方对已取得自治区发改委、吐鲁番市发改委节能审查意见的项目进行节能审查竣工验收，全年验收个数不少于3个，推动用能单位采用更加先进的节能措施，实现规上企业万元工业增加值能耗同比下降4%的目标；</w:t>
            </w:r>
          </w:p>
          <w:p w14:paraId="65908CC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目标2：开展不少于1次的节能宣传周活动和低碳日活动，增强用能单位依法用能、合理用能的意识，提高节能管理水平的目标。</w:t>
            </w:r>
          </w:p>
        </w:tc>
      </w:tr>
      <w:tr w14:paraId="03ACF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02D5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ADB9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09B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250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D2E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5024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A33F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9D36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769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A7C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7FD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F70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4377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节能审查竣工验收项目数量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395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735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92B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5A5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FE66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7B2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4CB8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A30A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6064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96B0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节能宣传周活动和低碳日活动次数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733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48C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8A0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C31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E4F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332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A05A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576C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9BC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AB60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节能审查竣工验收通过率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95F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11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566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47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CA9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75A2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8EC3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448E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548C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58E6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节能宣传工作经费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57A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D8C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A3C7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545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DA6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5A1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1AC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6364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3EC8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02B3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节能审查竣工验收经费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5DC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4940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21F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D2B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F31A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AD7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3FF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F0C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3F7E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9C1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增强用能单位依法用能、合理用能的意识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9CC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8C7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3EB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A93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75F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DDD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5B5E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988AC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9BD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1076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规上企业万元工业增加值能耗同比下降率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8A3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609E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02F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031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6E3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E1E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B728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455936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C7D1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2FFC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用能企业对节能宣传的满意度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D70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80F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408F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897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D4F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CBA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F45C31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1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D771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32F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C56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5B54B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FF5E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F91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4F42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68A99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8798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9B50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政府投资项目评审（单位</w:t>
            </w:r>
            <w:r>
              <w:rPr>
                <w:rFonts w:hint="eastAsia" w:ascii="宋体" w:hAnsi="宋体" w:cs="宋体"/>
                <w:i w:val="0"/>
                <w:iCs w:val="0"/>
                <w:color w:val="000000"/>
                <w:sz w:val="18"/>
                <w:szCs w:val="18"/>
                <w:highlight w:val="none"/>
                <w:u w:val="none"/>
                <w:lang w:eastAsia="zh-CN"/>
              </w:rPr>
              <w:t>自有</w:t>
            </w:r>
            <w:r>
              <w:rPr>
                <w:rFonts w:hint="eastAsia" w:ascii="宋体" w:hAnsi="宋体" w:eastAsia="宋体" w:cs="宋体"/>
                <w:i w:val="0"/>
                <w:iCs w:val="0"/>
                <w:color w:val="000000"/>
                <w:sz w:val="18"/>
                <w:szCs w:val="18"/>
                <w:highlight w:val="none"/>
                <w:u w:val="none"/>
              </w:rPr>
              <w:t>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8694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AB85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古丽斯坦</w:t>
            </w:r>
          </w:p>
        </w:tc>
      </w:tr>
      <w:tr w14:paraId="6FD3C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5C6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338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AD757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0.78</w:t>
            </w:r>
          </w:p>
        </w:tc>
        <w:tc>
          <w:tcPr>
            <w:tcW w:w="1455" w:type="dxa"/>
            <w:tcBorders>
              <w:top w:val="single" w:color="000000" w:sz="4" w:space="0"/>
              <w:left w:val="nil"/>
              <w:bottom w:val="single" w:color="000000" w:sz="4" w:space="0"/>
              <w:right w:val="single" w:color="000000" w:sz="4" w:space="0"/>
            </w:tcBorders>
            <w:noWrap w:val="0"/>
            <w:vAlign w:val="center"/>
          </w:tcPr>
          <w:p w14:paraId="285B4E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FDE85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A8B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CEA72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0.78</w:t>
            </w:r>
          </w:p>
        </w:tc>
      </w:tr>
      <w:tr w14:paraId="6D2D8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A21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BE0BA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委托各领域专家完成政府投资项目可行性研究报告、初步设计报告的评审，报告评审数量不少于4个，根据报告类型和专业复杂程度每个报告平均聘请4名专家开展评审，达到大力推进政府投资项目评审工作，促进公共资源的合理配置，为政府和企业决策提供科学依据，减少投资风险的目标。</w:t>
            </w:r>
          </w:p>
        </w:tc>
      </w:tr>
      <w:tr w14:paraId="4EBCF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CE6C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DB5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3C74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11BD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443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34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1E9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0F09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496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7DEF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008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1BB6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87B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报告评审数量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FE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B494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58A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6538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EF0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073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650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975F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FB650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ACA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聘请评审专家平均人数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370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9AD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796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D76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310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6AF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758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0282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85A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DCE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评审程序合规率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D797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5D5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424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AED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4B1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754A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F68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B8E9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8C2F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EFB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初步设计类报告专家评审费人均发放标准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D46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A3B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E78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A4E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7F5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D63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29E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D932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D2505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DD0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项目可研类报告专家评审费人均发放标准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41D4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3FE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2B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B22F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008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87E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E98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15813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02987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2B95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为政府和企业决策提供科学依据，减少投资风险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17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977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B1DB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445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D4C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C368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0D8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BE1F8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E212C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413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促进公共资源的合理配置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54E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AB5F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524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DFB2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7B0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EE7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3D6CA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01F4CF0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托克逊县发展和改革委员会(托克逊县粮食和物资储备局)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B962F9"/>
    <w:rsid w:val="13F72496"/>
    <w:rsid w:val="149D42C3"/>
    <w:rsid w:val="14D856C8"/>
    <w:rsid w:val="15270B0A"/>
    <w:rsid w:val="15B94363"/>
    <w:rsid w:val="162310BB"/>
    <w:rsid w:val="177D598D"/>
    <w:rsid w:val="18B52DD6"/>
    <w:rsid w:val="18CD0120"/>
    <w:rsid w:val="19C332D1"/>
    <w:rsid w:val="1A613F9E"/>
    <w:rsid w:val="1A7B50D8"/>
    <w:rsid w:val="1AC71034"/>
    <w:rsid w:val="1B0B3C2A"/>
    <w:rsid w:val="1C662D65"/>
    <w:rsid w:val="1DDA4CBB"/>
    <w:rsid w:val="1DED4E14"/>
    <w:rsid w:val="1E326C77"/>
    <w:rsid w:val="1F5A6CC9"/>
    <w:rsid w:val="2069773A"/>
    <w:rsid w:val="23256DAA"/>
    <w:rsid w:val="235F22BC"/>
    <w:rsid w:val="236E24FF"/>
    <w:rsid w:val="245C4A4D"/>
    <w:rsid w:val="24B42FC5"/>
    <w:rsid w:val="251406A7"/>
    <w:rsid w:val="25CF341E"/>
    <w:rsid w:val="26413EFB"/>
    <w:rsid w:val="26661BB3"/>
    <w:rsid w:val="26CA05C0"/>
    <w:rsid w:val="26DE58D8"/>
    <w:rsid w:val="27383ED1"/>
    <w:rsid w:val="27BF3329"/>
    <w:rsid w:val="29143B49"/>
    <w:rsid w:val="299D58EC"/>
    <w:rsid w:val="2A44220C"/>
    <w:rsid w:val="2A547193"/>
    <w:rsid w:val="2AC3145D"/>
    <w:rsid w:val="2B6C7C6C"/>
    <w:rsid w:val="2CB25B52"/>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D06BF5"/>
    <w:rsid w:val="41412BA9"/>
    <w:rsid w:val="41CE3C23"/>
    <w:rsid w:val="43B933E5"/>
    <w:rsid w:val="43E500CC"/>
    <w:rsid w:val="44935E12"/>
    <w:rsid w:val="453250A1"/>
    <w:rsid w:val="453413E7"/>
    <w:rsid w:val="4646138E"/>
    <w:rsid w:val="479C6D8B"/>
    <w:rsid w:val="47B70069"/>
    <w:rsid w:val="4832232D"/>
    <w:rsid w:val="48F5089D"/>
    <w:rsid w:val="499E7402"/>
    <w:rsid w:val="4A42246C"/>
    <w:rsid w:val="4B295B6B"/>
    <w:rsid w:val="4B814C16"/>
    <w:rsid w:val="4BC05E5C"/>
    <w:rsid w:val="4CBD4769"/>
    <w:rsid w:val="4E3B5550"/>
    <w:rsid w:val="4E611B9A"/>
    <w:rsid w:val="4EDD03B5"/>
    <w:rsid w:val="50826F69"/>
    <w:rsid w:val="51387B25"/>
    <w:rsid w:val="51B30A99"/>
    <w:rsid w:val="52D04710"/>
    <w:rsid w:val="52DB63C8"/>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1535BA"/>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CB73032"/>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4901</Words>
  <Characters>5794</Characters>
  <Lines>0</Lines>
  <Paragraphs>0</Paragraphs>
  <TotalTime>0</TotalTime>
  <ScaleCrop>false</ScaleCrop>
  <LinksUpToDate>false</LinksUpToDate>
  <CharactersWithSpaces>5918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