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托克逊县医疗保障局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5E8019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贯彻实施国家医疗保险、生育保险、医疗救助等</w:t>
      </w:r>
      <w:r>
        <w:rPr>
          <w:rFonts w:hint="eastAsia" w:ascii="仿宋" w:hAnsi="仿宋" w:eastAsia="仿宋"/>
          <w:color w:val="000000"/>
          <w:sz w:val="28"/>
          <w:szCs w:val="28"/>
          <w:lang w:eastAsia="zh-CN"/>
        </w:rPr>
        <w:t>医疗保障制度，</w:t>
      </w:r>
      <w:r>
        <w:rPr>
          <w:rFonts w:hint="eastAsia" w:ascii="仿宋" w:hAnsi="仿宋" w:eastAsia="仿宋"/>
          <w:color w:val="000000"/>
          <w:sz w:val="28"/>
          <w:szCs w:val="28"/>
        </w:rPr>
        <w:t>组织落实医疗保障制度法规、政策、规划和标准;组织实施人身意外伤害保险、大额医疗补助、公务员医疗补助、企事业单位补充医疗保险、离休人员和优抚对象医疗保障政策及管理办法;组织实施县本级医疗保险、生育保险等政策。</w:t>
      </w:r>
    </w:p>
    <w:p w14:paraId="7FD4A46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组织并实施医疗保障基金监督管理办法,建立健全医疗保障基金安全防控机制,承担推进医疗保障基金支付方式改革工作,编制县医疗保障基金预决算草案。</w:t>
      </w:r>
    </w:p>
    <w:p w14:paraId="3FBFE3B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组织实施医疗保障筹资和待遇政策,完善动态调整和</w:t>
      </w:r>
      <w:r>
        <w:rPr>
          <w:rFonts w:hint="eastAsia" w:ascii="仿宋" w:hAnsi="仿宋" w:eastAsia="仿宋"/>
          <w:color w:val="000000"/>
          <w:sz w:val="28"/>
          <w:szCs w:val="28"/>
          <w:lang w:eastAsia="zh-CN"/>
        </w:rPr>
        <w:t>区域</w:t>
      </w:r>
      <w:r>
        <w:rPr>
          <w:rFonts w:hint="eastAsia" w:ascii="仿宋" w:hAnsi="仿宋" w:eastAsia="仿宋"/>
          <w:color w:val="000000"/>
          <w:sz w:val="28"/>
          <w:szCs w:val="28"/>
        </w:rPr>
        <w:t>调剂平衡机制,统筹城乡医疗保障待遇标准,建立健全与筹资水平相适应的待遇调整机制。</w:t>
      </w:r>
      <w:r>
        <w:rPr>
          <w:rFonts w:hint="eastAsia" w:ascii="仿宋" w:hAnsi="仿宋" w:eastAsia="仿宋"/>
          <w:color w:val="000000"/>
          <w:sz w:val="28"/>
          <w:szCs w:val="28"/>
          <w:lang w:eastAsia="zh-CN"/>
        </w:rPr>
        <w:t>拟订</w:t>
      </w:r>
      <w:r>
        <w:rPr>
          <w:rFonts w:hint="eastAsia" w:ascii="仿宋" w:hAnsi="仿宋" w:eastAsia="仿宋"/>
          <w:color w:val="000000"/>
          <w:sz w:val="28"/>
          <w:szCs w:val="28"/>
        </w:rPr>
        <w:t>长期护理保险制度</w:t>
      </w:r>
      <w:r>
        <w:rPr>
          <w:rFonts w:hint="eastAsia" w:ascii="仿宋" w:hAnsi="仿宋" w:eastAsia="仿宋"/>
          <w:color w:val="000000"/>
          <w:sz w:val="28"/>
          <w:szCs w:val="28"/>
          <w:lang w:eastAsia="zh-CN"/>
        </w:rPr>
        <w:t>改革</w:t>
      </w:r>
      <w:r>
        <w:rPr>
          <w:rFonts w:hint="eastAsia" w:ascii="仿宋" w:hAnsi="仿宋" w:eastAsia="仿宋"/>
          <w:color w:val="000000"/>
          <w:sz w:val="28"/>
          <w:szCs w:val="28"/>
        </w:rPr>
        <w:t>的方案并组织实施。</w:t>
      </w:r>
    </w:p>
    <w:p w14:paraId="7C52ADA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组织实施药品、医用耗材价格和医疗服务项目、医疗服务设施收费等政策并监督实施,组织实施药品、医用耗材的招标采购政策并监督实施,建立医保支付医药服务价格合理确定和动态调整机制。建立市场主导的社会医药服务价格形成机制,建立医药服务价格信息监测和信息发布制度,指导药品、医用耗林招标采购平台建设。</w:t>
      </w:r>
    </w:p>
    <w:p w14:paraId="6BBC0F4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组织实施药品、医用耗材、医疗服务项目、医疗服务设施等医保目录和支付标准,建立动态调整机制。</w:t>
      </w:r>
    </w:p>
    <w:p w14:paraId="2AF59D4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组织实施定点医药机构协议和支付管理办法,建立健全医疗保障信用评价体系和信息披露制度,监督管理纳入医保范围内的医疗服务行为和医疗费用</w:t>
      </w:r>
      <w:r>
        <w:rPr>
          <w:rFonts w:hint="eastAsia" w:ascii="仿宋" w:hAnsi="仿宋" w:eastAsia="仿宋"/>
          <w:color w:val="000000"/>
          <w:sz w:val="28"/>
          <w:szCs w:val="28"/>
          <w:lang w:eastAsia="zh-CN"/>
        </w:rPr>
        <w:t>，依法查处</w:t>
      </w:r>
      <w:r>
        <w:rPr>
          <w:rFonts w:hint="eastAsia" w:ascii="仿宋" w:hAnsi="仿宋" w:eastAsia="仿宋"/>
          <w:color w:val="000000"/>
          <w:sz w:val="28"/>
          <w:szCs w:val="28"/>
        </w:rPr>
        <w:t>医疗保障、生育保险</w:t>
      </w:r>
      <w:r>
        <w:rPr>
          <w:rFonts w:hint="eastAsia" w:ascii="仿宋" w:hAnsi="仿宋" w:eastAsia="仿宋"/>
          <w:color w:val="000000"/>
          <w:sz w:val="28"/>
          <w:szCs w:val="28"/>
          <w:lang w:eastAsia="zh-CN"/>
        </w:rPr>
        <w:t>领域</w:t>
      </w:r>
      <w:r>
        <w:rPr>
          <w:rFonts w:hint="eastAsia" w:ascii="仿宋" w:hAnsi="仿宋" w:eastAsia="仿宋"/>
          <w:color w:val="000000"/>
          <w:sz w:val="28"/>
          <w:szCs w:val="28"/>
        </w:rPr>
        <w:t>违法违规行为。</w:t>
      </w:r>
    </w:p>
    <w:p w14:paraId="7B1D2EC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负责医疗保障经办管理、公共服务体系和信息化建设</w:t>
      </w:r>
      <w:r>
        <w:rPr>
          <w:rFonts w:hint="eastAsia" w:ascii="仿宋" w:hAnsi="仿宋" w:eastAsia="仿宋"/>
          <w:color w:val="000000"/>
          <w:sz w:val="28"/>
          <w:szCs w:val="28"/>
          <w:lang w:eastAsia="zh-CN"/>
        </w:rPr>
        <w:t>。贯彻落实</w:t>
      </w:r>
      <w:r>
        <w:rPr>
          <w:rFonts w:hint="eastAsia" w:ascii="仿宋" w:hAnsi="仿宋" w:eastAsia="仿宋"/>
          <w:color w:val="000000"/>
          <w:sz w:val="28"/>
          <w:szCs w:val="28"/>
        </w:rPr>
        <w:t>国家跨省异地就医管理和费用结算政策,组织实施异地就医和费用结算政策。建立健全医疗保障关系转移接续制度。指导医疗保障经办机构开展业务工作。</w:t>
      </w:r>
    </w:p>
    <w:p w14:paraId="1CFAB45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完成县委、县政府交办的其他任务。</w:t>
      </w:r>
    </w:p>
    <w:p w14:paraId="1E9BE77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职能转变。县医疗保障局应完善统一的城乡居民基本医疗保险制度和大病保险制度,建立健全覆盖全民、城乡统筹的</w:t>
      </w:r>
      <w:r>
        <w:rPr>
          <w:rFonts w:hint="eastAsia" w:ascii="仿宋" w:hAnsi="仿宋" w:eastAsia="仿宋"/>
          <w:color w:val="000000"/>
          <w:sz w:val="28"/>
          <w:szCs w:val="28"/>
          <w:lang w:eastAsia="zh-CN"/>
        </w:rPr>
        <w:t>多层次社会保障体系</w:t>
      </w:r>
      <w:r>
        <w:rPr>
          <w:rFonts w:hint="eastAsia" w:ascii="仿宋" w:hAnsi="仿宋" w:eastAsia="仿宋"/>
          <w:color w:val="000000"/>
          <w:sz w:val="28"/>
          <w:szCs w:val="28"/>
        </w:rPr>
        <w:t>,不断提高医疗保障水平,确保医保资金合理使用、安全可控,推进医疗、医保、医药“三医联动”</w:t>
      </w:r>
      <w:r>
        <w:rPr>
          <w:rFonts w:hint="eastAsia" w:ascii="仿宋" w:hAnsi="仿宋" w:eastAsia="仿宋"/>
          <w:color w:val="000000"/>
          <w:sz w:val="28"/>
          <w:szCs w:val="28"/>
          <w:lang w:eastAsia="zh-CN"/>
        </w:rPr>
        <w:t>改革，</w:t>
      </w:r>
      <w:r>
        <w:rPr>
          <w:rFonts w:hint="eastAsia" w:ascii="仿宋" w:hAnsi="仿宋" w:eastAsia="仿宋"/>
          <w:color w:val="000000"/>
          <w:sz w:val="28"/>
          <w:szCs w:val="28"/>
        </w:rPr>
        <w:t>更好保障人民群众就医需求、减轻医药费用负担。</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与县卫生健康委员会的有关职责分工。县卫生健康委员会、县医疗保障局等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在医疗、医保、医药等方面加强制度政策衔接,建立沟通协商机制,协同推进改革,提高医疗资源使用效率和医疗保障水平。</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75FCDD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托克逊县医疗保障局无下属预算单位，下设2个科室，分别是：(一)办公室(医药价格和招标采购科)（二)规划财务基金监管科(医药服务待遇保障科)。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托克逊县医疗保障局编制数8，实有人数7人，其中：在职7人，增加1人；退休0人，增加0人；离休0人，增加0人。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50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E300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3A70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c>
          <w:tcPr>
            <w:tcW w:w="3600" w:type="dxa"/>
            <w:shd w:val="clear" w:color="auto" w:fill="auto"/>
            <w:vAlign w:val="center"/>
          </w:tcPr>
          <w:p w14:paraId="19A5CA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6F123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8C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CC98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0063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187.84</w:t>
            </w:r>
          </w:p>
        </w:tc>
        <w:tc>
          <w:tcPr>
            <w:tcW w:w="3600" w:type="dxa"/>
            <w:shd w:val="clear" w:color="auto" w:fill="auto"/>
            <w:vAlign w:val="center"/>
          </w:tcPr>
          <w:p w14:paraId="7FB229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977F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C1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8AB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182D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3600" w:type="dxa"/>
            <w:shd w:val="clear" w:color="auto" w:fill="auto"/>
            <w:vAlign w:val="center"/>
          </w:tcPr>
          <w:p w14:paraId="2669BE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9F47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E3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758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77AD0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514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4D6C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96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31A5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CA5C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E1EB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3DBA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26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4EFD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1446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D59F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35DB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A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3E1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E25F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C535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7AC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18.78</w:t>
            </w:r>
          </w:p>
        </w:tc>
      </w:tr>
      <w:tr w14:paraId="6EA2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5EAE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CAC9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06DA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0C0A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AC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C90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8E81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E517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87B4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154.79</w:t>
            </w:r>
          </w:p>
        </w:tc>
      </w:tr>
      <w:tr w14:paraId="3138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6AB4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560B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FA53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0665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69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3A10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F85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7E27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170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87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CBE5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FD5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F69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DA8D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F1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001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CC0A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17A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F1ED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6F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2F16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3A76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5CEB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3E0D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A8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1C28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4E83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52BB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90A4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56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07A0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376B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8E8B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74A9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9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80DC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A26C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5FB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8FC6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5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C5DB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1724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8211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D958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DF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917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A3A8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D837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5521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15.27</w:t>
            </w:r>
          </w:p>
        </w:tc>
      </w:tr>
      <w:tr w14:paraId="6000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EBEE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463E0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7279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464E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F4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7296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E402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3DA2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EB58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42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EA7D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512C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A066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316B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38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E702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F08C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E5FE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018B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02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9599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9449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A068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5E92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C7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C76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A0D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C53F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9277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97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1AA024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A60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7E2A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DFF8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0C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52B1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3D17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C018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4978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AE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5918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B72E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6148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42AEF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5B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589E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7DD3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c>
          <w:tcPr>
            <w:tcW w:w="3600" w:type="dxa"/>
            <w:shd w:val="clear" w:color="auto" w:fill="auto"/>
            <w:vAlign w:val="center"/>
          </w:tcPr>
          <w:p w14:paraId="0A1FCC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2BF0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托克逊县医疗保障局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9A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4C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D54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5A48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ED3F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797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128" w:type="dxa"/>
            <w:shd w:val="clear" w:color="auto" w:fill="auto"/>
            <w:vAlign w:val="center"/>
          </w:tcPr>
          <w:p w14:paraId="69BAE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59E3E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13D86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DB9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38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13D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30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329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51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0B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C6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91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535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B47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5D6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E69A1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7ED8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128" w:type="dxa"/>
            <w:shd w:val="clear" w:color="auto" w:fill="auto"/>
            <w:vAlign w:val="center"/>
          </w:tcPr>
          <w:p w14:paraId="6679C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0DF5F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2B2F9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C6C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365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96A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615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E4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EC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9E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4AD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6A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7F2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AD8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4F03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9E50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9399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154.79</w:t>
            </w:r>
          </w:p>
        </w:tc>
        <w:tc>
          <w:tcPr>
            <w:tcW w:w="1128" w:type="dxa"/>
            <w:shd w:val="clear" w:color="auto" w:fill="auto"/>
            <w:vAlign w:val="center"/>
          </w:tcPr>
          <w:p w14:paraId="5F6C3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154.79</w:t>
            </w:r>
          </w:p>
        </w:tc>
        <w:tc>
          <w:tcPr>
            <w:tcW w:w="1082" w:type="dxa"/>
            <w:shd w:val="clear" w:color="auto" w:fill="auto"/>
            <w:vAlign w:val="center"/>
          </w:tcPr>
          <w:p w14:paraId="57EF2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153.79</w:t>
            </w:r>
          </w:p>
        </w:tc>
        <w:tc>
          <w:tcPr>
            <w:tcW w:w="1082" w:type="dxa"/>
            <w:shd w:val="clear" w:color="auto" w:fill="auto"/>
            <w:vAlign w:val="center"/>
          </w:tcPr>
          <w:p w14:paraId="03B1C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49520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DD0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85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88A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A4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BA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50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C1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6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FDD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2CA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908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3929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CBD2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9.59</w:t>
            </w:r>
          </w:p>
        </w:tc>
        <w:tc>
          <w:tcPr>
            <w:tcW w:w="1128" w:type="dxa"/>
            <w:shd w:val="clear" w:color="auto" w:fill="auto"/>
            <w:vAlign w:val="center"/>
          </w:tcPr>
          <w:p w14:paraId="5D29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9.59</w:t>
            </w:r>
          </w:p>
        </w:tc>
        <w:tc>
          <w:tcPr>
            <w:tcW w:w="1082" w:type="dxa"/>
            <w:shd w:val="clear" w:color="auto" w:fill="auto"/>
            <w:vAlign w:val="center"/>
          </w:tcPr>
          <w:p w14:paraId="2BB54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9.59</w:t>
            </w:r>
          </w:p>
        </w:tc>
        <w:tc>
          <w:tcPr>
            <w:tcW w:w="1082" w:type="dxa"/>
            <w:shd w:val="clear" w:color="auto" w:fill="auto"/>
            <w:vAlign w:val="center"/>
          </w:tcPr>
          <w:p w14:paraId="21A87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F21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067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9BE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01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9E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8DA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77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50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6B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34C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FE6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7FEB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7F60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3076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7.97</w:t>
            </w:r>
          </w:p>
        </w:tc>
        <w:tc>
          <w:tcPr>
            <w:tcW w:w="1128" w:type="dxa"/>
            <w:shd w:val="clear" w:color="auto" w:fill="auto"/>
            <w:vAlign w:val="center"/>
          </w:tcPr>
          <w:p w14:paraId="70D08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7.97</w:t>
            </w:r>
          </w:p>
        </w:tc>
        <w:tc>
          <w:tcPr>
            <w:tcW w:w="1082" w:type="dxa"/>
            <w:shd w:val="clear" w:color="auto" w:fill="auto"/>
            <w:vAlign w:val="center"/>
          </w:tcPr>
          <w:p w14:paraId="7992B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7.97</w:t>
            </w:r>
          </w:p>
        </w:tc>
        <w:tc>
          <w:tcPr>
            <w:tcW w:w="1082" w:type="dxa"/>
            <w:shd w:val="clear" w:color="auto" w:fill="auto"/>
            <w:vAlign w:val="center"/>
          </w:tcPr>
          <w:p w14:paraId="24C22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F34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59E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F9E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DC4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C3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58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E3A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B17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11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C53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18D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0C09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9A90D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EA2D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w:t>
            </w:r>
          </w:p>
        </w:tc>
        <w:tc>
          <w:tcPr>
            <w:tcW w:w="1128" w:type="dxa"/>
            <w:shd w:val="clear" w:color="auto" w:fill="auto"/>
            <w:vAlign w:val="center"/>
          </w:tcPr>
          <w:p w14:paraId="46EF7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w:t>
            </w:r>
          </w:p>
        </w:tc>
        <w:tc>
          <w:tcPr>
            <w:tcW w:w="1082" w:type="dxa"/>
            <w:shd w:val="clear" w:color="auto" w:fill="auto"/>
            <w:vAlign w:val="center"/>
          </w:tcPr>
          <w:p w14:paraId="57F3D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w:t>
            </w:r>
          </w:p>
        </w:tc>
        <w:tc>
          <w:tcPr>
            <w:tcW w:w="1082" w:type="dxa"/>
            <w:shd w:val="clear" w:color="auto" w:fill="auto"/>
            <w:vAlign w:val="center"/>
          </w:tcPr>
          <w:p w14:paraId="41EEB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B26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0AC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B57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B1D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BC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C5D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38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92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1F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A7A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1B0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0F92C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6211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医疗保障管理事务</w:t>
            </w:r>
          </w:p>
        </w:tc>
        <w:tc>
          <w:tcPr>
            <w:tcW w:w="1070" w:type="dxa"/>
            <w:shd w:val="clear" w:color="auto" w:fill="auto"/>
            <w:vAlign w:val="center"/>
          </w:tcPr>
          <w:p w14:paraId="69012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145.20</w:t>
            </w:r>
          </w:p>
        </w:tc>
        <w:tc>
          <w:tcPr>
            <w:tcW w:w="1128" w:type="dxa"/>
            <w:shd w:val="clear" w:color="auto" w:fill="auto"/>
            <w:vAlign w:val="center"/>
          </w:tcPr>
          <w:p w14:paraId="16AB0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145.20</w:t>
            </w:r>
          </w:p>
        </w:tc>
        <w:tc>
          <w:tcPr>
            <w:tcW w:w="1082" w:type="dxa"/>
            <w:shd w:val="clear" w:color="auto" w:fill="auto"/>
            <w:vAlign w:val="center"/>
          </w:tcPr>
          <w:p w14:paraId="7989C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144.20</w:t>
            </w:r>
          </w:p>
        </w:tc>
        <w:tc>
          <w:tcPr>
            <w:tcW w:w="1082" w:type="dxa"/>
            <w:shd w:val="clear" w:color="auto" w:fill="auto"/>
            <w:vAlign w:val="center"/>
          </w:tcPr>
          <w:p w14:paraId="73872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31FA7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810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644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C9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8F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DDA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B9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387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36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2D4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3F1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1734F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873C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6BC2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141.55</w:t>
            </w:r>
          </w:p>
        </w:tc>
        <w:tc>
          <w:tcPr>
            <w:tcW w:w="1128" w:type="dxa"/>
            <w:shd w:val="clear" w:color="auto" w:fill="auto"/>
            <w:vAlign w:val="center"/>
          </w:tcPr>
          <w:p w14:paraId="0B562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141.55</w:t>
            </w:r>
          </w:p>
        </w:tc>
        <w:tc>
          <w:tcPr>
            <w:tcW w:w="1082" w:type="dxa"/>
            <w:shd w:val="clear" w:color="auto" w:fill="auto"/>
            <w:vAlign w:val="center"/>
          </w:tcPr>
          <w:p w14:paraId="5B28F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141.55</w:t>
            </w:r>
          </w:p>
        </w:tc>
        <w:tc>
          <w:tcPr>
            <w:tcW w:w="1082" w:type="dxa"/>
            <w:shd w:val="clear" w:color="auto" w:fill="auto"/>
            <w:vAlign w:val="center"/>
          </w:tcPr>
          <w:p w14:paraId="2C1B0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CD0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FA6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CE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7B4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3C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A0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F0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D7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AD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1F5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B60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4692D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BFA55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其他医疗保障管理事务支出</w:t>
            </w:r>
          </w:p>
        </w:tc>
        <w:tc>
          <w:tcPr>
            <w:tcW w:w="1070" w:type="dxa"/>
            <w:shd w:val="clear" w:color="auto" w:fill="auto"/>
            <w:vAlign w:val="center"/>
          </w:tcPr>
          <w:p w14:paraId="685E6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w:t>
            </w:r>
          </w:p>
        </w:tc>
        <w:tc>
          <w:tcPr>
            <w:tcW w:w="1128" w:type="dxa"/>
            <w:shd w:val="clear" w:color="auto" w:fill="auto"/>
            <w:vAlign w:val="center"/>
          </w:tcPr>
          <w:p w14:paraId="4B000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w:t>
            </w:r>
          </w:p>
        </w:tc>
        <w:tc>
          <w:tcPr>
            <w:tcW w:w="1082" w:type="dxa"/>
            <w:shd w:val="clear" w:color="auto" w:fill="auto"/>
            <w:vAlign w:val="center"/>
          </w:tcPr>
          <w:p w14:paraId="30257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w:t>
            </w:r>
          </w:p>
        </w:tc>
        <w:tc>
          <w:tcPr>
            <w:tcW w:w="1082" w:type="dxa"/>
            <w:shd w:val="clear" w:color="auto" w:fill="auto"/>
            <w:vAlign w:val="center"/>
          </w:tcPr>
          <w:p w14:paraId="47E19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6EE0D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154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A2C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195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86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8B4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725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3B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2B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046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4AE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F477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91D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C0C7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128" w:type="dxa"/>
            <w:shd w:val="clear" w:color="auto" w:fill="auto"/>
            <w:vAlign w:val="center"/>
          </w:tcPr>
          <w:p w14:paraId="5F406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7F530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10F8F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EF9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61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79A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E1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FF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70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AB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6F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DE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BF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3E9A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FA7C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886A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500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128" w:type="dxa"/>
            <w:shd w:val="clear" w:color="auto" w:fill="auto"/>
            <w:vAlign w:val="center"/>
          </w:tcPr>
          <w:p w14:paraId="2B478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1B5B5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3A587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1C4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EDB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475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322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4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822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DE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94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B4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5D27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063A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19D4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AA28E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5E5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128" w:type="dxa"/>
            <w:shd w:val="clear" w:color="auto" w:fill="auto"/>
            <w:vAlign w:val="center"/>
          </w:tcPr>
          <w:p w14:paraId="7C986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6BF7C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0165C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B10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FDD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BF5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60D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43E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86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B79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FE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C2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2E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3AC5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920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C83D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B042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188.84</w:t>
            </w:r>
          </w:p>
        </w:tc>
        <w:tc>
          <w:tcPr>
            <w:tcW w:w="1128" w:type="dxa"/>
            <w:shd w:val="clear" w:color="auto" w:fill="auto"/>
            <w:vAlign w:val="center"/>
          </w:tcPr>
          <w:p w14:paraId="3363C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188.84</w:t>
            </w:r>
          </w:p>
        </w:tc>
        <w:tc>
          <w:tcPr>
            <w:tcW w:w="1082" w:type="dxa"/>
            <w:shd w:val="clear" w:color="auto" w:fill="auto"/>
            <w:vAlign w:val="center"/>
          </w:tcPr>
          <w:p w14:paraId="32F01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187.84</w:t>
            </w:r>
          </w:p>
        </w:tc>
        <w:tc>
          <w:tcPr>
            <w:tcW w:w="1082" w:type="dxa"/>
            <w:shd w:val="clear" w:color="auto" w:fill="auto"/>
            <w:vAlign w:val="center"/>
          </w:tcPr>
          <w:p w14:paraId="443CF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031CC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DD8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8A4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D97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D0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EAB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09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41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1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177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5050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95F0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D0D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8C97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306" w:type="dxa"/>
            <w:gridSpan w:val="2"/>
            <w:shd w:val="clear" w:color="auto" w:fill="auto"/>
            <w:vAlign w:val="center"/>
          </w:tcPr>
          <w:p w14:paraId="67D0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405" w:type="dxa"/>
            <w:shd w:val="clear" w:color="auto" w:fill="auto"/>
            <w:vAlign w:val="center"/>
          </w:tcPr>
          <w:p w14:paraId="40B05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6C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E2E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2D0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33CC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1D48A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DFFA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306" w:type="dxa"/>
            <w:gridSpan w:val="2"/>
            <w:shd w:val="clear" w:color="auto" w:fill="auto"/>
            <w:vAlign w:val="center"/>
          </w:tcPr>
          <w:p w14:paraId="128B1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405" w:type="dxa"/>
            <w:shd w:val="clear" w:color="auto" w:fill="auto"/>
            <w:vAlign w:val="center"/>
          </w:tcPr>
          <w:p w14:paraId="1BADD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62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67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E423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DF7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EBF4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0339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154.79</w:t>
            </w:r>
          </w:p>
        </w:tc>
        <w:tc>
          <w:tcPr>
            <w:tcW w:w="1306" w:type="dxa"/>
            <w:gridSpan w:val="2"/>
            <w:shd w:val="clear" w:color="auto" w:fill="auto"/>
            <w:vAlign w:val="center"/>
          </w:tcPr>
          <w:p w14:paraId="363C4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151.14</w:t>
            </w:r>
          </w:p>
        </w:tc>
        <w:tc>
          <w:tcPr>
            <w:tcW w:w="1405" w:type="dxa"/>
            <w:shd w:val="clear" w:color="auto" w:fill="auto"/>
            <w:vAlign w:val="center"/>
          </w:tcPr>
          <w:p w14:paraId="3B1C4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r w14:paraId="7FE2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017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B916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1B4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50C7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B9C4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9.59</w:t>
            </w:r>
          </w:p>
        </w:tc>
        <w:tc>
          <w:tcPr>
            <w:tcW w:w="1306" w:type="dxa"/>
            <w:gridSpan w:val="2"/>
            <w:shd w:val="clear" w:color="auto" w:fill="auto"/>
            <w:vAlign w:val="center"/>
          </w:tcPr>
          <w:p w14:paraId="66BD9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9.59</w:t>
            </w:r>
          </w:p>
        </w:tc>
        <w:tc>
          <w:tcPr>
            <w:tcW w:w="1405" w:type="dxa"/>
            <w:shd w:val="clear" w:color="auto" w:fill="auto"/>
            <w:vAlign w:val="center"/>
          </w:tcPr>
          <w:p w14:paraId="5F8FD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36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07F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AB3F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C64E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FAC1E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8128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7.97</w:t>
            </w:r>
          </w:p>
        </w:tc>
        <w:tc>
          <w:tcPr>
            <w:tcW w:w="1306" w:type="dxa"/>
            <w:gridSpan w:val="2"/>
            <w:shd w:val="clear" w:color="auto" w:fill="auto"/>
            <w:vAlign w:val="center"/>
          </w:tcPr>
          <w:p w14:paraId="1F715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7.97</w:t>
            </w:r>
          </w:p>
        </w:tc>
        <w:tc>
          <w:tcPr>
            <w:tcW w:w="1405" w:type="dxa"/>
            <w:shd w:val="clear" w:color="auto" w:fill="auto"/>
            <w:vAlign w:val="center"/>
          </w:tcPr>
          <w:p w14:paraId="5DDC9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C8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F80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F59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87B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19FE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C0C6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w:t>
            </w:r>
          </w:p>
        </w:tc>
        <w:tc>
          <w:tcPr>
            <w:tcW w:w="1306" w:type="dxa"/>
            <w:gridSpan w:val="2"/>
            <w:shd w:val="clear" w:color="auto" w:fill="auto"/>
            <w:vAlign w:val="center"/>
          </w:tcPr>
          <w:p w14:paraId="5E809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w:t>
            </w:r>
          </w:p>
        </w:tc>
        <w:tc>
          <w:tcPr>
            <w:tcW w:w="1405" w:type="dxa"/>
            <w:shd w:val="clear" w:color="auto" w:fill="auto"/>
            <w:vAlign w:val="center"/>
          </w:tcPr>
          <w:p w14:paraId="38929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C4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9C1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246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52C1F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6E1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医疗保障管理事务</w:t>
            </w:r>
          </w:p>
        </w:tc>
        <w:tc>
          <w:tcPr>
            <w:tcW w:w="1306" w:type="dxa"/>
            <w:shd w:val="clear" w:color="auto" w:fill="auto"/>
            <w:vAlign w:val="center"/>
          </w:tcPr>
          <w:p w14:paraId="6AAD7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145.20</w:t>
            </w:r>
          </w:p>
        </w:tc>
        <w:tc>
          <w:tcPr>
            <w:tcW w:w="1306" w:type="dxa"/>
            <w:gridSpan w:val="2"/>
            <w:shd w:val="clear" w:color="auto" w:fill="auto"/>
            <w:vAlign w:val="center"/>
          </w:tcPr>
          <w:p w14:paraId="402FA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141.55</w:t>
            </w:r>
          </w:p>
        </w:tc>
        <w:tc>
          <w:tcPr>
            <w:tcW w:w="1405" w:type="dxa"/>
            <w:shd w:val="clear" w:color="auto" w:fill="auto"/>
            <w:vAlign w:val="center"/>
          </w:tcPr>
          <w:p w14:paraId="76361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r w14:paraId="6BA3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998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861F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31ADC8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0A92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710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141.55</w:t>
            </w:r>
          </w:p>
        </w:tc>
        <w:tc>
          <w:tcPr>
            <w:tcW w:w="1306" w:type="dxa"/>
            <w:gridSpan w:val="2"/>
            <w:shd w:val="clear" w:color="auto" w:fill="auto"/>
            <w:vAlign w:val="center"/>
          </w:tcPr>
          <w:p w14:paraId="17ECC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141.55</w:t>
            </w:r>
          </w:p>
        </w:tc>
        <w:tc>
          <w:tcPr>
            <w:tcW w:w="1405" w:type="dxa"/>
            <w:shd w:val="clear" w:color="auto" w:fill="auto"/>
            <w:vAlign w:val="center"/>
          </w:tcPr>
          <w:p w14:paraId="524AC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A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60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248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7887B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0F2A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其他医疗保障管理事务支出</w:t>
            </w:r>
          </w:p>
        </w:tc>
        <w:tc>
          <w:tcPr>
            <w:tcW w:w="1306" w:type="dxa"/>
            <w:shd w:val="clear" w:color="auto" w:fill="auto"/>
            <w:vAlign w:val="center"/>
          </w:tcPr>
          <w:p w14:paraId="226A5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c>
          <w:tcPr>
            <w:tcW w:w="1306" w:type="dxa"/>
            <w:gridSpan w:val="2"/>
            <w:shd w:val="clear" w:color="auto" w:fill="auto"/>
            <w:vAlign w:val="center"/>
          </w:tcPr>
          <w:p w14:paraId="6718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107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r w14:paraId="4DEF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258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A6C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8E9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ABA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C51C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306" w:type="dxa"/>
            <w:gridSpan w:val="2"/>
            <w:shd w:val="clear" w:color="auto" w:fill="auto"/>
            <w:vAlign w:val="center"/>
          </w:tcPr>
          <w:p w14:paraId="1B975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405" w:type="dxa"/>
            <w:shd w:val="clear" w:color="auto" w:fill="auto"/>
            <w:vAlign w:val="center"/>
          </w:tcPr>
          <w:p w14:paraId="5CEB3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3B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2AD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AF41A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DCB2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28C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6651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306" w:type="dxa"/>
            <w:gridSpan w:val="2"/>
            <w:shd w:val="clear" w:color="auto" w:fill="auto"/>
            <w:vAlign w:val="center"/>
          </w:tcPr>
          <w:p w14:paraId="5E0EF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405" w:type="dxa"/>
            <w:shd w:val="clear" w:color="auto" w:fill="auto"/>
            <w:vAlign w:val="center"/>
          </w:tcPr>
          <w:p w14:paraId="565EA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C7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BA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433B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081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8C80E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0193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306" w:type="dxa"/>
            <w:gridSpan w:val="2"/>
            <w:shd w:val="clear" w:color="auto" w:fill="auto"/>
            <w:vAlign w:val="center"/>
          </w:tcPr>
          <w:p w14:paraId="59885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405" w:type="dxa"/>
            <w:shd w:val="clear" w:color="auto" w:fill="auto"/>
            <w:vAlign w:val="center"/>
          </w:tcPr>
          <w:p w14:paraId="35585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2A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22E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F903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51B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3E7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1E6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188.84</w:t>
            </w:r>
          </w:p>
        </w:tc>
        <w:tc>
          <w:tcPr>
            <w:tcW w:w="1306" w:type="dxa"/>
            <w:gridSpan w:val="2"/>
            <w:shd w:val="clear" w:color="auto" w:fill="auto"/>
            <w:vAlign w:val="center"/>
          </w:tcPr>
          <w:p w14:paraId="5A290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185.19</w:t>
            </w:r>
          </w:p>
        </w:tc>
        <w:tc>
          <w:tcPr>
            <w:tcW w:w="1405" w:type="dxa"/>
            <w:shd w:val="clear" w:color="auto" w:fill="auto"/>
            <w:vAlign w:val="center"/>
          </w:tcPr>
          <w:p w14:paraId="59FDE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托克逊县医疗保障局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6C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AE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08EB3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2434" w:type="dxa"/>
            <w:shd w:val="clear" w:color="auto" w:fill="auto"/>
            <w:vAlign w:val="center"/>
          </w:tcPr>
          <w:p w14:paraId="52F8FA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8107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E6CC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B19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42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61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699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902D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A1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62D0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211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E0C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A8EC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3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BCE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F291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DA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02CE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845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AA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3F9C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0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158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FFE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D5A5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9E1C3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C433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0F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AD0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79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EB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31E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DAD6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879A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4A74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0FB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9A7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44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1FF8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025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A4BB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1744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0DE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FD2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D1F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E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6C7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42D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EED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A2F9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18.78</w:t>
            </w:r>
          </w:p>
        </w:tc>
        <w:tc>
          <w:tcPr>
            <w:tcW w:w="1063" w:type="dxa"/>
            <w:shd w:val="clear" w:color="auto" w:fill="auto"/>
            <w:vAlign w:val="center"/>
          </w:tcPr>
          <w:p w14:paraId="31EAC5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18.78</w:t>
            </w:r>
          </w:p>
        </w:tc>
        <w:tc>
          <w:tcPr>
            <w:tcW w:w="1063" w:type="dxa"/>
            <w:gridSpan w:val="2"/>
            <w:shd w:val="clear" w:color="auto" w:fill="auto"/>
            <w:vAlign w:val="center"/>
          </w:tcPr>
          <w:p w14:paraId="07FA3D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E2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7B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6A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6C2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60D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BAAE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3519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64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10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D9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7952A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82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8A67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DA731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154.79</w:t>
            </w:r>
          </w:p>
        </w:tc>
        <w:tc>
          <w:tcPr>
            <w:tcW w:w="1063" w:type="dxa"/>
            <w:shd w:val="clear" w:color="auto" w:fill="auto"/>
            <w:vAlign w:val="center"/>
          </w:tcPr>
          <w:p w14:paraId="2F28CA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154.79</w:t>
            </w:r>
          </w:p>
        </w:tc>
        <w:tc>
          <w:tcPr>
            <w:tcW w:w="1063" w:type="dxa"/>
            <w:gridSpan w:val="2"/>
            <w:shd w:val="clear" w:color="auto" w:fill="auto"/>
            <w:vAlign w:val="center"/>
          </w:tcPr>
          <w:p w14:paraId="0D08D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F97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FB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BC0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A38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938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EBAE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376A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D0F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0DC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1D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8D58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D39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7F96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614CE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11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AE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BD13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3B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464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53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7DFA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F887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B533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14C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672B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9F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A3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77D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9404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ECE4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505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164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D3E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A5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7CF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CF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1B9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7EE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5B62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972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E8A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AD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066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9A8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6654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F3BB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C9C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8E1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745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F1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141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4E46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F7DF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F810C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970A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EA0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4AD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BB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DBF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39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7589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7584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5213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542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7E3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F2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073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36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C157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2DD1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C5E8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4AD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DEC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E5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8BF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E46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6218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F09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15.27</w:t>
            </w:r>
          </w:p>
        </w:tc>
        <w:tc>
          <w:tcPr>
            <w:tcW w:w="1063" w:type="dxa"/>
            <w:shd w:val="clear" w:color="auto" w:fill="auto"/>
            <w:vAlign w:val="center"/>
          </w:tcPr>
          <w:p w14:paraId="2A7F02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15.27</w:t>
            </w:r>
          </w:p>
        </w:tc>
        <w:tc>
          <w:tcPr>
            <w:tcW w:w="1063" w:type="dxa"/>
            <w:gridSpan w:val="2"/>
            <w:shd w:val="clear" w:color="auto" w:fill="auto"/>
            <w:vAlign w:val="center"/>
          </w:tcPr>
          <w:p w14:paraId="56948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3F70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ED3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5B75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465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F0C8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EA84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647B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EE4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856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C4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B2F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D79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C851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6BBD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23A8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150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05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3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D68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681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3C3A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7085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BF9D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8B3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2EE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2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5C9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252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9A3C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2D88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869B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09B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3FF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74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A6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DE80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B301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F588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C2F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B97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E9E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6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DC9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73F0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5EBD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159B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5F7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F8B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B8B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90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D09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415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BE79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526B6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F05C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B7B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55C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5E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9EA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F7F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6641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637B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3B53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8B7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C77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0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824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9F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5947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FAC3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4B14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C5F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D9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D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CED7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9D9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61F6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ADE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0C95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292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C15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7B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29971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35F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082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F75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666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69D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8B97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0A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CE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FD1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2434" w:type="dxa"/>
            <w:shd w:val="clear" w:color="auto" w:fill="auto"/>
            <w:vAlign w:val="center"/>
          </w:tcPr>
          <w:p w14:paraId="3CFE50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D612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1063" w:type="dxa"/>
            <w:shd w:val="clear" w:color="auto" w:fill="auto"/>
            <w:vAlign w:val="center"/>
          </w:tcPr>
          <w:p w14:paraId="550D83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1063" w:type="dxa"/>
            <w:gridSpan w:val="2"/>
            <w:shd w:val="clear" w:color="auto" w:fill="auto"/>
            <w:vAlign w:val="center"/>
          </w:tcPr>
          <w:p w14:paraId="22A99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AF4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3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0A8E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B99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0F719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EF84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24A0F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366" w:type="dxa"/>
            <w:gridSpan w:val="2"/>
            <w:shd w:val="clear" w:color="auto" w:fill="auto"/>
            <w:vAlign w:val="center"/>
          </w:tcPr>
          <w:p w14:paraId="440D1D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427" w:type="dxa"/>
            <w:shd w:val="clear" w:color="auto" w:fill="auto"/>
            <w:vAlign w:val="center"/>
          </w:tcPr>
          <w:p w14:paraId="46CCC9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E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634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F7E3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1FBB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FE221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E0489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366" w:type="dxa"/>
            <w:gridSpan w:val="2"/>
            <w:shd w:val="clear" w:color="auto" w:fill="auto"/>
            <w:vAlign w:val="center"/>
          </w:tcPr>
          <w:p w14:paraId="64ED22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427" w:type="dxa"/>
            <w:shd w:val="clear" w:color="auto" w:fill="auto"/>
            <w:vAlign w:val="center"/>
          </w:tcPr>
          <w:p w14:paraId="7EACC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AE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A107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0596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5687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FD15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B8026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154.79</w:t>
            </w:r>
          </w:p>
        </w:tc>
        <w:tc>
          <w:tcPr>
            <w:tcW w:w="1366" w:type="dxa"/>
            <w:gridSpan w:val="2"/>
            <w:shd w:val="clear" w:color="auto" w:fill="auto"/>
            <w:vAlign w:val="center"/>
          </w:tcPr>
          <w:p w14:paraId="628980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151.14</w:t>
            </w:r>
          </w:p>
        </w:tc>
        <w:tc>
          <w:tcPr>
            <w:tcW w:w="1427" w:type="dxa"/>
            <w:shd w:val="clear" w:color="auto" w:fill="auto"/>
            <w:vAlign w:val="center"/>
          </w:tcPr>
          <w:p w14:paraId="778B3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r w14:paraId="14D4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926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D6A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0DBBD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571C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A3E1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9.59</w:t>
            </w:r>
          </w:p>
        </w:tc>
        <w:tc>
          <w:tcPr>
            <w:tcW w:w="1366" w:type="dxa"/>
            <w:gridSpan w:val="2"/>
            <w:shd w:val="clear" w:color="auto" w:fill="auto"/>
            <w:vAlign w:val="center"/>
          </w:tcPr>
          <w:p w14:paraId="787DD4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9.59</w:t>
            </w:r>
          </w:p>
        </w:tc>
        <w:tc>
          <w:tcPr>
            <w:tcW w:w="1427" w:type="dxa"/>
            <w:shd w:val="clear" w:color="auto" w:fill="auto"/>
            <w:vAlign w:val="center"/>
          </w:tcPr>
          <w:p w14:paraId="1B7DA1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6B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BA1B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6D1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1E72B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CE1B0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0AF9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7.97</w:t>
            </w:r>
          </w:p>
        </w:tc>
        <w:tc>
          <w:tcPr>
            <w:tcW w:w="1366" w:type="dxa"/>
            <w:gridSpan w:val="2"/>
            <w:shd w:val="clear" w:color="auto" w:fill="auto"/>
            <w:vAlign w:val="center"/>
          </w:tcPr>
          <w:p w14:paraId="564833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7.97</w:t>
            </w:r>
          </w:p>
        </w:tc>
        <w:tc>
          <w:tcPr>
            <w:tcW w:w="1427" w:type="dxa"/>
            <w:shd w:val="clear" w:color="auto" w:fill="auto"/>
            <w:vAlign w:val="center"/>
          </w:tcPr>
          <w:p w14:paraId="4DE4EB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24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009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7D0D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B469B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4DB83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902EA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w:t>
            </w:r>
          </w:p>
        </w:tc>
        <w:tc>
          <w:tcPr>
            <w:tcW w:w="1366" w:type="dxa"/>
            <w:gridSpan w:val="2"/>
            <w:shd w:val="clear" w:color="auto" w:fill="auto"/>
            <w:vAlign w:val="center"/>
          </w:tcPr>
          <w:p w14:paraId="419C7B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w:t>
            </w:r>
          </w:p>
        </w:tc>
        <w:tc>
          <w:tcPr>
            <w:tcW w:w="1427" w:type="dxa"/>
            <w:shd w:val="clear" w:color="auto" w:fill="auto"/>
            <w:vAlign w:val="center"/>
          </w:tcPr>
          <w:p w14:paraId="2FD16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83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81CC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91A8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2ECBBF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1BE6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医疗保障管理事务</w:t>
            </w:r>
          </w:p>
        </w:tc>
        <w:tc>
          <w:tcPr>
            <w:tcW w:w="1367" w:type="dxa"/>
            <w:shd w:val="clear" w:color="auto" w:fill="auto"/>
            <w:vAlign w:val="center"/>
          </w:tcPr>
          <w:p w14:paraId="7A67B7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145.20</w:t>
            </w:r>
          </w:p>
        </w:tc>
        <w:tc>
          <w:tcPr>
            <w:tcW w:w="1366" w:type="dxa"/>
            <w:gridSpan w:val="2"/>
            <w:shd w:val="clear" w:color="auto" w:fill="auto"/>
            <w:vAlign w:val="center"/>
          </w:tcPr>
          <w:p w14:paraId="246083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141.55</w:t>
            </w:r>
          </w:p>
        </w:tc>
        <w:tc>
          <w:tcPr>
            <w:tcW w:w="1427" w:type="dxa"/>
            <w:shd w:val="clear" w:color="auto" w:fill="auto"/>
            <w:vAlign w:val="center"/>
          </w:tcPr>
          <w:p w14:paraId="39E091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r w14:paraId="3A9C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0BCB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80771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511BC3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CA172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151F3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141.55</w:t>
            </w:r>
          </w:p>
        </w:tc>
        <w:tc>
          <w:tcPr>
            <w:tcW w:w="1366" w:type="dxa"/>
            <w:gridSpan w:val="2"/>
            <w:shd w:val="clear" w:color="auto" w:fill="auto"/>
            <w:vAlign w:val="center"/>
          </w:tcPr>
          <w:p w14:paraId="7BFC5A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141.55</w:t>
            </w:r>
          </w:p>
        </w:tc>
        <w:tc>
          <w:tcPr>
            <w:tcW w:w="1427" w:type="dxa"/>
            <w:shd w:val="clear" w:color="auto" w:fill="auto"/>
            <w:vAlign w:val="center"/>
          </w:tcPr>
          <w:p w14:paraId="64F085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5E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89B9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74608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7F116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70D54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其他医疗保障管理事务支出</w:t>
            </w:r>
          </w:p>
        </w:tc>
        <w:tc>
          <w:tcPr>
            <w:tcW w:w="1367" w:type="dxa"/>
            <w:shd w:val="clear" w:color="auto" w:fill="auto"/>
            <w:vAlign w:val="center"/>
          </w:tcPr>
          <w:p w14:paraId="638DFB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c>
          <w:tcPr>
            <w:tcW w:w="1366" w:type="dxa"/>
            <w:gridSpan w:val="2"/>
            <w:shd w:val="clear" w:color="auto" w:fill="auto"/>
            <w:vAlign w:val="center"/>
          </w:tcPr>
          <w:p w14:paraId="50A91D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87EB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r w14:paraId="7B93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017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57876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FCB6A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C9AC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A1B6C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366" w:type="dxa"/>
            <w:gridSpan w:val="2"/>
            <w:shd w:val="clear" w:color="auto" w:fill="auto"/>
            <w:vAlign w:val="center"/>
          </w:tcPr>
          <w:p w14:paraId="15BBA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427" w:type="dxa"/>
            <w:shd w:val="clear" w:color="auto" w:fill="auto"/>
            <w:vAlign w:val="center"/>
          </w:tcPr>
          <w:p w14:paraId="020B4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32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28F9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D424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3752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343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A1AD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366" w:type="dxa"/>
            <w:gridSpan w:val="2"/>
            <w:shd w:val="clear" w:color="auto" w:fill="auto"/>
            <w:vAlign w:val="center"/>
          </w:tcPr>
          <w:p w14:paraId="7DADD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427" w:type="dxa"/>
            <w:shd w:val="clear" w:color="auto" w:fill="auto"/>
            <w:vAlign w:val="center"/>
          </w:tcPr>
          <w:p w14:paraId="1BB252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38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57E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1056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0B00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AA63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D223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366" w:type="dxa"/>
            <w:gridSpan w:val="2"/>
            <w:shd w:val="clear" w:color="auto" w:fill="auto"/>
            <w:vAlign w:val="center"/>
          </w:tcPr>
          <w:p w14:paraId="1AB7B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427" w:type="dxa"/>
            <w:shd w:val="clear" w:color="auto" w:fill="auto"/>
            <w:vAlign w:val="center"/>
          </w:tcPr>
          <w:p w14:paraId="794AF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24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CD61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B06A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72B5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C088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E45A0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188.84</w:t>
            </w:r>
          </w:p>
        </w:tc>
        <w:tc>
          <w:tcPr>
            <w:tcW w:w="1366" w:type="dxa"/>
            <w:gridSpan w:val="2"/>
            <w:shd w:val="clear" w:color="auto" w:fill="auto"/>
            <w:vAlign w:val="center"/>
          </w:tcPr>
          <w:p w14:paraId="04A87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185.19</w:t>
            </w:r>
          </w:p>
        </w:tc>
        <w:tc>
          <w:tcPr>
            <w:tcW w:w="1427" w:type="dxa"/>
            <w:shd w:val="clear" w:color="auto" w:fill="auto"/>
            <w:vAlign w:val="center"/>
          </w:tcPr>
          <w:p w14:paraId="1825DB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95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2FB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A7A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B7D4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8D27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32.82</w:t>
            </w:r>
          </w:p>
        </w:tc>
        <w:tc>
          <w:tcPr>
            <w:tcW w:w="1366" w:type="dxa"/>
            <w:gridSpan w:val="2"/>
            <w:shd w:val="clear" w:color="auto" w:fill="auto"/>
            <w:vAlign w:val="center"/>
          </w:tcPr>
          <w:p w14:paraId="2329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32.82</w:t>
            </w:r>
          </w:p>
        </w:tc>
        <w:tc>
          <w:tcPr>
            <w:tcW w:w="1427" w:type="dxa"/>
            <w:shd w:val="clear" w:color="auto" w:fill="auto"/>
            <w:vAlign w:val="center"/>
          </w:tcPr>
          <w:p w14:paraId="1349B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EE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186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01E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60A7B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1ACF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w:t>
            </w:r>
          </w:p>
        </w:tc>
        <w:tc>
          <w:tcPr>
            <w:tcW w:w="1366" w:type="dxa"/>
            <w:gridSpan w:val="2"/>
            <w:shd w:val="clear" w:color="auto" w:fill="auto"/>
            <w:vAlign w:val="center"/>
          </w:tcPr>
          <w:p w14:paraId="79FD1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w:t>
            </w:r>
          </w:p>
        </w:tc>
        <w:tc>
          <w:tcPr>
            <w:tcW w:w="1427" w:type="dxa"/>
            <w:shd w:val="clear" w:color="auto" w:fill="auto"/>
            <w:vAlign w:val="center"/>
          </w:tcPr>
          <w:p w14:paraId="4CC2F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4B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1E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B582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48E22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4396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366" w:type="dxa"/>
            <w:gridSpan w:val="2"/>
            <w:shd w:val="clear" w:color="auto" w:fill="auto"/>
            <w:vAlign w:val="center"/>
          </w:tcPr>
          <w:p w14:paraId="5B2E2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427" w:type="dxa"/>
            <w:shd w:val="clear" w:color="auto" w:fill="auto"/>
            <w:vAlign w:val="center"/>
          </w:tcPr>
          <w:p w14:paraId="0D7C5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2C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9C7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3EC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6C57D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2787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18.78</w:t>
            </w:r>
          </w:p>
        </w:tc>
        <w:tc>
          <w:tcPr>
            <w:tcW w:w="1366" w:type="dxa"/>
            <w:gridSpan w:val="2"/>
            <w:shd w:val="clear" w:color="auto" w:fill="auto"/>
            <w:vAlign w:val="center"/>
          </w:tcPr>
          <w:p w14:paraId="1BEBB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18.78</w:t>
            </w:r>
          </w:p>
        </w:tc>
        <w:tc>
          <w:tcPr>
            <w:tcW w:w="1427" w:type="dxa"/>
            <w:shd w:val="clear" w:color="auto" w:fill="auto"/>
            <w:vAlign w:val="center"/>
          </w:tcPr>
          <w:p w14:paraId="714D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11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4F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921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888C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A2E3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7.97</w:t>
            </w:r>
          </w:p>
        </w:tc>
        <w:tc>
          <w:tcPr>
            <w:tcW w:w="1366" w:type="dxa"/>
            <w:gridSpan w:val="2"/>
            <w:shd w:val="clear" w:color="auto" w:fill="auto"/>
            <w:vAlign w:val="center"/>
          </w:tcPr>
          <w:p w14:paraId="2D976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7.97</w:t>
            </w:r>
          </w:p>
        </w:tc>
        <w:tc>
          <w:tcPr>
            <w:tcW w:w="1427" w:type="dxa"/>
            <w:shd w:val="clear" w:color="auto" w:fill="auto"/>
            <w:vAlign w:val="center"/>
          </w:tcPr>
          <w:p w14:paraId="68C33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5B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E23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064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16AF1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81E5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w:t>
            </w:r>
          </w:p>
        </w:tc>
        <w:tc>
          <w:tcPr>
            <w:tcW w:w="1366" w:type="dxa"/>
            <w:gridSpan w:val="2"/>
            <w:shd w:val="clear" w:color="auto" w:fill="auto"/>
            <w:vAlign w:val="center"/>
          </w:tcPr>
          <w:p w14:paraId="2882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w:t>
            </w:r>
          </w:p>
        </w:tc>
        <w:tc>
          <w:tcPr>
            <w:tcW w:w="1427" w:type="dxa"/>
            <w:shd w:val="clear" w:color="auto" w:fill="auto"/>
            <w:vAlign w:val="center"/>
          </w:tcPr>
          <w:p w14:paraId="58CCC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08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3F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28C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A7EA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6EAE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5B7E1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427" w:type="dxa"/>
            <w:shd w:val="clear" w:color="auto" w:fill="auto"/>
            <w:vAlign w:val="center"/>
          </w:tcPr>
          <w:p w14:paraId="49A0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A4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D61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64B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2A0AB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D265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15.27</w:t>
            </w:r>
          </w:p>
        </w:tc>
        <w:tc>
          <w:tcPr>
            <w:tcW w:w="1366" w:type="dxa"/>
            <w:gridSpan w:val="2"/>
            <w:shd w:val="clear" w:color="auto" w:fill="auto"/>
            <w:vAlign w:val="center"/>
          </w:tcPr>
          <w:p w14:paraId="5BBE7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15.27</w:t>
            </w:r>
          </w:p>
        </w:tc>
        <w:tc>
          <w:tcPr>
            <w:tcW w:w="1427" w:type="dxa"/>
            <w:shd w:val="clear" w:color="auto" w:fill="auto"/>
            <w:vAlign w:val="center"/>
          </w:tcPr>
          <w:p w14:paraId="1345A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1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43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B9D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4F64D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1A0B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366" w:type="dxa"/>
            <w:gridSpan w:val="2"/>
            <w:shd w:val="clear" w:color="auto" w:fill="auto"/>
            <w:vAlign w:val="center"/>
          </w:tcPr>
          <w:p w14:paraId="1C667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427" w:type="dxa"/>
            <w:shd w:val="clear" w:color="auto" w:fill="auto"/>
            <w:vAlign w:val="center"/>
          </w:tcPr>
          <w:p w14:paraId="3226D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B7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85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EAB8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5340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3989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13.17</w:t>
            </w:r>
          </w:p>
        </w:tc>
        <w:tc>
          <w:tcPr>
            <w:tcW w:w="1366" w:type="dxa"/>
            <w:gridSpan w:val="2"/>
            <w:shd w:val="clear" w:color="auto" w:fill="auto"/>
            <w:vAlign w:val="center"/>
          </w:tcPr>
          <w:p w14:paraId="6A033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834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13.17</w:t>
            </w:r>
          </w:p>
        </w:tc>
      </w:tr>
      <w:tr w14:paraId="2246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CD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A0B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8B137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9DF6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4.86</w:t>
            </w:r>
          </w:p>
        </w:tc>
        <w:tc>
          <w:tcPr>
            <w:tcW w:w="1366" w:type="dxa"/>
            <w:gridSpan w:val="2"/>
            <w:shd w:val="clear" w:color="auto" w:fill="auto"/>
            <w:vAlign w:val="center"/>
          </w:tcPr>
          <w:p w14:paraId="69E5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78A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4.86</w:t>
            </w:r>
          </w:p>
        </w:tc>
      </w:tr>
      <w:tr w14:paraId="6D4A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3B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AD2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C8F2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CDF0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550F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703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968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2F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8B6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B01B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A0E8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61B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F05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72D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D7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5D3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6EBE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E7A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366" w:type="dxa"/>
            <w:gridSpan w:val="2"/>
            <w:shd w:val="clear" w:color="auto" w:fill="auto"/>
            <w:vAlign w:val="center"/>
          </w:tcPr>
          <w:p w14:paraId="685E2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5BD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r>
      <w:tr w14:paraId="4A16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D94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231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819C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875B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c>
          <w:tcPr>
            <w:tcW w:w="1366" w:type="dxa"/>
            <w:gridSpan w:val="2"/>
            <w:shd w:val="clear" w:color="auto" w:fill="auto"/>
            <w:vAlign w:val="center"/>
          </w:tcPr>
          <w:p w14:paraId="3B9DE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DDD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r>
      <w:tr w14:paraId="69ED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0E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151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D0A7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A9BB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w:t>
            </w:r>
          </w:p>
        </w:tc>
        <w:tc>
          <w:tcPr>
            <w:tcW w:w="1366" w:type="dxa"/>
            <w:gridSpan w:val="2"/>
            <w:shd w:val="clear" w:color="auto" w:fill="auto"/>
            <w:vAlign w:val="center"/>
          </w:tcPr>
          <w:p w14:paraId="153FF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EFC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w:t>
            </w:r>
          </w:p>
        </w:tc>
      </w:tr>
      <w:tr w14:paraId="6B77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C5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E7A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9823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6F1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w:t>
            </w:r>
          </w:p>
        </w:tc>
        <w:tc>
          <w:tcPr>
            <w:tcW w:w="1366" w:type="dxa"/>
            <w:gridSpan w:val="2"/>
            <w:shd w:val="clear" w:color="auto" w:fill="auto"/>
            <w:vAlign w:val="center"/>
          </w:tcPr>
          <w:p w14:paraId="5E944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AF2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w:t>
            </w:r>
          </w:p>
        </w:tc>
      </w:tr>
      <w:tr w14:paraId="23AB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72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D83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D7CBC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D941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c>
          <w:tcPr>
            <w:tcW w:w="1366" w:type="dxa"/>
            <w:gridSpan w:val="2"/>
            <w:shd w:val="clear" w:color="auto" w:fill="auto"/>
            <w:vAlign w:val="center"/>
          </w:tcPr>
          <w:p w14:paraId="1B1AD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9D2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r>
      <w:tr w14:paraId="274F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8B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5995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D858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C1F0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185.19</w:t>
            </w:r>
          </w:p>
        </w:tc>
        <w:tc>
          <w:tcPr>
            <w:tcW w:w="1366" w:type="dxa"/>
            <w:gridSpan w:val="2"/>
            <w:shd w:val="clear" w:color="auto" w:fill="auto"/>
            <w:vAlign w:val="center"/>
          </w:tcPr>
          <w:p w14:paraId="63C09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172.02</w:t>
            </w:r>
          </w:p>
        </w:tc>
        <w:tc>
          <w:tcPr>
            <w:tcW w:w="1427" w:type="dxa"/>
            <w:shd w:val="clear" w:color="auto" w:fill="auto"/>
            <w:vAlign w:val="center"/>
          </w:tcPr>
          <w:p w14:paraId="0E2BE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13.17</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托克逊县医疗保障局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0D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C9B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34E6F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w:t>
            </w:r>
          </w:p>
        </w:tc>
        <w:tc>
          <w:tcPr>
            <w:tcW w:w="331" w:type="dxa"/>
            <w:shd w:val="clear" w:color="auto" w:fill="auto"/>
            <w:vAlign w:val="center"/>
          </w:tcPr>
          <w:p w14:paraId="2F99F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3980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医疗保障管理事务</w:t>
            </w:r>
          </w:p>
        </w:tc>
        <w:tc>
          <w:tcPr>
            <w:tcW w:w="2073" w:type="dxa"/>
            <w:shd w:val="clear" w:color="auto" w:fill="auto"/>
            <w:vAlign w:val="center"/>
          </w:tcPr>
          <w:p w14:paraId="6886F9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1D3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21B24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02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3F2A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54B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3DF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13A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BD5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8A1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218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BCC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F3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3CE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E860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w:t>
            </w:r>
          </w:p>
        </w:tc>
        <w:tc>
          <w:tcPr>
            <w:tcW w:w="331" w:type="dxa"/>
            <w:shd w:val="clear" w:color="auto" w:fill="auto"/>
            <w:vAlign w:val="center"/>
          </w:tcPr>
          <w:p w14:paraId="11C36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09DF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其他医疗保障管理事务支出</w:t>
            </w:r>
          </w:p>
        </w:tc>
        <w:tc>
          <w:tcPr>
            <w:tcW w:w="2073" w:type="dxa"/>
            <w:shd w:val="clear" w:color="auto" w:fill="auto"/>
            <w:vAlign w:val="center"/>
          </w:tcPr>
          <w:p w14:paraId="0A871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吐市财社[2024]139号2025年自治区财政全民参保及医疗保障服务项目</w:t>
            </w:r>
          </w:p>
        </w:tc>
        <w:tc>
          <w:tcPr>
            <w:tcW w:w="881" w:type="dxa"/>
            <w:shd w:val="clear" w:color="auto" w:fill="auto"/>
            <w:vAlign w:val="center"/>
          </w:tcPr>
          <w:p w14:paraId="4FD42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2A9D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42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B465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ABA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32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31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10F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8F2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2BE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D7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0D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A7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D613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w:t>
            </w:r>
          </w:p>
        </w:tc>
        <w:tc>
          <w:tcPr>
            <w:tcW w:w="331" w:type="dxa"/>
            <w:shd w:val="clear" w:color="auto" w:fill="auto"/>
            <w:vAlign w:val="center"/>
          </w:tcPr>
          <w:p w14:paraId="3412E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68F96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其他医疗保障管理事务支出</w:t>
            </w:r>
          </w:p>
        </w:tc>
        <w:tc>
          <w:tcPr>
            <w:tcW w:w="2073" w:type="dxa"/>
            <w:shd w:val="clear" w:color="auto" w:fill="auto"/>
            <w:vAlign w:val="center"/>
          </w:tcPr>
          <w:p w14:paraId="0782E0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医疗服务能力提升综合业务经费</w:t>
            </w:r>
          </w:p>
        </w:tc>
        <w:tc>
          <w:tcPr>
            <w:tcW w:w="881" w:type="dxa"/>
            <w:shd w:val="clear" w:color="auto" w:fill="auto"/>
            <w:vAlign w:val="center"/>
          </w:tcPr>
          <w:p w14:paraId="43A25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2.65</w:t>
            </w:r>
          </w:p>
        </w:tc>
        <w:tc>
          <w:tcPr>
            <w:tcW w:w="881" w:type="dxa"/>
            <w:shd w:val="clear" w:color="auto" w:fill="auto"/>
            <w:vAlign w:val="center"/>
          </w:tcPr>
          <w:p w14:paraId="4164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5D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2.65</w:t>
            </w:r>
          </w:p>
        </w:tc>
        <w:tc>
          <w:tcPr>
            <w:tcW w:w="881" w:type="dxa"/>
            <w:shd w:val="clear" w:color="auto" w:fill="auto"/>
            <w:vAlign w:val="center"/>
          </w:tcPr>
          <w:p w14:paraId="76FFE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5A2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CD8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F7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418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E89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907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A06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99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081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A33A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4944E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AB05A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C64D5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3801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02404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9DC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57A5D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87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E22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FA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B9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CB6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469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1A8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托克逊县医疗保障局2025年没有使用政府性基金预算拨款安排的支出，政府性基金预算支出情况表为空表。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托克逊县医疗保障局2025年没有使用国有资本经营预算拨款安排的支出，国有资本经营预算支出情况表为空表。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E7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B2FA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E51E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5E2B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59D9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47C5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F1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3502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44636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0F0C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5A41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DC12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B9F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3897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12ED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25194B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69C50F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2456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67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59960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CD13E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ACF1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CE0C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F239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25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EADE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BC9FC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178752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5A3C1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5EA3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托克逊县医疗保障局2025年没有上年结转结余预算安排的支出，上年结转结余情况明细表为空表。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按照全口径预算的原则，托克逊县医疗保障局2025年所有收入和支出均纳入单位预算管理。收支总预算188.84万元。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托克逊县医疗保障局单位收入预算188.84万元，其中：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一般公共预算187.84万元，占99.47%，比上年预算增加22.69万元，增长13.74%，主要原因是</w:t>
      </w:r>
      <w:r>
        <w:rPr>
          <w:rFonts w:hint="eastAsia" w:ascii="仿宋" w:hAnsi="微软雅黑" w:eastAsia="仿宋"/>
          <w:sz w:val="28"/>
          <w:szCs w:val="28"/>
          <w:lang w:val="en-US" w:eastAsia="zh-CN"/>
        </w:rPr>
        <w:t>在职人员增加1人及</w:t>
      </w:r>
      <w:r>
        <w:rPr>
          <w:rFonts w:hint="eastAsia" w:ascii="仿宋" w:hAnsi="微软雅黑" w:eastAsia="仿宋"/>
          <w:sz w:val="28"/>
          <w:szCs w:val="28"/>
          <w:lang w:eastAsia="zh-CN"/>
        </w:rPr>
        <w:t>人员工资，绩效奖调</w:t>
      </w:r>
      <w:r>
        <w:rPr>
          <w:rFonts w:hint="eastAsia" w:ascii="仿宋" w:hAnsi="微软雅黑" w:eastAsia="仿宋"/>
          <w:sz w:val="28"/>
          <w:szCs w:val="28"/>
          <w:lang w:val="en-US" w:eastAsia="zh-CN"/>
        </w:rPr>
        <w:t>增</w:t>
      </w:r>
      <w:r>
        <w:rPr>
          <w:rFonts w:hint="eastAsia" w:ascii="仿宋" w:hAnsi="微软雅黑" w:eastAsia="仿宋"/>
          <w:sz w:val="28"/>
          <w:szCs w:val="28"/>
          <w:lang w:eastAsia="zh-CN"/>
        </w:rPr>
        <w:t>，社保、公积金基数上调，新增公务用车租赁费，医疗服务能力提升综合业务经费，导致预算增加。</w:t>
      </w:r>
    </w:p>
    <w:p w14:paraId="23BAA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上级一般公共预算安排的转移支付1.00万元，占0.53%，比上年预算减少1.00万元，下降50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%，主要原因是自治区基金监管提升能力资金未下达，未</w:t>
      </w:r>
      <w:r>
        <w:rPr>
          <w:rFonts w:hint="eastAsia" w:ascii="仿宋" w:hAnsi="微软雅黑" w:eastAsia="仿宋"/>
          <w:sz w:val="28"/>
          <w:szCs w:val="28"/>
          <w:lang w:val="en-US" w:eastAsia="zh-CN"/>
        </w:rPr>
        <w:t>纳入</w:t>
      </w:r>
      <w:r>
        <w:rPr>
          <w:rFonts w:hint="eastAsia" w:ascii="仿宋" w:hAnsi="微软雅黑" w:eastAsia="仿宋"/>
          <w:sz w:val="28"/>
          <w:szCs w:val="28"/>
          <w:lang w:eastAsia="zh-CN"/>
        </w:rPr>
        <w:t>预算。</w:t>
      </w:r>
    </w:p>
    <w:p w14:paraId="5F66E7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2A9A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EB27B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87418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2B26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%，比上年预算减少0.15万元，下降100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%，主要原因是本年单位资金未做预算。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托克逊县医疗保障局2025年支出预算188.84万元，其中：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基本支出185.19万元，占98.07%，比上年预算增加20.04万元，增长12.13%，主要原因是</w:t>
      </w:r>
      <w:r>
        <w:rPr>
          <w:rFonts w:hint="eastAsia" w:ascii="仿宋" w:hAnsi="微软雅黑" w:eastAsia="仿宋"/>
          <w:sz w:val="28"/>
          <w:szCs w:val="28"/>
          <w:lang w:val="en-US" w:eastAsia="zh-CN"/>
        </w:rPr>
        <w:t>在职人员增加1人及</w:t>
      </w:r>
      <w:r>
        <w:rPr>
          <w:rFonts w:hint="eastAsia" w:ascii="仿宋" w:hAnsi="微软雅黑" w:eastAsia="仿宋"/>
          <w:sz w:val="28"/>
          <w:szCs w:val="28"/>
          <w:lang w:eastAsia="zh-CN"/>
        </w:rPr>
        <w:t>人员工资，绩效奖调</w:t>
      </w:r>
      <w:r>
        <w:rPr>
          <w:rFonts w:hint="eastAsia" w:ascii="仿宋" w:hAnsi="微软雅黑" w:eastAsia="仿宋"/>
          <w:sz w:val="28"/>
          <w:szCs w:val="28"/>
          <w:lang w:val="en-US" w:eastAsia="zh-CN"/>
        </w:rPr>
        <w:t>增</w:t>
      </w:r>
      <w:r>
        <w:rPr>
          <w:rFonts w:hint="eastAsia" w:ascii="仿宋" w:hAnsi="微软雅黑" w:eastAsia="仿宋"/>
          <w:sz w:val="28"/>
          <w:szCs w:val="28"/>
          <w:lang w:eastAsia="zh-CN"/>
        </w:rPr>
        <w:t>，社保、公积金基数上调，新增公务用车租赁费，医疗服务能力提升综合业务经费，导致预算增加。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项目支出3.65万元，占1.93%，比上年预算增加1.50万元，增长69.77%，主要原因是今年新增县级项目医疗服务能力提升综合业务经费。</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2025年财政拨款收支总预算188.84万元。</w:t>
      </w:r>
    </w:p>
    <w:p w14:paraId="7F35C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9A2CE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收入预算包括：一般公共预算拨款188.84万元。</w:t>
      </w:r>
    </w:p>
    <w:p w14:paraId="7D81A3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18.78万元，主要用于缴纳单位职工的养老、医疗、失业保险、工伤保险的单位部分；卫生健康支出154.79万元，主要用于发放单位职工的工资及单位正常运转的办公经费；住房保障支出15.27万元，主要用于缴纳单位职工住房公积金单位部分。</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EEE2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托克逊县医疗保障局2025年一般公共预算拨款合计188.84万元，其中：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基本支出185.19万元，比上年预算增加20.04万元，增长12.13%。主要原因是：</w:t>
      </w:r>
      <w:r>
        <w:rPr>
          <w:rFonts w:hint="eastAsia" w:ascii="仿宋" w:hAnsi="微软雅黑" w:eastAsia="仿宋"/>
          <w:sz w:val="28"/>
          <w:szCs w:val="28"/>
          <w:lang w:val="en-US" w:eastAsia="zh-CN"/>
        </w:rPr>
        <w:t>在职人员增加1人及</w:t>
      </w:r>
      <w:r>
        <w:rPr>
          <w:rFonts w:hint="eastAsia" w:ascii="仿宋" w:hAnsi="微软雅黑" w:eastAsia="仿宋"/>
          <w:sz w:val="28"/>
          <w:szCs w:val="28"/>
          <w:lang w:eastAsia="zh-CN"/>
        </w:rPr>
        <w:t>人员工资，绩效奖调</w:t>
      </w:r>
      <w:r>
        <w:rPr>
          <w:rFonts w:hint="eastAsia" w:ascii="仿宋" w:hAnsi="微软雅黑" w:eastAsia="仿宋"/>
          <w:sz w:val="28"/>
          <w:szCs w:val="28"/>
          <w:lang w:val="en-US" w:eastAsia="zh-CN"/>
        </w:rPr>
        <w:t>增</w:t>
      </w:r>
      <w:r>
        <w:rPr>
          <w:rFonts w:hint="eastAsia" w:ascii="仿宋" w:hAnsi="微软雅黑" w:eastAsia="仿宋"/>
          <w:sz w:val="28"/>
          <w:szCs w:val="28"/>
          <w:lang w:eastAsia="zh-CN"/>
        </w:rPr>
        <w:t>，社保、公积金基数上调，新增公务用车租赁费，医疗服务能力提升综合业务经费，导致预算增加。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项目支出3.65万元，比上年预算增加1.65万元,增长82.5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%。主要原因是：今年新增县级项目医疗服务能力提升综合业务经费。</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1、社会保障和就业支出(类)18.78万元，占9.94%。</w:t>
      </w:r>
    </w:p>
    <w:p w14:paraId="42E549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2、卫生健康支出(类)154.79万元，占81.97%。</w:t>
      </w:r>
    </w:p>
    <w:p w14:paraId="24406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3、住房保障支出(类)15.27万元，占8.09%。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1.社会保障和就业支出（类）行政事业单位养老支出（款）机关事业单位基本养老保险缴费支出（项）2025年预算数为18.78万元，比上年预算增加1.42万元，增长8.18%，主要原因是：</w:t>
      </w:r>
      <w:r>
        <w:rPr>
          <w:rFonts w:hint="eastAsia" w:ascii="仿宋" w:hAnsi="微软雅黑" w:eastAsia="仿宋"/>
          <w:sz w:val="28"/>
          <w:szCs w:val="28"/>
          <w:lang w:val="en-US" w:eastAsia="zh-CN"/>
        </w:rPr>
        <w:t>在职人员增加1人及</w:t>
      </w:r>
      <w:r>
        <w:rPr>
          <w:rFonts w:hint="eastAsia" w:ascii="仿宋" w:hAnsi="微软雅黑" w:eastAsia="仿宋"/>
          <w:sz w:val="28"/>
          <w:szCs w:val="28"/>
        </w:rPr>
        <w:t>人员工资调</w:t>
      </w:r>
      <w:r>
        <w:rPr>
          <w:rFonts w:hint="eastAsia" w:ascii="仿宋" w:hAnsi="微软雅黑" w:eastAsia="仿宋"/>
          <w:sz w:val="28"/>
          <w:szCs w:val="28"/>
          <w:lang w:val="en-US" w:eastAsia="zh-CN"/>
        </w:rPr>
        <w:t>增、</w:t>
      </w:r>
      <w:r>
        <w:rPr>
          <w:rFonts w:hint="eastAsia" w:ascii="仿宋" w:hAnsi="微软雅黑" w:eastAsia="仿宋"/>
          <w:sz w:val="28"/>
          <w:szCs w:val="28"/>
        </w:rPr>
        <w:t>养老保险基数</w:t>
      </w:r>
      <w:r>
        <w:rPr>
          <w:rFonts w:hint="eastAsia" w:ascii="仿宋" w:hAnsi="微软雅黑" w:eastAsia="仿宋"/>
          <w:sz w:val="28"/>
          <w:szCs w:val="28"/>
          <w:lang w:val="en-US" w:eastAsia="zh-CN"/>
        </w:rPr>
        <w:t>增加</w:t>
      </w:r>
      <w:r>
        <w:rPr>
          <w:rFonts w:hint="eastAsia" w:ascii="仿宋" w:hAnsi="微软雅黑" w:eastAsia="仿宋"/>
          <w:sz w:val="28"/>
          <w:szCs w:val="28"/>
        </w:rPr>
        <w:t>，与上年预算相比增加。</w:t>
      </w:r>
    </w:p>
    <w:p w14:paraId="1BD106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2.卫生健康支出（类）行政事业单位医疗（款）行政单位医疗（项）2025年预算数为7.97万元，比上年预算增加0.60万元，增长8.14%，主要原因是：</w:t>
      </w:r>
      <w:r>
        <w:rPr>
          <w:rFonts w:hint="eastAsia" w:ascii="仿宋" w:hAnsi="微软雅黑" w:eastAsia="仿宋"/>
          <w:sz w:val="28"/>
          <w:szCs w:val="28"/>
          <w:lang w:val="en-US" w:eastAsia="zh-CN"/>
        </w:rPr>
        <w:t>在职人员增加1人</w:t>
      </w:r>
      <w:r>
        <w:rPr>
          <w:rFonts w:hint="eastAsia" w:ascii="仿宋" w:hAnsi="微软雅黑" w:eastAsia="仿宋"/>
          <w:sz w:val="28"/>
          <w:szCs w:val="28"/>
        </w:rPr>
        <w:t>，导致行政单位医疗预算增加</w:t>
      </w:r>
      <w:r>
        <w:rPr>
          <w:rFonts w:hint="eastAsia" w:ascii="仿宋" w:hAnsi="微软雅黑" w:eastAsia="仿宋"/>
          <w:sz w:val="28"/>
          <w:szCs w:val="28"/>
          <w:lang w:eastAsia="zh-CN"/>
        </w:rPr>
        <w:t>。</w:t>
      </w:r>
    </w:p>
    <w:p w14:paraId="191D09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3.卫生健康支出（类）行政事业单位医疗（款）公务员医疗补助（项）2025年预算数为1.62万元，比上年预算增加0.18万元，增长12.5</w:t>
      </w:r>
      <w:r>
        <w:rPr>
          <w:rFonts w:hint="eastAsia" w:ascii="仿宋" w:hAnsi="微软雅黑" w:eastAsia="仿宋"/>
          <w:sz w:val="28"/>
          <w:szCs w:val="28"/>
          <w:lang w:val="en-US" w:eastAsia="zh-CN"/>
        </w:rPr>
        <w:t>0</w:t>
      </w:r>
      <w:r>
        <w:rPr>
          <w:rFonts w:hint="eastAsia" w:ascii="仿宋" w:hAnsi="微软雅黑" w:eastAsia="仿宋"/>
          <w:sz w:val="28"/>
          <w:szCs w:val="28"/>
        </w:rPr>
        <w:t>%，主要原因是：行政编增加1人，导致公务员医疗补助预算增加</w:t>
      </w:r>
      <w:r>
        <w:rPr>
          <w:rFonts w:hint="eastAsia" w:ascii="仿宋" w:hAnsi="微软雅黑" w:eastAsia="仿宋"/>
          <w:sz w:val="28"/>
          <w:szCs w:val="28"/>
          <w:lang w:eastAsia="zh-CN"/>
        </w:rPr>
        <w:t>。</w:t>
      </w:r>
    </w:p>
    <w:p w14:paraId="381C3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4.卫生健康支出（类）医疗保障管理事务（款）行政运行（项）2025年预算数为141.55万元，比上年预算增加16.42万元，增长13.12%，主要原因是：人员工资，绩效奖调增，新增公务用车租赁费，导致预算增加。</w:t>
      </w:r>
    </w:p>
    <w:p w14:paraId="3453FD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5.卫生健康支出（类）医疗保障管理事务（款）其他医疗保障管理事务支出（项）2025年预算数为3.65万元，比上年预算增加1.65万元，增长82.5</w:t>
      </w:r>
      <w:r>
        <w:rPr>
          <w:rFonts w:hint="eastAsia" w:ascii="仿宋" w:hAnsi="微软雅黑" w:eastAsia="仿宋"/>
          <w:sz w:val="28"/>
          <w:szCs w:val="28"/>
          <w:lang w:val="en-US" w:eastAsia="zh-CN"/>
        </w:rPr>
        <w:t>0</w:t>
      </w:r>
      <w:r>
        <w:rPr>
          <w:rFonts w:hint="eastAsia" w:ascii="仿宋" w:hAnsi="微软雅黑" w:eastAsia="仿宋"/>
          <w:sz w:val="28"/>
          <w:szCs w:val="28"/>
        </w:rPr>
        <w:t>%，主要原因是：今年新增县级项目医疗服务能力提升综合业务经费项目预算。</w:t>
      </w:r>
    </w:p>
    <w:p w14:paraId="20AB6D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6.住房保障支出（类）住房改革支出（款）住房公积金（项）2025年预算数为15.27万元，比上年预算增加1.42万元，增长10.25%，主要原因是：人员工资调</w:t>
      </w:r>
      <w:r>
        <w:rPr>
          <w:rFonts w:hint="eastAsia" w:ascii="仿宋" w:hAnsi="微软雅黑" w:eastAsia="仿宋"/>
          <w:sz w:val="28"/>
          <w:szCs w:val="28"/>
          <w:lang w:val="en-US" w:eastAsia="zh-CN"/>
        </w:rPr>
        <w:t>增</w:t>
      </w:r>
      <w:r>
        <w:rPr>
          <w:rFonts w:hint="eastAsia" w:ascii="仿宋" w:hAnsi="微软雅黑" w:eastAsia="仿宋"/>
          <w:sz w:val="28"/>
          <w:szCs w:val="28"/>
        </w:rPr>
        <w:t>，住房公积基数调增，导致预算增加</w:t>
      </w:r>
      <w:r>
        <w:rPr>
          <w:rFonts w:hint="eastAsia" w:ascii="仿宋" w:hAnsi="微软雅黑" w:eastAsia="仿宋"/>
          <w:sz w:val="28"/>
          <w:szCs w:val="28"/>
          <w:lang w:eastAsia="zh-CN"/>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托克逊县医疗保障局2025年一般公共预算基本支出185.19万元，其中：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人员经费172.02万元，主要包括：基本工资、津贴补贴、奖金、机关事业单位基本养老保险缴费、职工基本医疗保险缴费、公务员医疗补助缴费、其他社会保障缴费、住房公积金、其他工资福利支出。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公用经费13.17万元，主要包括：办公费、印刷费、电费、邮电费、差旅费、工会经费、公务用车运行维护费、其他商品和服务支出。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（一）项目名称：吐市财社[2024]139号2025年自治区财政全民参保及医疗保障服务项目</w:t>
      </w:r>
    </w:p>
    <w:p w14:paraId="366301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设立的政策依据：吐市财社[2024]139号</w:t>
      </w:r>
    </w:p>
    <w:p w14:paraId="7EB039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77C5E6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36003E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自治区财政全民参保及医疗保障服务项目</w:t>
      </w:r>
      <w:r>
        <w:rPr>
          <w:rFonts w:hint="eastAsia" w:ascii="仿宋" w:hAnsi="微软雅黑" w:eastAsia="仿宋"/>
          <w:sz w:val="28"/>
          <w:szCs w:val="28"/>
          <w:lang w:eastAsia="zh-CN"/>
        </w:rPr>
        <w:t>。</w:t>
      </w:r>
    </w:p>
    <w:p w14:paraId="302FCE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49D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（二）项目名称：医疗服务能力提升综合业务经费托医保发[2025]17号</w:t>
      </w:r>
    </w:p>
    <w:p w14:paraId="4EC4C1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设立的政策依据：2024年县委财经委员会第6次会议纪要</w:t>
      </w:r>
    </w:p>
    <w:p w14:paraId="2E2262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预算安排规模：2.65万元</w:t>
      </w:r>
    </w:p>
    <w:p w14:paraId="06198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6E2238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资金分配情况：2.65万元</w:t>
      </w:r>
      <w:r>
        <w:rPr>
          <w:rFonts w:hint="eastAsia" w:ascii="仿宋" w:hAnsi="微软雅黑" w:eastAsia="仿宋"/>
          <w:sz w:val="28"/>
          <w:szCs w:val="28"/>
          <w:lang w:val="en-US" w:eastAsia="zh-CN"/>
        </w:rPr>
        <w:t>全部用于</w:t>
      </w:r>
      <w:r>
        <w:rPr>
          <w:rFonts w:hint="eastAsia" w:ascii="仿宋" w:hAnsi="微软雅黑" w:eastAsia="仿宋"/>
          <w:sz w:val="28"/>
          <w:szCs w:val="28"/>
        </w:rPr>
        <w:t>医疗服务能力提升综合业务经费</w:t>
      </w:r>
      <w:r>
        <w:rPr>
          <w:rFonts w:hint="eastAsia" w:ascii="仿宋" w:hAnsi="微软雅黑" w:eastAsia="仿宋"/>
          <w:sz w:val="28"/>
          <w:szCs w:val="28"/>
          <w:lang w:eastAsia="zh-CN"/>
        </w:rPr>
        <w:t>。</w:t>
      </w:r>
    </w:p>
    <w:p w14:paraId="4ACAB4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托克逊县医疗保障局2025年财政拨款“三公”经费数为3.34万元，其中：因公出国（境）费0.00万元，公务用车购置费0.00万元，公务用车运行费3.34万元，公务接待费0.00万元。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%，主要原因是2024年与2025年均未安排公务用车购置费；公务用车运行费增加3.34万元，增长100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%，主要原因是2025年租赁一辆公务用车，公务用车运行费预算增加；公务接待费增加0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托克逊县医疗保障局2025年的机关运行经费财政拨款预算13.17万元，比上年预算增加4.59万元，增长53.5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%。主要原因是2025年我单位租赁了一辆公务用车，公务用车运行费预算增加。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2025年，托克逊县医疗保障局政府采购预算0.6</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万元，其中：政府采购货物预算0.6</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2025年托克逊县医疗保障局面向中小企业预留政府采购项目预算金额0.6</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万元，小微企业预留政府采购项目预算金额0.6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截至2024年底，托克逊县医疗保障局占用使用国有资产总体情况为：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4.其他资产价值39.51万元。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2025年，本单位预算绩效管理整体预算绩效目标1个，涉及预算金额188.8</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万元；当年预算安排项目共2个，其中:财政拨款项目涉及预算金额3.65万元；非财政拨款项目涉及预算金额0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521"/>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B98D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749420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35AC2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953567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1CEEE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45B6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5E323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托克逊县医疗保障局</w:t>
            </w:r>
          </w:p>
        </w:tc>
      </w:tr>
      <w:tr w14:paraId="650C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D2A7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7E82BB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牙生·木斯来</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F5C7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D4993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18909953632</w:t>
            </w:r>
          </w:p>
        </w:tc>
      </w:tr>
      <w:tr w14:paraId="348C2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B617C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72C155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1AB2C9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B6F3C0C">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DB1C4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1：继续做好2025年度全民参保缴费工作，加强医保政策宣传，提升全县城乡居民对医保政策的知晓率</w:t>
            </w:r>
          </w:p>
          <w:p w14:paraId="31F6CC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2：完善多层次医疗保障体系，定期或不定期对两定机构开展稽核，做好医保基金监管工作。</w:t>
            </w:r>
          </w:p>
          <w:p w14:paraId="5ED20D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3：常态化做好困难群众大额医疗费用监测工作，做好DRG支付方式培训相关工作，为DRG</w:t>
            </w:r>
            <w:r>
              <w:rPr>
                <w:rFonts w:hint="eastAsia" w:ascii="宋体" w:hAnsi="宋体" w:cs="宋体"/>
                <w:i w:val="0"/>
                <w:iCs w:val="0"/>
                <w:color w:val="000000"/>
                <w:sz w:val="18"/>
                <w:szCs w:val="18"/>
                <w:highlight w:val="none"/>
                <w:u w:val="none"/>
                <w:lang w:eastAsia="zh-CN"/>
              </w:rPr>
              <w:t>医保支付方式改革</w:t>
            </w:r>
            <w:r>
              <w:rPr>
                <w:rFonts w:hint="eastAsia" w:ascii="宋体" w:hAnsi="宋体" w:eastAsia="宋体" w:cs="宋体"/>
                <w:i w:val="0"/>
                <w:iCs w:val="0"/>
                <w:color w:val="000000"/>
                <w:sz w:val="18"/>
                <w:szCs w:val="18"/>
                <w:highlight w:val="none"/>
                <w:u w:val="none"/>
              </w:rPr>
              <w:t>后期工作顺利实施奠定基础。</w:t>
            </w:r>
          </w:p>
          <w:p w14:paraId="4AE542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4：全面推进医保重点领域改革，保障我县医保工作正常顺利运行。</w:t>
            </w:r>
          </w:p>
          <w:p w14:paraId="2E9CD9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5：重拳打击欺诈骗保违法行为，贯彻落实国家药品和医用耗材集中带量采购政策，提升公共医疗机构药品网采率。</w:t>
            </w:r>
          </w:p>
        </w:tc>
      </w:tr>
      <w:tr w14:paraId="3141E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79347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9736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847B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736FB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9294125">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1034D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E74C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DBD53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.00</w:t>
            </w:r>
          </w:p>
        </w:tc>
      </w:tr>
      <w:tr w14:paraId="7CF4A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9BA34A1">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0C0C1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FE46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706213C">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187.8</w:t>
            </w:r>
            <w:r>
              <w:rPr>
                <w:rFonts w:hint="eastAsia" w:ascii="宋体" w:hAnsi="宋体" w:cs="宋体"/>
                <w:i w:val="0"/>
                <w:iCs w:val="0"/>
                <w:color w:val="000000"/>
                <w:kern w:val="0"/>
                <w:sz w:val="18"/>
                <w:szCs w:val="18"/>
                <w:u w:val="none"/>
                <w:lang w:val="en-US" w:eastAsia="zh-CN" w:bidi="ar"/>
              </w:rPr>
              <w:t>4</w:t>
            </w:r>
          </w:p>
        </w:tc>
      </w:tr>
      <w:tr w14:paraId="42CEF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1823B64">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ABB6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9BF8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D8C141">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1FF20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9760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35F2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269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333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C06F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1C3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7249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1F3E4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95B28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A3D4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城乡居民基本医疗参保缴费政策宣传次数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DCC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CEA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1F7C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FAAA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8D72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93CF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65E5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居民基本医疗参保人数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D6E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3FE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C60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60DD2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8E66E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13A9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D49F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C86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44D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DF4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3C16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39BC3D">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1A1D3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9057E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医保基金监管点个数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D224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A517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2A5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DB67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EC8EB8">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69E4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0383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DRG支付培训次数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3C5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099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B6F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3E4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CEFA1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C8C9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C9D5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“双随机、一公开”联合抽查比例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705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D9E1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E520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116C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631BC80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D9A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C862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公立医院购药品网采率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E3D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801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2D6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472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EDBD1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6C06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1B858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20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61CE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CFADD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托克逊县医疗保障局</w:t>
            </w:r>
          </w:p>
        </w:tc>
      </w:tr>
      <w:tr w14:paraId="1CDE8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12E3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94AB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2025年自治区财政全民参保及医疗保障服务项目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180D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C9B21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冯春兰</w:t>
            </w:r>
          </w:p>
        </w:tc>
      </w:tr>
      <w:tr w14:paraId="58CD7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64FD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C29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3946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B195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E1B47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5D7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B3EB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57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1338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FE391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通过完成培训不少</w:t>
            </w:r>
            <w:r>
              <w:rPr>
                <w:rFonts w:hint="eastAsia" w:ascii="宋体" w:hAnsi="宋体" w:cs="宋体"/>
                <w:i w:val="0"/>
                <w:iCs w:val="0"/>
                <w:color w:val="000000"/>
                <w:sz w:val="18"/>
                <w:szCs w:val="18"/>
                <w:highlight w:val="none"/>
                <w:u w:val="none"/>
                <w:lang w:eastAsia="zh-CN"/>
              </w:rPr>
              <w:t>于</w:t>
            </w:r>
            <w:r>
              <w:rPr>
                <w:rFonts w:hint="eastAsia" w:ascii="宋体" w:hAnsi="宋体" w:eastAsia="宋体" w:cs="宋体"/>
                <w:i w:val="0"/>
                <w:iCs w:val="0"/>
                <w:color w:val="000000"/>
                <w:sz w:val="18"/>
                <w:szCs w:val="18"/>
                <w:highlight w:val="none"/>
                <w:u w:val="none"/>
              </w:rPr>
              <w:t>2次，培训人数不少于10人，发放宣传册不少于1000份，达到提高全民参保意识，确保基本医疗参保人数及参保率，进一步优化医疗保障服务体系的目标。</w:t>
            </w:r>
          </w:p>
        </w:tc>
      </w:tr>
      <w:tr w14:paraId="40018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5D8A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E400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17779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E15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83AF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F602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96009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A9C7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44FC3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76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A3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49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8E15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300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EAC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3417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0F6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F48D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ECC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35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23FE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FAFFB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02FD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70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31D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488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35E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5E7A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A2AB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874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9DB03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57186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1886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宣传单发放份数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47E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281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4DE9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5935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C0B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423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842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775C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BE73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28BB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培训工作乡镇覆盖率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32D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54C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2C4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418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0AD1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CFE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51F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12C83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B16F4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A98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0BF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F8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FE0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1340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A1C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4C3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F54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5730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9BA3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B67C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AA4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EF6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017E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DE0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9D6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72B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E54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ADBAE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D2BE2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12C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宣传业务费支出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13B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5D4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CF7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3A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918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A40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910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54F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22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C1AE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提供优良的办事环境，提高医保政策的社会影响力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00A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62E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E9B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441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C40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3DF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D6C8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9E50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74AF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694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提高全民参保的意识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FDE3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EC1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42D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96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457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F76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8C6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FF2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032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154F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居民对医疗服务的满意度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D58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9F7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74C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4D0A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E23E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320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C91DAA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31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4CB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D4E914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F49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4EBD9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5E4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D238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7D221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托克逊县医疗保障局</w:t>
            </w:r>
          </w:p>
        </w:tc>
      </w:tr>
      <w:tr w14:paraId="403FB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C7E1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FF05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医疗服务能力提升综合业务经费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080D6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DD8AC0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冯春兰</w:t>
            </w:r>
          </w:p>
        </w:tc>
      </w:tr>
      <w:tr w14:paraId="6823A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8C6E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F1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EB1E8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2.65</w:t>
            </w:r>
          </w:p>
        </w:tc>
        <w:tc>
          <w:tcPr>
            <w:tcW w:w="1455" w:type="dxa"/>
            <w:tcBorders>
              <w:top w:val="single" w:color="000000" w:sz="4" w:space="0"/>
              <w:left w:val="nil"/>
              <w:bottom w:val="single" w:color="000000" w:sz="4" w:space="0"/>
              <w:right w:val="single" w:color="000000" w:sz="4" w:space="0"/>
            </w:tcBorders>
            <w:noWrap w:val="0"/>
            <w:vAlign w:val="center"/>
          </w:tcPr>
          <w:p w14:paraId="01890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AB8E0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2.65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68A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A6CD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2E7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CECD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74FEFE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目标1：计划全县完成参保人员不少于89844人，实现参保率显著提升，有效减轻参保人员就医经济负担；</w:t>
            </w:r>
          </w:p>
          <w:p w14:paraId="099C73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3次的基金监管培训，全面提升医疗能力服务水平，促进医保数据精准化、规范化，优化医保服务流程，构建起群众与医保部门间的高效沟通桥梁，为保障群众医疗权益、推动医疗保障事业高质量发展奠定坚实基础。</w:t>
            </w:r>
          </w:p>
        </w:tc>
      </w:tr>
      <w:tr w14:paraId="6D0FF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46869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A25CE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B62B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1F2F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8BA24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B980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13CD9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EDAA8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5AD4D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AAF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700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E97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741E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基本医疗保险参保人数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9C1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&gt;=89844人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0D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CB0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8A7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8FA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D676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6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C6F14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D9382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3112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基金监管培训次数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753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82CB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446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25A4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EA7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765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8B8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42F9B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805F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DF75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基本医疗保险参保率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71A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40A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9AD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B8C3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AE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D3C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17E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5A4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E3F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DCB1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差旅费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82B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&lt;=0.154万元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889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D16C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669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28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09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5DA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EB7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5D1CC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013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120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&lt;=0.496万元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7F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01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CB0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E8DF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91E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5F6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FAECB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9528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CDCE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制作宣传印刷费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16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8CC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397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C3C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844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72F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422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DC0E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9B9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B64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减轻参保人员就医经济负担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75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D1E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9F9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69E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A52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9A0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DA0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BEDF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CC2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B123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提升医疗能力服务水平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53F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195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B78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6D5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C0A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83E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033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74D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E5C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A4CD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居民医疗服务满意度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367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8F9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0E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30F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904E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A4DA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托克逊县医疗保障局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744D3C"/>
    <w:rsid w:val="070D4E50"/>
    <w:rsid w:val="07FC2953"/>
    <w:rsid w:val="08256E79"/>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6F636F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C6729"/>
    <w:rsid w:val="236E24FF"/>
    <w:rsid w:val="245C4A4D"/>
    <w:rsid w:val="24B42FC5"/>
    <w:rsid w:val="25CF341E"/>
    <w:rsid w:val="25EE6395"/>
    <w:rsid w:val="26413EFB"/>
    <w:rsid w:val="26661BB3"/>
    <w:rsid w:val="26CA05C0"/>
    <w:rsid w:val="27383ED1"/>
    <w:rsid w:val="27BF3329"/>
    <w:rsid w:val="29143B49"/>
    <w:rsid w:val="299D58EC"/>
    <w:rsid w:val="2A3E2DEA"/>
    <w:rsid w:val="2A44220C"/>
    <w:rsid w:val="2A97233B"/>
    <w:rsid w:val="2AC3145D"/>
    <w:rsid w:val="2B6C7C6C"/>
    <w:rsid w:val="2CF33142"/>
    <w:rsid w:val="2D1063D5"/>
    <w:rsid w:val="2EE93382"/>
    <w:rsid w:val="2F1102C8"/>
    <w:rsid w:val="2FF951FB"/>
    <w:rsid w:val="3084050F"/>
    <w:rsid w:val="31BB2DB3"/>
    <w:rsid w:val="31D60DBC"/>
    <w:rsid w:val="3255145A"/>
    <w:rsid w:val="32732A73"/>
    <w:rsid w:val="3284589B"/>
    <w:rsid w:val="3390372F"/>
    <w:rsid w:val="340B78F6"/>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7D275D"/>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2F42171"/>
    <w:rsid w:val="544F3898"/>
    <w:rsid w:val="54BE47E5"/>
    <w:rsid w:val="55FD3BFE"/>
    <w:rsid w:val="56334ED7"/>
    <w:rsid w:val="56694C24"/>
    <w:rsid w:val="56AD303B"/>
    <w:rsid w:val="570D6457"/>
    <w:rsid w:val="573B113A"/>
    <w:rsid w:val="57754465"/>
    <w:rsid w:val="585F1E3B"/>
    <w:rsid w:val="58B507D8"/>
    <w:rsid w:val="590442D0"/>
    <w:rsid w:val="59285535"/>
    <w:rsid w:val="5A096BEC"/>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5A4427"/>
    <w:rsid w:val="67A8670B"/>
    <w:rsid w:val="67E31343"/>
    <w:rsid w:val="6808604B"/>
    <w:rsid w:val="68215E3F"/>
    <w:rsid w:val="68570D81"/>
    <w:rsid w:val="68A452E5"/>
    <w:rsid w:val="69286279"/>
    <w:rsid w:val="69DB32EB"/>
    <w:rsid w:val="6B713F07"/>
    <w:rsid w:val="6CAB45B9"/>
    <w:rsid w:val="6D035033"/>
    <w:rsid w:val="6D0542A8"/>
    <w:rsid w:val="6D8F1190"/>
    <w:rsid w:val="6DA124FB"/>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3302</Words>
  <Characters>4063</Characters>
  <Lines>0</Lines>
  <Paragraphs>0</Paragraphs>
  <TotalTime>2</TotalTime>
  <ScaleCrop>false</ScaleCrop>
  <LinksUpToDate>false</LinksUpToDate>
  <CharactersWithSpaces>4235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