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bookmarkStart w:id="0" w:name="_GoBack"/>
      <w:bookmarkEnd w:id="0"/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2026年托克逊县卫生服务中心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关于托克逊县卫生服务中心2026年收支预算情况的总体说明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关于托克逊县卫生服务中心2026年收入预算情况说明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关于托克逊县卫生服务中心2026年支出预算情况说明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关于托克逊县卫生服务中心2026年财政拨款收支预算情况的总体说明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关于托克逊县卫生服务中心2026年一般公共预算当年拨款情况说明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关于托克逊县卫生服务中心2026年一般公共预算基本支出情况说明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关于托克逊县卫生服务中心2026年一般公共预算项目支出情况说明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关于托克逊县卫生服务中心2026年政府性基金预算拨款情况说明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关于托克逊县卫生服务中心2026年国有资本经营预算拨款情况说明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关于托克逊县卫生服务中心2026年财政拨款“三公”经费预算情况说明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关于托克逊县卫生服务中心2026年财政拨款委托业务费支出情况说明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关于托克逊县卫生服务中心2026年上年结转结余预算情况说明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1.基本公共卫生专业机构、疾病预防、保健、残疾及功能障碍康复、全民健康教育，全民健康体检、突发公共卫生事件应急处置，计划免疫。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2.健康危害因素监测与干预、健康教育与健康促进；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3.碘缺乏病、地方性氟中毒、包虫病等地方病的监测防治；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4.慢性病管理和慢性非传染性疾病的防治与管理。</w:t>
      </w:r>
    </w:p>
    <w:p w14:paraId="5B5F45D8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托克逊县卫生服务中心无下属预算单位。</w:t>
      </w:r>
    </w:p>
    <w:p w14:paraId="486FDB24">
      <w:pPr>
        <w:pStyle w:val="2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591.85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B53B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06C889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81699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341.85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ACF33F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E4DBF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250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134628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C3B5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341.85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68D97A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F9512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16FC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B8DC12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C99F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D89889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704D30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521B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BFCD9F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6E1B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CAE86E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CC3E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8D69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507556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E3D88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D19988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AC0F5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37B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6F7518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F99F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0F6F64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DE5D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2CD3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D21AC0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7A91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7F8F20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AD21C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48.35</w:t>
            </w:r>
          </w:p>
        </w:tc>
      </w:tr>
      <w:tr w14:paraId="78227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996F2E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553E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8E1A5D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7F244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5071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363835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B253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F744C1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D2574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516.01</w:t>
            </w:r>
          </w:p>
        </w:tc>
      </w:tr>
      <w:tr w14:paraId="14FA4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CE829F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2087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80ABFF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695C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264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0F5948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71860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250.00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EEF009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CB6A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750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7A9243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FAEC1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250.00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F2D6DF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7FE9C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3E1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6E1177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AFEF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F42D55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A3FC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01F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73EA54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38CA7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FA5706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CBF8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D756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03523E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B4F5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1190C5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4AFC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CA2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812FE0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F0C9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22CEC7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D14A0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1D66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2C6F56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69F7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27DFF4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E1E07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C0C0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1CEDE5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73ED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CF1830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B93F5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98A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BCE9B5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F4DC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C4C850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674A1D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</w:tr>
      <w:tr w14:paraId="157EC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5E3EE7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90C3F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42F857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563AD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A2A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F66F5B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34D6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7A919F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51741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60D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C08590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1063E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31F1B9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F715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394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361B7F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D5D0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059F53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3375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89D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3E4B8E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851C70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5FCD2C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53313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E69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849390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DF402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E02E3F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2AFC6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F7F3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5BAC3B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EAD8D1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B3E54C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63E1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69A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5978D6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368EF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0DF3EB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C8E3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0E17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08E484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D62A3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1C5BCC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C1240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7BEA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2A24D1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D6393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EAB739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222D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C7EF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E45D3EA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79B43C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591.85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AA395E5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8754B08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591.85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48.35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48.35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48.35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5AC6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69E35A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A27F85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1B846B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A1E756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8D8E4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48.35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1C945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48.35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6B10A1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48.35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994AEE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56A1F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A68CC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7666DA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76483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85B3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9A1B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74EA8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F66BB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09A8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1DB92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9857F0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9A608C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F609CA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9FACB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990FD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66993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C2E871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423429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6205D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D0486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94485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B31F0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D9FC6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ACA75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30A54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ED5C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1CB228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E842EA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10A2D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ACE426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7950DB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33.07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01B493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33.07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6F52E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33.07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49410F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7398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7F153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49BAE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071519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0A95B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AF488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7FFDD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D2B2A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3CEB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8D4114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E6E058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962A5F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A03AE5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DCDAB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20BA2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86C6EA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A5ACA2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5F385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9582C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DDFB1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AD53F4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0AFA0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B73D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1A802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D6339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2662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F449B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470CA4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09CB17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D7DDF5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2F0B4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516.01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6E39B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266.01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F144EC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266.01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DD8ABB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803CB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AD56C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D32794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67370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24AE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9421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1E3C6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E8B78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10B5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CADE18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461654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84E4E4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5CEFCE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基层医疗卫生机构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82C55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501.64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E4FCEB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251.64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AD652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251.64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344752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8C60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EF93D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4A457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1CFF9C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DB42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E8D6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8F5CB0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76854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808E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769668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E7581D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E6241A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26139B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城市社区卫生机构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257E8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501.64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87ACC7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251.64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8D10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251.64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098FC4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F7B5AF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E5500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A1BBDE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30096F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B0AA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80B4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4911B5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91A6A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EB65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29E836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89F580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D8398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F67669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DB058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4ABE43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44B1AC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F8A3E4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1023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F69C7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909A6B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C3EAC7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EDC6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16A6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77F03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FF40B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56D1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666B43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B7ADB5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B2C6B2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081B76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F5CBD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56D8A9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5D7088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665BDF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5F2C1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E75F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7B9D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B6BE6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D92F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4738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D8C1A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C0D76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11AB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077167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BD4669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AC0C46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E24234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4D434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8D032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692AE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55874D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39136D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C89C7A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A18C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EE1D5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C280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5BE7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8FD63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39E82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4DB0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E9DEA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C81B6E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1D2F9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DBC620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731FF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9836F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CBC84F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F39C9C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D3D53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97E680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D570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96CC2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21539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17D4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E13AB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66719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58D7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783E5E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8393FF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68046E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4F72C0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02F26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BC8B7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B02D3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679072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317B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4ABBA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2129F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EA856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E0071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3D90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2D1AF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01C76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716E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611A02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293E93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A281DF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8859C3B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ABEB574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591.85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47643FF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341.85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ADF08B9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341.85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08B7C79">
            <w:pPr>
              <w:jc w:val="right"/>
              <w:rPr>
                <w:rFonts w:hint="default" w:ascii="宋体" w:hAnsi="宋体"/>
                <w:b/>
                <w:bCs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92B313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F2EA623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EF9A96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88F28B6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E0CBAA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AAC1F6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250.00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9F71113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9398F0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48.35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48.35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4A82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6F41F6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53075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EB478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1F6B1B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B7CF59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48.35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118D67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48.35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9ECC17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39EF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902943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A4569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85B0A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790FC8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55124C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1ED38B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0E66F7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5D8D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9DBC19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A73D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40B04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229E24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2D102F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33.07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B18D18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33.07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F25F28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6908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882E18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67DF9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74C6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F346DF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6F412B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90E66E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FED79F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93AE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896353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4DF7D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D84D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E11793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0B06A6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516.01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E0CC4E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266.01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05DDF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250.00</w:t>
            </w:r>
          </w:p>
        </w:tc>
      </w:tr>
      <w:tr w14:paraId="19772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2951FC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54CC0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85A00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FF3504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基层医疗卫生机构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63FC62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501.64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2D3A5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251.64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99A374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250.00</w:t>
            </w:r>
          </w:p>
        </w:tc>
      </w:tr>
      <w:tr w14:paraId="693BF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C33A61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86999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C7754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B5458D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城市社区卫生机构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05F01F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501.64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A4245D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251.64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3E2CD9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250.00</w:t>
            </w:r>
          </w:p>
        </w:tc>
      </w:tr>
      <w:tr w14:paraId="3BC80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162626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85E3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3E821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47601E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ADA5D2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E76D86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DBE520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CEFB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60D701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F84E5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880D9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48AC21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5E9A7D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22C76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F91F0C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202F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901BE8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8541E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F8415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37F7D5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1052DE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27.49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E5521B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27.49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388A21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5C8C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5F63C4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0037E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30E01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C70AC2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6A5CB0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27.49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8D9117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27.49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9AA13B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C5C4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28348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2AF5D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1DD43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BB812B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D336C1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27.49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3302FA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27.49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DB3862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E5BB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BB31D72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386F63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4ACD27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4E20AF3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545002D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591.85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24C9575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341.85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55BC8D9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250.00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341.85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FE4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A7780F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62C426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341.85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D0A63E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E0A4C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B8F43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0F74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9AD15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9A3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68AA68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74292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8BAE3E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351EC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D6709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E7700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AD6A3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BD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34C8DF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05624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67EACB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5C201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75AB73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4F2C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00EE2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104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C94E9C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07C5D5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6A421A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7F545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7E82EF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1DA3F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2CB86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885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AB249F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02D163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52F0C1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F76E3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EC35D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50B6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AE727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55D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065384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73B75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BC4BB9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0E86E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5CB6D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28F3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D2D6B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879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7CE9F0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5B2266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56D92D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71E79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48.35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2ECC6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48.35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49F5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ED3C5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E380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CDF475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EB1D50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4CE48F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0F209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F87FA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D8C2C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F9013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3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92E0B4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38CDD8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36A6F1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9B9A6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266.01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AA450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266.01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4A47C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1207E1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66D3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2" w:type="dxa"/>
            <w:shd w:val="clear" w:color="auto" w:fill="auto"/>
            <w:vAlign w:val="center"/>
          </w:tcPr>
          <w:p w14:paraId="42D6A46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B36E87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78686C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468F0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503953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6B05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5ACF5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823C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3EA862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70CC40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4CBF16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1DBD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B45200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D09A7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D8D51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69A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767778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BD2EA4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AFE587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B301C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38543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9576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E6562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8EE0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6ABDD4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90434F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D0905E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B6F9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BD82D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BC1A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53462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2E6C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9DA180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8C6328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A47A4D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9B80A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B1721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5D29A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07CC6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219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097AB8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FDEF17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BCFBF2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6C00B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DE21E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E6F0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676F6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176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873F81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653354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646C51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3683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9DA09A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688D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FC67B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249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E1053A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1006E0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16601C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B3182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77AA34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D1C40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5F9FA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511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1FEA70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B17229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0121E2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1B8CD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2C5DB1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9DB7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6DE9B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B593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4456A3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F3A9FB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DCDED7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AD31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DC32F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81537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0524E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12A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9A6DD9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E17300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5CD30C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B5A2C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72DFBA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8F75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2CC3C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A04B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389063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F89CEE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D8896A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A1E29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1BAD2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7684F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CEBCC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AAB8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45F7E9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E13778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EAD1D7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062ECE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E6DBB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E9E5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E9B00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2501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4CA602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5A2A4F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DA2142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5D320D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A82E3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D920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4DE35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707B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9805EC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5D388A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2ABDB0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0E9DC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07F5D7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58FE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F43E8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21A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7056A1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430E22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D56C0E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97158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3E0F7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AE39E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75A60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2C3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176C49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FFE380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DFFA07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8E627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1CD1E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06C8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43324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B4F3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B587F6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D5B809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F7CB38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6C662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A92E2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296A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065B5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9AA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07071A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F37118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E7E863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4A60F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870C0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85A18B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46D2AC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20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935133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8AF6F6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4A91B4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46347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FF639C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44BB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4BA71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CD9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964F75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2A9325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05163B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5D648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7F50E5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569F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2A061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B1E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033083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F26260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658A87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2A0CE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A9792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9A859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7BB8E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F94B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E1D1857">
            <w:pPr>
              <w:widowControl/>
              <w:tabs>
                <w:tab w:val="center" w:pos="1471"/>
              </w:tabs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E34392D">
            <w:pPr>
              <w:widowControl/>
              <w:spacing w:line="28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341.85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582CC10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A242E05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341.85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2C230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341.85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5B1190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BEA4C3D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48.35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48.35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E0CF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4AF096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30307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EA277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4E3044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C91D6B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48.35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E5BEE7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48.35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563AF3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00FA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2C36B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FB1D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773A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2C3178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BA126B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548E6A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4822F4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35DC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4968F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E522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B17B4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0AE90F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CBC2BF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399AA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33.07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322E26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0882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DCC1C1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EBD8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246D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903861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F76ADD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14.33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C90461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14.33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446816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D13F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F0903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CD0C8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0A0A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4453F7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CA3F64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266.01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98D99D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266.01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18BF14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C03C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4217E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2F50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6469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635507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684DAD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251.64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6A8C72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251.64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8B4165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8EA0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DBFD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E62B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54CA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298EEC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城市社区卫生机构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37B9A8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251.64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865579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251.64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7FDF88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57A4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23F2D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30132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63A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201DA8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E4B37E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14.37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5D7A91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14.37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56D1A5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6ABB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5786DC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F3BF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7AD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FAF1C4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955FF0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14.37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6FA922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14.37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3640E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B392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B07FF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A878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ED506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BA6F98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E1C297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FF2969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61C488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0862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FE224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E944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3E91B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2FFFFD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408EEF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E9ED02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1D4330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246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F7835C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16E2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14AA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F2168B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150220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7BBDB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E4A6AD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8049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0FF118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0E5AB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B8B57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13111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35EF9C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341.85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767A0F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341.85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B0C8C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321.09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321.09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0953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2DD095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D7F1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664004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D8ADD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13130D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76.45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82D30F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E52B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B45539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EB0F7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42EC7F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2FDCAF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442AF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30.91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45FCD5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6112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7DE09F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31A19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EAB44C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027B7D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CB5AC2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55.00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42BBAC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46C6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1D58BB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9942C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A8C3C7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D0FCFC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36.67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281649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36.67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59BE43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EB95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347BF8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16FEF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BF8FA0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F3DED0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053B81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33.07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B01804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DDA9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4721CC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E734C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09992F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CB623C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44FD77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1EEE70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85A8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C5488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39E1C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C8FA9B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4CB3F3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EFA3C8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C4413F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DEAE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A633EA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10384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A6BA1F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FFDAC0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1.44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FB55C1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1.44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18D584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B17A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603507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DCFEE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AFBD37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4C67E5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27.49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7887CE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27.49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C25325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FC7C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07BA36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07734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CB3972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E5516C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31.36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EED2ED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31.36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71ED3D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721D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742DCB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1025E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86329E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11AEF7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19.81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CFCBEC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8619F6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19.81</w:t>
            </w:r>
          </w:p>
        </w:tc>
      </w:tr>
      <w:tr w14:paraId="279AF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7739CE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9D701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34F898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2E45EA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7.72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85B7C5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CD4670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7.72</w:t>
            </w:r>
          </w:p>
        </w:tc>
      </w:tr>
      <w:tr w14:paraId="7DE2F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ADC1B0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2C773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7D8238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A99B6A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37F1AD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C9F0C2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0.10</w:t>
            </w:r>
          </w:p>
        </w:tc>
      </w:tr>
      <w:tr w14:paraId="05E6D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CFD0D2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5185A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9E80EF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7CB18E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A81198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918F3B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6383D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579051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AEAA8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488584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维修（护）费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F7C3DC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BD3D6B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0771E3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2.50</w:t>
            </w:r>
          </w:p>
        </w:tc>
      </w:tr>
      <w:tr w14:paraId="0CDB2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B42C93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B4C9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2DC1D8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劳务费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A1895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9EEEC3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AC7327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1.80</w:t>
            </w:r>
          </w:p>
        </w:tc>
      </w:tr>
      <w:tr w14:paraId="30F69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1A5017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8EF6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9E2E67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委托业务费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F30018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CE7D34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38C021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1.50</w:t>
            </w:r>
          </w:p>
        </w:tc>
      </w:tr>
      <w:tr w14:paraId="2CD1A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18335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847F4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76E346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D200DF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753DF9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72E399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3.99</w:t>
            </w:r>
          </w:p>
        </w:tc>
      </w:tr>
      <w:tr w14:paraId="372A5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0C74D5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FCF4D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22AD9E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10DAF3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640BA7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41EB2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56EB0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3A7938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7D904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34D68DD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9848F0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0.95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0E94AF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0.95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6AE984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43E1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7E464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E564A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D918FF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DB6381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93F37D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8CF5E7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6E29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3182A2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7AF4D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25D8053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11406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341.85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576A8E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322.04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ECBFBC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19.81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托克逊县卫生服务中心2026年没有使用一般公共预算安排项目支出，一般公共预算项目支出情况表为空表。</w:t>
      </w: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31A7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91B5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7514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44E3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BFC067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A3CA9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A606F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91647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135C1D">
            <w:pPr>
              <w:jc w:val="right"/>
              <w:rPr>
                <w:sz w:val="18"/>
                <w:szCs w:val="18"/>
              </w:rPr>
            </w:pPr>
          </w:p>
        </w:tc>
      </w:tr>
      <w:tr w14:paraId="1F466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A262E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66D3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89B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75FE04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1E923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E322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D2B4E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E38E68">
            <w:pPr>
              <w:jc w:val="right"/>
              <w:rPr>
                <w:sz w:val="18"/>
                <w:szCs w:val="18"/>
              </w:rPr>
            </w:pPr>
          </w:p>
        </w:tc>
      </w:tr>
      <w:tr w14:paraId="6184C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011C5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BB8A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7DBB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CBEA6F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5F5D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B7AE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85F5F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CCCCC54">
            <w:pPr>
              <w:jc w:val="right"/>
              <w:rPr>
                <w:sz w:val="18"/>
                <w:szCs w:val="18"/>
              </w:rPr>
            </w:pPr>
          </w:p>
        </w:tc>
      </w:tr>
      <w:tr w14:paraId="54DFA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A0208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207A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20C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8E1253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9E02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B959B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6B72A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AE9D367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托克逊县卫生服务中心2026年没有使用政府性基金预算拨款安排的支出，政府性基金预算支出情况表为空表。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2A1D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C928F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7460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3D40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8649C6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9F2C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FD87FF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6C629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A5AB09">
            <w:pPr>
              <w:jc w:val="right"/>
              <w:rPr>
                <w:sz w:val="18"/>
                <w:szCs w:val="18"/>
              </w:rPr>
            </w:pPr>
          </w:p>
        </w:tc>
      </w:tr>
      <w:tr w14:paraId="621BA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4A2B6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61E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A571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5637CC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FABE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EA9DC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7D192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B0BD91B">
            <w:pPr>
              <w:jc w:val="right"/>
              <w:rPr>
                <w:sz w:val="18"/>
                <w:szCs w:val="18"/>
              </w:rPr>
            </w:pPr>
          </w:p>
        </w:tc>
      </w:tr>
      <w:tr w14:paraId="6CE0C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6C24E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9077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DAEF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1BD859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600C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582B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3F9E2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54F279">
            <w:pPr>
              <w:jc w:val="right"/>
              <w:rPr>
                <w:sz w:val="18"/>
                <w:szCs w:val="18"/>
              </w:rPr>
            </w:pPr>
          </w:p>
        </w:tc>
      </w:tr>
      <w:tr w14:paraId="48CF8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9F9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8786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F3AB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4496D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0B414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42F9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FB10C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E40B8A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托克逊县卫生服务中心2026年没有使用国有资本经营预算拨款安排的支出，国有资本经营预算支出情况表为空表。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CAE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1D2DC8B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332210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D8735F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11A39B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0F97DD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2F1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43FDF88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939ADE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10B9CE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3A929F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073A8B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27A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EF62255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2C91C2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5B81B1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FC63FB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C89506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80C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193A8AD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4B29F3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212D16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2C0AA5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24C517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2F70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CCDF9C5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F522EEA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1925498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54E6A78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2F2B8A7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运转类项目（保运转）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21CBC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718CDF26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AB9F34F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0DC804B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ED87B2A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3DA41B3D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托克逊县卫生服务中心2026年没有上年结转结余预算安排的支出，上年结转结余情况明细表为空表。</w:t>
      </w:r>
    </w:p>
    <w:p w14:paraId="6AE79477">
      <w:pPr>
        <w:pStyle w:val="2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关于托克逊县卫生服务中心2026年收支预算情况</w:t>
      </w:r>
      <w:r>
        <w:rPr>
          <w:rFonts w:hint="eastAsia" w:ascii="仿宋" w:hAnsi="华文楷体" w:eastAsia="仿宋"/>
          <w:sz w:val="28"/>
          <w:szCs w:val="28"/>
          <w:lang w:val="en-US" w:eastAsia="zh-CN"/>
        </w:rPr>
        <w:t>的</w:t>
      </w:r>
      <w:r>
        <w:rPr>
          <w:rFonts w:hint="eastAsia" w:ascii="仿宋" w:hAnsi="华文楷体" w:eastAsia="仿宋"/>
          <w:sz w:val="28"/>
          <w:szCs w:val="28"/>
        </w:rPr>
        <w:t>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按照全口径预算的原则，托克逊县卫生服务中心2026年所有收入和支出均纳入单位预算管理。收支总预算591.85万元。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收入预算包括：一般公共预算、单位资金。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支出预算包括：社会保障和就业支出、卫生健康支出、住房保障支出。</w:t>
      </w:r>
    </w:p>
    <w:p w14:paraId="275E812A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托克逊县卫生服务中心单位收入预算591.85万元，其中：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一般公共预算341.85万元，占57.76%，比上年预算增加22.98万元，增长7.21%，主要原因是1、2026年人员工资调增，相应社保、公积金基数上调，导致预算比上年有所增加；</w:t>
      </w:r>
      <w:r>
        <w:rPr>
          <w:rFonts w:hint="eastAsia" w:ascii="仿宋" w:hAnsi="微软雅黑" w:eastAsia="仿宋"/>
          <w:sz w:val="28"/>
          <w:szCs w:val="28"/>
        </w:rPr>
        <w:br w:type="textWrapping"/>
      </w:r>
      <w:r>
        <w:rPr>
          <w:rFonts w:hint="eastAsia" w:ascii="仿宋" w:hAnsi="微软雅黑" w:eastAsia="仿宋"/>
          <w:sz w:val="28"/>
          <w:szCs w:val="28"/>
        </w:rPr>
        <w:t>2、2026年开始在职人员职业年金单位部分纳入预算，导致预算比上年有所增加。</w:t>
      </w:r>
    </w:p>
    <w:p w14:paraId="3ABFDE8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787617B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18DBE24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0776114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2D3B98B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49A19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单位资金250.00万元，占42.24%，比上年预算增加50.00万元，增长25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%，主要原因是本单位今年安排购买药品和采购办公桌椅、其他医疗设备、电脑等，导致预算较上年增加。</w:t>
      </w:r>
    </w:p>
    <w:p w14:paraId="7B143318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托克逊县卫生服务中心2026年支出预算591.85万元，其中：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基本支出341.85万元，占57.76%，比上年预算增加22.98万元，增长7.21%，主要原因是1、2026年人员工资调增，相应社保、公积金基数上调，导致预算比上年有所增加；</w:t>
      </w:r>
      <w:r>
        <w:rPr>
          <w:rFonts w:hint="eastAsia" w:ascii="仿宋" w:hAnsi="微软雅黑" w:eastAsia="仿宋"/>
          <w:sz w:val="28"/>
          <w:szCs w:val="28"/>
        </w:rPr>
        <w:br w:type="textWrapping"/>
      </w:r>
      <w:r>
        <w:rPr>
          <w:rFonts w:hint="eastAsia" w:ascii="仿宋" w:hAnsi="微软雅黑" w:eastAsia="仿宋"/>
          <w:sz w:val="28"/>
          <w:szCs w:val="28"/>
        </w:rPr>
        <w:t>2、2026年开始在职人员职业年金单位部分纳入预算，导致预算比上年有所增加。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项目支出250.00万元，占42.24%，比上年预算增加50.00万元，增长25.00%，主要原因是本单位今年安排购买药品和采购办公桌椅、其他医疗设备、电脑等，导致预算较上年增加。</w:t>
      </w:r>
    </w:p>
    <w:p w14:paraId="618981B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2026年财政拨款收支总预算341.85万元。</w:t>
      </w:r>
    </w:p>
    <w:p w14:paraId="41B26AA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04131F0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收入预算包括：一般公共预算拨款341.85万元。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22D9436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社会保障和就业支出48.35万元，主要用于保障单位人员社保缴费支出。</w:t>
      </w:r>
    </w:p>
    <w:p w14:paraId="7E00B4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卫生健康支出266.01万元，主要用于保障单位正常运行经费和医疗保险。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住房保障支出27.49万元，主要用于保障单位人员住房公积金缴费支出。</w:t>
      </w:r>
    </w:p>
    <w:p w14:paraId="2504F255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关于托克逊县卫生服务中心2026年一般公共预算当年拨款情况说明</w:t>
      </w:r>
    </w:p>
    <w:p w14:paraId="367A1A90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一般公共预算拨款合计341.85万元，其中：基本支出341.85万元，比上年预算增加22.98万元，增长7.21%。主要原因是：1、2026年人员工资调增，相应社保、公积金基数上调，导致预算比上年有所增加；</w:t>
      </w:r>
      <w:r>
        <w:rPr>
          <w:rFonts w:hint="eastAsia" w:ascii="仿宋" w:hAnsi="微软雅黑" w:eastAsia="仿宋"/>
          <w:sz w:val="28"/>
          <w:szCs w:val="28"/>
        </w:rPr>
        <w:br w:type="textWrapping"/>
      </w:r>
      <w:r>
        <w:rPr>
          <w:rFonts w:hint="eastAsia" w:ascii="仿宋" w:hAnsi="微软雅黑" w:eastAsia="仿宋"/>
          <w:sz w:val="28"/>
          <w:szCs w:val="28"/>
        </w:rPr>
        <w:t>2、2026年开始在职人员职业年金单位部分纳入预算，导致预算比上年有所增加。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项目支出0.00万元，比上年预算增加0.00万元,增长0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%。主要原因是：2025、2026年均未安排项目支出预算。</w:t>
      </w:r>
    </w:p>
    <w:p w14:paraId="1FEFC95E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1.社会保障和就业支出(类)48.35万元，占14.14%。</w:t>
      </w:r>
    </w:p>
    <w:p w14:paraId="55848DE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2.卫生健康支出(类)266.01万元，占77.81%。</w:t>
      </w:r>
    </w:p>
    <w:p w14:paraId="79F864D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3.住房保障支出(类)27.49万元，占8.04%。</w:t>
      </w:r>
    </w:p>
    <w:p w14:paraId="64B27F35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事业单位离退休（项）：2026年预算数为0.95万元，比上年预算增加0.00万元，增长0.00%，主要原因是：2026年退休人员独生子女费、绩效奖标准与上年一致，无差异；</w:t>
      </w:r>
    </w:p>
    <w:p w14:paraId="661E9B8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基本养老保险缴费支出（项）：2026年预算数为33.07万元，比上年预算增加0.26万元，增长0.79%，主要原因是：2026年在职人员工资基数调增，单位基本养老保险缴费基数上调，导致预算比上年有所增加；</w:t>
      </w:r>
    </w:p>
    <w:p w14:paraId="52A1787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职业年金缴费支出（项）：2026年预算数为14.33万元，比上年预算增加14.33万元，增长100.00%，主要原因是：2026年开始在职人员职业年金单位部分纳入预算，导致预算比上年有所增加；</w:t>
      </w:r>
    </w:p>
    <w:p w14:paraId="1A45CCB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卫生健康支出（类）基层医疗卫生机构（款）城市社区卫生机构（项）：2026年预算数为251.64万元，比上年预算增加7.21万元，增长2.95%，主要原因是：2026年在职人员工资基数调增，相应人员工资、工会经费等增加，导致预算比上年有所增加；</w:t>
      </w:r>
    </w:p>
    <w:p w14:paraId="5AA7656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卫生健康支出（类）行政事业单位医疗（款）事业单位医疗（项）：2026年预算数为14.37万元，比上年预算增加0.44万元，增长3.16%，主要原因是：2026年在职人员工资基数调增，相应事业单位医疗缴费基数上调，导致预算比上年有所增加；</w:t>
      </w:r>
    </w:p>
    <w:p w14:paraId="1D9D57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住房保障支出（类）住房改革支出（款）住房公积金（项）：2026年预算数为27.49万元，比上年预算增加0.74万元，增长2.77%，主要原因是：2026年在职人员工资基数调增，相应住房公积金缴费基数上调，导致预算比上年有所增加；</w:t>
      </w:r>
    </w:p>
    <w:p w14:paraId="7F4D7A5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托克逊县卫生服务中心2026年一般公共预算基本支出341.85万元，其中：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人员经费322.04万元，主要包括：基本工资、津贴补贴、奖金、绩效工资、机关事业单位基本养老保险缴费、职业年金缴费、职工基本医疗保险缴费、其他社会保障缴费、住房公积金、其他工资福利支出、退休费。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公用经费19.81万元，主要包括：办公费、水费、电费、维修（护）费、劳务费、委托业务费、工会经费、公务用车运行维护费。</w:t>
      </w:r>
    </w:p>
    <w:p w14:paraId="5974BAD2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托克逊县卫生服务中心2026年没有使用一般公共预算项目支出，一般公共预算项目支出情况表为空表。</w:t>
      </w:r>
    </w:p>
    <w:p w14:paraId="76AF11E9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托克逊县卫生服务中心2026年没有使用政府性基金预算拨款安排的支出，政府性基金预算支出情况表为空表。</w:t>
      </w:r>
    </w:p>
    <w:p w14:paraId="6DE9458F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托克逊县卫生服务中心2026年没有使用国有资本经营预算拨款安排的支出，国有资本经营预算支出情况表为空表。</w:t>
      </w:r>
    </w:p>
    <w:p w14:paraId="0D8107C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托克逊县卫生服务中心2026年财政拨款“三公”经费数为2.00万元，其中：因公出国（境）费用0.00万元，公务用车购置费0.00万元，公务用车运行维护费2.00万元，公务接待费0.00万元。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万元，增长100.00%，其中：因公出国（境）费用增加0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万元，增长0.00%，主要原因是2025年与2026年均未安排因公出国（境）费；公务用车购置费增加0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万元，增长0.00%，主要原因是2025年与2026年均未安排公务用车购置费；公务用车运行维护费增加2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万元，增长100.00%，主要原因是我单位本年增加1辆公务用车，导致公务用车运行维护费预算较上年增加；公务接待费增加0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万元，增长0.00%，主要原因是2025年与2026年均未安排公务接待费。</w:t>
      </w:r>
    </w:p>
    <w:p w14:paraId="509A0B97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托克逊县卫生服务中心2026年委托业务费1.50万元，其中：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1.运转类项目（保运转）委托业务费1.50万元，主要用于：化验室设备第三方定期计量检定检测费用。</w:t>
      </w:r>
    </w:p>
    <w:p w14:paraId="3074DED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托克逊县卫生服务中心2026年没有上年结转结余预算的支出，上年结转结余支出情况表为空表。</w:t>
      </w:r>
    </w:p>
    <w:p w14:paraId="16A7DF03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的事业单位运行经费财政拨款预算19.81万元，比上年预算增加1.15万元，增长6.16%。主要原因是本年在职人员基本工资标准上调，相应工会经费增加，导致事业单位运行经费财政拨款预算比上年增加。</w:t>
      </w:r>
    </w:p>
    <w:p w14:paraId="1F54CD6C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2026年，托克逊县卫生服务中心政府采购预算69.23万元，其中：政府采购货物预算67.23万元，政府采购工程预算0.00万元，政府采购服务预算2.00万元。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2026年，托克逊县卫生服务中心面向中小企业预留政府采购项目预算金额69.23万元，其中：小微企业预留政府采购项目预算金额69.23万元。</w:t>
      </w:r>
    </w:p>
    <w:p w14:paraId="7E60286B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截至2025年底，托克逊县卫生服务中心占用使用国有资产总体情况为：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1.房屋0平方米，价值0.00万元。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2.车辆1辆，价值26.67万元；其中：一般公务用车1辆，价值26.67万元；执法执勤用车0辆，价值0.00万元；其他车辆0辆，价值0.00万元。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3.办公家具价值5.00万元。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4.其他资产价值809.57万元。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万元以上大型设备1台，单位价值单价100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万元以上大型设备2台。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53BEFC70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2026年，本单位预算绩效管理整体预算绩效目标1个，涉及预算金额591.85万元；当年预算安排项目共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/>
          <w:sz w:val="28"/>
          <w:szCs w:val="28"/>
        </w:rPr>
        <w:t>个，其中:财政拨款项目涉及预算金额0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万元；非财政拨款项目涉及预算金额250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万元。具体情况见下表：</w:t>
      </w:r>
    </w:p>
    <w:p w14:paraId="3AC3440C">
      <w:pPr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</w:p>
    <w:tbl>
      <w:tblPr>
        <w:tblStyle w:val="7"/>
        <w:tblpPr w:leftFromText="180" w:rightFromText="180" w:vertAnchor="text" w:horzAnchor="page" w:tblpXSpec="center" w:tblpY="-1043"/>
        <w:tblOverlap w:val="never"/>
        <w:tblW w:w="93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 w14:paraId="0CBE0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F6B9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单位整体绩效目标表</w:t>
            </w:r>
          </w:p>
        </w:tc>
      </w:tr>
      <w:tr w14:paraId="7A312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CAE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 w14:paraId="669E6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98C0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D23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托克逊县卫生服务中心</w:t>
            </w:r>
          </w:p>
        </w:tc>
      </w:tr>
      <w:tr w14:paraId="3ECE1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05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CC7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夏依热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C93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11C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15009954649</w:t>
            </w:r>
          </w:p>
        </w:tc>
      </w:tr>
      <w:tr w14:paraId="3D689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D537E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DD2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目标1：继续保障我单位开展的工作国家基本公共卫生服务、规范预防接种服务，完成年度门诊接诊服务，门诊患者服务达到23200人次。
目标2：稳步推进家庭医生签约服务，继续保障疾病预防、保健、残疾及功能障碍康复、全民健康教育，全民健康体检、突发公共卫生事件应急处置，计划免疫重性精神障碍患者管理，传染病患者管理、结核病患者管理等各项工作的开展。
目标3：对辖区65岁及以上老年人进行登记管理，进行健康危险因素调查和一般体格检查，开展健康指导。对高血压、糖尿病等慢性病高危人群进行指导，对确诊高血压、糖尿病等慢性病病例进行登记管理、定期随访和健康指导。
目标4：规范开展重点人群健康管理服务，重点人群健康管理率、规范管理率等核心指标全面达标。
目标5：严格落实国家免疫规划，适龄儿童计划免疫预防接种率保持在98%以上，确保接种安全与规范。</w:t>
            </w:r>
          </w:p>
        </w:tc>
      </w:tr>
      <w:tr w14:paraId="66BC5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8FB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736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F609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 w14:paraId="53196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60A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E03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C5E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9CF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7861F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DAD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5B6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DFE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88C9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341.85</w:t>
            </w:r>
          </w:p>
        </w:tc>
      </w:tr>
      <w:tr w14:paraId="5E210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A1C4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50C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4A3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FFD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469E6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C37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4E9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DD0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591.85</w:t>
            </w:r>
          </w:p>
        </w:tc>
      </w:tr>
      <w:tr w14:paraId="3B314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30C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D37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B1E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6DC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526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1A86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 w14:paraId="5BCBE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81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2C9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AAE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接诊门诊患者人次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88F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&gt;=23200人次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14E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709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5874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247F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F0B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D8A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家庭医生签约人数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D68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&gt;=39086人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6DC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1CB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41E23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21E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560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F3C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重点人群健康管理人数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280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&gt;=18649人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8ED5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014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24439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F168B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6E9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013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计划免疫、预防接种率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800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&gt;=98%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925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8B1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BB1A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FEE0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45E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C0A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重点疾病干预人次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23C0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&gt;=4855人次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CF3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A079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495B5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1797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85A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F3B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重点人群健康管理率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B17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DD67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1F05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</w:tbl>
    <w:p w14:paraId="18A0428C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200"/>
        <w:gridCol w:w="1272"/>
        <w:gridCol w:w="402"/>
        <w:gridCol w:w="614"/>
        <w:gridCol w:w="496"/>
        <w:gridCol w:w="930"/>
        <w:gridCol w:w="145"/>
        <w:gridCol w:w="904"/>
        <w:gridCol w:w="57"/>
        <w:gridCol w:w="837"/>
        <w:gridCol w:w="14"/>
        <w:gridCol w:w="687"/>
        <w:gridCol w:w="133"/>
        <w:gridCol w:w="776"/>
      </w:tblGrid>
      <w:tr w14:paraId="6000E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C2DB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0EF2B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EEFD8B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26551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F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D2D0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托克逊县卫生服务中心</w:t>
            </w:r>
          </w:p>
        </w:tc>
      </w:tr>
      <w:tr w14:paraId="6AA40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BA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7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071B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单位实有账户资金</w:t>
            </w:r>
          </w:p>
        </w:tc>
        <w:tc>
          <w:tcPr>
            <w:tcW w:w="17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E4C7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3A2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努日曼</w:t>
            </w:r>
          </w:p>
        </w:tc>
      </w:tr>
      <w:tr w14:paraId="7E4A2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5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736D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19B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250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551F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8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68E5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B1B7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DE6E5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250.00</w:t>
            </w:r>
          </w:p>
        </w:tc>
      </w:tr>
      <w:tr w14:paraId="0470D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A4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7BFA5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目标1：通过单位自有资金按时发放4名临聘人员工资，提高员工工作积极性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宋体" w:hAnsi="宋体" w:eastAsia="宋体" w:cs="宋体"/>
                <w:sz w:val="18"/>
                <w:szCs w:val="18"/>
              </w:rPr>
              <w:t>目标2：根据实际情况及时采购药品、医疗耗材、检测试剂3大类专用材料，保障医护人员服务质量，满足患者需求。 目标3：采购不少于53张办公桌椅、长椅凳等设备，给就诊人员提供舒适的就诊环境。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 w:cs="宋体"/>
                <w:sz w:val="18"/>
                <w:szCs w:val="18"/>
              </w:rPr>
              <w:t>目标4：购置不少于5台先进专用设备，提高患者诊断准确率。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 w:cs="宋体"/>
                <w:sz w:val="18"/>
                <w:szCs w:val="18"/>
              </w:rPr>
              <w:t>目标5：开展水痘疫苗、宫颈癌疫苗、乙肝疫苗、狂犬疫苗、轮状病毒疫苗、流感疫苗、带状疱疹疫苗、23价肺炎疫苗、13价肺炎疫苗、EV71等10种疫苗接种服务，达到有效降低疾病发病率和病死率，加强疾病预防和控制的目标。</w:t>
            </w:r>
          </w:p>
        </w:tc>
      </w:tr>
      <w:tr w14:paraId="2CE6D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E0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BE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F2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18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55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0F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13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40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18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77A97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26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58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57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专用材料采购大类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46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≧3类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84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C1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FC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B4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88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9380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DDC2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5EAA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04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疫苗接种类别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B3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≧10种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C5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DA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20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A7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95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64046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67A4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E829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DA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专用设备购置数量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CD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≧5台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86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20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92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24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30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0658E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3CEB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43A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DF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采购办公设备数量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BB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≧53张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3F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3C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F1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6D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DD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0C5A6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F544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2212A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F8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聘用工作人员数量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92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≧4人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F0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5C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45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2F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04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F855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903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54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13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设备验收合格率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0B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DD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6D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0F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C3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8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3AC71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50C9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46F7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42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专用材料质量合格率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A0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CC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03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C1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04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E0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76FFB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ED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3B5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56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专用材料费支出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90E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&lt;=180.77万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AE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97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2E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1C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BA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5D8AC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28B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7CF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98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专用设备购置费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4A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&lt;=61.5万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75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DC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67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A6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A5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117BB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76B9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8FF9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9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办公费支出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41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&lt;=0.66万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E2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EE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84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16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C0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7A2BE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C2B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7539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26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办公设备购置费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19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&lt;=5.07万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85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74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04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75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FC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6FC41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87D4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70648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1E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劳务费支出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8B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&lt;=2万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08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AD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5B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74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0A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3A378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88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9BC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06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专用设备利用率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E7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≧95%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F3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AB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B6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15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07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67A95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439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A0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C5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降低疾病发病率和病死率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55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有效降低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B9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1A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ED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B2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C0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8790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B8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29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77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患者对服务满意度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26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≧95%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B7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78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BF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AC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89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 w14:paraId="332F7BC2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 w14:paraId="326F5C9B">
      <w:pPr>
        <w:pStyle w:val="4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情况属实，我单位名下无房屋。</w:t>
      </w:r>
    </w:p>
    <w:p w14:paraId="046325DC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托克逊县卫生服务中心</w:t>
      </w:r>
    </w:p>
    <w:p w14:paraId="1C45E923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5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5"/>
      <w:tabs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C9EE3">
    <w:pPr>
      <w:pStyle w:val="5"/>
      <w:tabs>
        <w:tab w:val="center" w:pos="4153"/>
        <w:tab w:val="right" w:pos="8306"/>
      </w:tabs>
      <w:jc w:val="right"/>
      <w:rPr>
        <w:rFonts w:ascii="宋体" w:hAnsi="宋体" w:eastAsia="宋体"/>
        <w:sz w:val="28"/>
        <w:szCs w:val="28"/>
      </w:rPr>
    </w:pPr>
  </w:p>
  <w:p w14:paraId="5EBF16ED">
    <w:pPr>
      <w:pStyle w:val="5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FB27C17"/>
    <w:rsid w:val="32030C63"/>
    <w:rsid w:val="32B37F2E"/>
    <w:rsid w:val="38406685"/>
    <w:rsid w:val="41291848"/>
    <w:rsid w:val="41CA0DF1"/>
    <w:rsid w:val="41DB4DAC"/>
    <w:rsid w:val="52412A09"/>
    <w:rsid w:val="54302D35"/>
    <w:rsid w:val="642A2693"/>
    <w:rsid w:val="69FA19C4"/>
    <w:rsid w:val="6D5C7251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2375</Words>
  <Characters>3121</Characters>
  <Lines>0</Lines>
  <Paragraphs>0</Paragraphs>
  <TotalTime>3</TotalTime>
  <ScaleCrop>false</ScaleCrop>
  <LinksUpToDate>false</LinksUpToDate>
  <CharactersWithSpaces>3299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郭文珊</cp:lastModifiedBy>
  <dcterms:modified xsi:type="dcterms:W3CDTF">2026-06-01T15:30:53Z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eyJoZGlkIjoiZGE3MGU4ZTBmODk4NTMxYzBiNjY3ZTExZjM5OWYxNmEiLCJ1c2VySWQiOiIxNDQ1NTI2NzA0In0=</vt:lpwstr>
  </property>
  <property fmtid="{D5CDD505-2E9C-101B-9397-08002B2CF9AE}" pid="4" name="ICV">
    <vt:lpwstr>FFAA16210D65491FB3F7F59F74E93898_12</vt:lpwstr>
  </property>
</Properties>
</file>