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ascii="华文中宋" w:hAnsi="华文中宋" w:eastAsia="华文中宋" w:cs="方正小标宋简体"/>
          <w:b/>
          <w:sz w:val="52"/>
          <w:szCs w:val="52"/>
          <w:highlight w:val="none"/>
          <w:lang w:bidi="ar"/>
        </w:rPr>
      </w:pP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黑体" w:hAnsi="黑体" w:eastAsia="黑体" w:cs="黑体"/>
          <w:b w:val="0"/>
          <w:bCs/>
          <w:sz w:val="52"/>
          <w:szCs w:val="52"/>
          <w:highlight w:val="none"/>
        </w:rPr>
      </w:pPr>
      <w:r>
        <w:rPr>
          <w:rFonts w:hint="eastAsia" w:ascii="黑体" w:hAnsi="黑体" w:eastAsia="黑体" w:cs="黑体"/>
          <w:b w:val="0"/>
          <w:bCs/>
          <w:sz w:val="52"/>
          <w:szCs w:val="52"/>
          <w:highlight w:val="none"/>
          <w:lang w:eastAsia="zh-CN" w:bidi="ar"/>
        </w:rPr>
        <w:t>郭勒布依乡郭勒布依村人居环境整治项目</w:t>
      </w:r>
      <w:r>
        <w:rPr>
          <w:rFonts w:hint="eastAsia" w:ascii="黑体" w:hAnsi="黑体" w:eastAsia="黑体" w:cs="黑体"/>
          <w:b w:val="0"/>
          <w:bCs/>
          <w:sz w:val="52"/>
          <w:szCs w:val="52"/>
          <w:highlight w:val="none"/>
          <w:lang w:bidi="ar"/>
        </w:rPr>
        <w:t>实施方案</w:t>
      </w:r>
    </w:p>
    <w:p>
      <w:pPr>
        <w:pStyle w:val="5"/>
        <w:widowControl/>
        <w:spacing w:line="500" w:lineRule="exact"/>
        <w:ind w:firstLine="420"/>
        <w:rPr>
          <w:highlight w:val="none"/>
        </w:rPr>
      </w:pPr>
    </w:p>
    <w:p>
      <w:pPr>
        <w:spacing w:line="500" w:lineRule="exact"/>
        <w:rPr>
          <w:highlight w:val="none"/>
        </w:rPr>
      </w:pPr>
    </w:p>
    <w:p>
      <w:pPr>
        <w:pStyle w:val="8"/>
        <w:autoSpaceDE w:val="0"/>
        <w:autoSpaceDN w:val="0"/>
        <w:adjustRightInd w:val="0"/>
        <w:spacing w:line="500" w:lineRule="exact"/>
        <w:jc w:val="left"/>
        <w:rPr>
          <w:highlight w:val="none"/>
        </w:rPr>
      </w:pPr>
    </w:p>
    <w:p>
      <w:pPr>
        <w:spacing w:line="500" w:lineRule="exact"/>
        <w:rPr>
          <w:highlight w:val="none"/>
        </w:rPr>
      </w:pPr>
    </w:p>
    <w:p>
      <w:pPr>
        <w:pStyle w:val="8"/>
        <w:autoSpaceDE w:val="0"/>
        <w:autoSpaceDN w:val="0"/>
        <w:adjustRightInd w:val="0"/>
        <w:spacing w:line="500" w:lineRule="exact"/>
        <w:jc w:val="left"/>
        <w:rPr>
          <w:highlight w:val="none"/>
        </w:rPr>
      </w:pPr>
    </w:p>
    <w:p>
      <w:pPr>
        <w:pStyle w:val="8"/>
        <w:autoSpaceDE w:val="0"/>
        <w:autoSpaceDN w:val="0"/>
        <w:adjustRightInd w:val="0"/>
        <w:spacing w:line="500" w:lineRule="exact"/>
        <w:jc w:val="left"/>
        <w:rPr>
          <w:highlight w:val="none"/>
        </w:rPr>
      </w:pPr>
    </w:p>
    <w:p>
      <w:pPr>
        <w:pStyle w:val="8"/>
        <w:autoSpaceDE w:val="0"/>
        <w:autoSpaceDN w:val="0"/>
        <w:adjustRightInd w:val="0"/>
        <w:spacing w:line="500" w:lineRule="exact"/>
        <w:jc w:val="left"/>
        <w:rPr>
          <w:highlight w:val="none"/>
        </w:rPr>
      </w:pPr>
    </w:p>
    <w:p>
      <w:pPr>
        <w:pStyle w:val="8"/>
        <w:autoSpaceDE w:val="0"/>
        <w:autoSpaceDN w:val="0"/>
        <w:adjustRightInd w:val="0"/>
        <w:spacing w:line="500" w:lineRule="exact"/>
        <w:jc w:val="left"/>
        <w:rPr>
          <w:highlight w:val="none"/>
        </w:rPr>
      </w:pPr>
    </w:p>
    <w:p>
      <w:pPr>
        <w:pStyle w:val="8"/>
        <w:autoSpaceDE w:val="0"/>
        <w:autoSpaceDN w:val="0"/>
        <w:adjustRightInd w:val="0"/>
        <w:spacing w:line="500" w:lineRule="exact"/>
        <w:jc w:val="left"/>
        <w:rPr>
          <w:highlight w:val="none"/>
        </w:rPr>
      </w:pPr>
    </w:p>
    <w:p>
      <w:pPr>
        <w:pStyle w:val="8"/>
        <w:autoSpaceDE w:val="0"/>
        <w:autoSpaceDN w:val="0"/>
        <w:adjustRightInd w:val="0"/>
        <w:spacing w:line="500" w:lineRule="exact"/>
        <w:jc w:val="left"/>
        <w:rPr>
          <w:highlight w:val="none"/>
        </w:rPr>
      </w:pPr>
    </w:p>
    <w:p>
      <w:pPr>
        <w:spacing w:line="500" w:lineRule="exact"/>
        <w:rPr>
          <w:rFonts w:ascii="黑体" w:hAnsi="宋体" w:eastAsia="黑体" w:cs="黑体"/>
          <w:sz w:val="32"/>
          <w:szCs w:val="32"/>
          <w:highlight w:val="none"/>
          <w:lang w:bidi="ar"/>
        </w:rPr>
      </w:pPr>
    </w:p>
    <w:p>
      <w:pPr>
        <w:keepNext w:val="0"/>
        <w:keepLines w:val="0"/>
        <w:pageBreakBefore w:val="0"/>
        <w:widowControl w:val="0"/>
        <w:kinsoku/>
        <w:wordWrap/>
        <w:overflowPunct/>
        <w:topLinePunct w:val="0"/>
        <w:autoSpaceDE/>
        <w:autoSpaceDN/>
        <w:bidi w:val="0"/>
        <w:adjustRightInd/>
        <w:snapToGrid/>
        <w:spacing w:line="560" w:lineRule="exact"/>
        <w:ind w:leftChars="3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 目 名 称：郭勒布依乡郭勒布依村人居环境整治项目</w:t>
      </w:r>
    </w:p>
    <w:p>
      <w:pPr>
        <w:keepNext w:val="0"/>
        <w:keepLines w:val="0"/>
        <w:pageBreakBefore w:val="0"/>
        <w:widowControl w:val="0"/>
        <w:kinsoku/>
        <w:wordWrap/>
        <w:overflowPunct/>
        <w:topLinePunct w:val="0"/>
        <w:autoSpaceDE/>
        <w:autoSpaceDN/>
        <w:bidi w:val="0"/>
        <w:adjustRightInd/>
        <w:snapToGrid/>
        <w:spacing w:line="560" w:lineRule="exact"/>
        <w:ind w:leftChars="3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项目主管单位：托克逊县乡村振兴局</w:t>
      </w:r>
    </w:p>
    <w:p>
      <w:pPr>
        <w:keepNext w:val="0"/>
        <w:keepLines w:val="0"/>
        <w:pageBreakBefore w:val="0"/>
        <w:widowControl w:val="0"/>
        <w:kinsoku/>
        <w:wordWrap/>
        <w:overflowPunct/>
        <w:topLinePunct w:val="0"/>
        <w:autoSpaceDE/>
        <w:autoSpaceDN/>
        <w:bidi w:val="0"/>
        <w:adjustRightInd/>
        <w:snapToGrid/>
        <w:spacing w:line="560" w:lineRule="exact"/>
        <w:ind w:leftChars="3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项目实施单位：托克逊县郭勒布依乡人民政府</w:t>
      </w:r>
    </w:p>
    <w:p>
      <w:pPr>
        <w:keepNext w:val="0"/>
        <w:keepLines w:val="0"/>
        <w:pageBreakBefore w:val="0"/>
        <w:widowControl w:val="0"/>
        <w:kinsoku/>
        <w:wordWrap/>
        <w:overflowPunct/>
        <w:topLinePunct w:val="0"/>
        <w:autoSpaceDE/>
        <w:autoSpaceDN/>
        <w:bidi w:val="0"/>
        <w:adjustRightInd/>
        <w:snapToGrid/>
        <w:spacing w:line="560" w:lineRule="exact"/>
        <w:ind w:leftChars="3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编 制 时 间：2025年5月</w:t>
      </w:r>
    </w:p>
    <w:p>
      <w:pPr>
        <w:pStyle w:val="1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kern w:val="2"/>
          <w:sz w:val="44"/>
          <w:szCs w:val="44"/>
          <w:lang w:val="en-US" w:eastAsia="zh-CN" w:bidi="ar-SA"/>
        </w:rPr>
      </w:pPr>
    </w:p>
    <w:p>
      <w:pPr>
        <w:pStyle w:val="1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kern w:val="2"/>
          <w:sz w:val="44"/>
          <w:szCs w:val="44"/>
          <w:lang w:val="en-US" w:eastAsia="zh-CN" w:bidi="ar-SA"/>
        </w:rPr>
        <w:sectPr>
          <w:pgSz w:w="11906" w:h="16838"/>
          <w:pgMar w:top="2098" w:right="1531" w:bottom="1984" w:left="1531" w:header="851" w:footer="992" w:gutter="0"/>
          <w:pgNumType w:fmt="numberInDash"/>
          <w:cols w:space="425" w:num="1"/>
          <w:docGrid w:type="lines" w:linePitch="312" w:charSpace="0"/>
        </w:sectPr>
      </w:pPr>
    </w:p>
    <w:p>
      <w:pPr>
        <w:pStyle w:val="1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cs="黑体"/>
          <w:kern w:val="2"/>
          <w:sz w:val="44"/>
          <w:szCs w:val="44"/>
          <w:lang w:val="en-US" w:eastAsia="zh-CN" w:bidi="ar-SA"/>
        </w:rPr>
      </w:pPr>
      <w:r>
        <w:rPr>
          <w:rFonts w:hint="eastAsia" w:ascii="黑体" w:hAnsi="黑体" w:eastAsia="黑体" w:cs="黑体"/>
          <w:kern w:val="2"/>
          <w:sz w:val="44"/>
          <w:szCs w:val="44"/>
          <w:lang w:val="en-US" w:eastAsia="zh-CN" w:bidi="ar-SA"/>
        </w:rPr>
        <w:t>郭勒布依乡郭勒布依村人居环境整治项目</w:t>
      </w:r>
    </w:p>
    <w:p>
      <w:pPr>
        <w:pStyle w:val="1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黑体" w:hAnsi="黑体" w:eastAsia="黑体" w:cs="黑体"/>
          <w:kern w:val="2"/>
          <w:sz w:val="44"/>
          <w:szCs w:val="44"/>
          <w:lang w:val="en-US" w:eastAsia="zh-CN" w:bidi="ar-SA"/>
        </w:rPr>
      </w:pPr>
      <w:r>
        <w:rPr>
          <w:rFonts w:hint="eastAsia" w:ascii="黑体" w:hAnsi="黑体" w:eastAsia="黑体" w:cs="黑体"/>
          <w:kern w:val="2"/>
          <w:sz w:val="44"/>
          <w:szCs w:val="44"/>
          <w:lang w:val="en-US" w:eastAsia="zh-CN" w:bidi="ar-SA"/>
        </w:rPr>
        <w:t>实施方案</w:t>
      </w:r>
    </w:p>
    <w:p>
      <w:pPr>
        <w:pStyle w:val="14"/>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center"/>
        <w:textAlignment w:val="auto"/>
        <w:rPr>
          <w:rFonts w:hint="eastAsia" w:ascii="方正小标宋简体" w:hAnsi="方正小标宋简体" w:eastAsia="方正小标宋简体" w:cs="方正小标宋简体"/>
          <w:kern w:val="2"/>
          <w:sz w:val="44"/>
          <w:szCs w:val="44"/>
          <w:lang w:val="en-US" w:eastAsia="zh-CN" w:bidi="ar-SA"/>
        </w:rPr>
      </w:pPr>
    </w:p>
    <w:p>
      <w:pPr>
        <w:pStyle w:val="17"/>
        <w:keepNext w:val="0"/>
        <w:keepLines w:val="0"/>
        <w:pageBreakBefore w:val="0"/>
        <w:widowControl w:val="0"/>
        <w:kinsoku/>
        <w:wordWrap/>
        <w:overflowPunct/>
        <w:topLinePunct w:val="0"/>
        <w:bidi w:val="0"/>
        <w:snapToGrid/>
        <w:spacing w:line="530" w:lineRule="exact"/>
        <w:ind w:leftChars="0" w:firstLine="640" w:firstLineChars="200"/>
        <w:rPr>
          <w:rFonts w:hint="eastAsia" w:ascii="黑体" w:hAnsi="黑体" w:eastAsia="黑体" w:cs="黑体"/>
          <w:kern w:val="2"/>
          <w:sz w:val="32"/>
          <w:szCs w:val="32"/>
          <w:lang w:val="en-US" w:eastAsia="zh-CN" w:bidi="ar-SA"/>
        </w:rPr>
      </w:pPr>
      <w:r>
        <w:rPr>
          <w:rFonts w:hint="eastAsia" w:ascii="黑体" w:hAnsi="黑体" w:eastAsia="黑体" w:cs="黑体"/>
          <w:b w:val="0"/>
          <w:bCs/>
          <w:color w:val="auto"/>
          <w:sz w:val="32"/>
          <w:szCs w:val="32"/>
          <w:highlight w:val="none"/>
        </w:rPr>
        <w:t>一、项目概况</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30" w:lineRule="exact"/>
        <w:ind w:leftChars="0" w:firstLine="643" w:firstLineChars="200"/>
        <w:jc w:val="both"/>
        <w:textAlignment w:val="auto"/>
        <w:rPr>
          <w:rFonts w:hint="eastAsia" w:ascii="仿宋" w:hAnsi="仿宋" w:eastAsia="仿宋" w:cs="仿宋"/>
          <w:b w:val="0"/>
          <w:bCs w:val="0"/>
          <w:sz w:val="32"/>
          <w:szCs w:val="32"/>
          <w:lang w:val="en-US" w:eastAsia="zh-CN"/>
        </w:rPr>
      </w:pPr>
      <w:r>
        <w:rPr>
          <w:rFonts w:hint="eastAsia" w:ascii="仿宋_GB2312" w:hAnsi="仿宋_GB2312" w:eastAsia="仿宋_GB2312" w:cs="仿宋_GB2312"/>
          <w:b/>
          <w:kern w:val="2"/>
          <w:sz w:val="32"/>
          <w:szCs w:val="32"/>
          <w:highlight w:val="none"/>
          <w:lang w:val="en-US" w:eastAsia="zh-CN" w:bidi="ar-SA"/>
        </w:rPr>
        <w:t>1、项目名称：</w:t>
      </w:r>
      <w:r>
        <w:rPr>
          <w:rFonts w:hint="eastAsia" w:ascii="仿宋" w:hAnsi="仿宋" w:eastAsia="仿宋" w:cs="仿宋"/>
          <w:b w:val="0"/>
          <w:bCs w:val="0"/>
          <w:sz w:val="32"/>
          <w:szCs w:val="32"/>
          <w:lang w:val="en-US" w:eastAsia="zh-CN"/>
        </w:rPr>
        <w:t>郭勒布依乡郭勒布依村人居环境整治项目</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30" w:lineRule="exact"/>
        <w:ind w:leftChars="0" w:firstLine="643"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kern w:val="2"/>
          <w:sz w:val="32"/>
          <w:szCs w:val="32"/>
          <w:highlight w:val="none"/>
          <w:lang w:val="en-US" w:eastAsia="zh-CN" w:bidi="ar-SA"/>
        </w:rPr>
        <w:t>2、项目库编号：</w:t>
      </w:r>
      <w:r>
        <w:rPr>
          <w:rFonts w:hint="eastAsia" w:ascii="仿宋" w:hAnsi="仿宋" w:eastAsia="仿宋" w:cs="仿宋"/>
          <w:b w:val="0"/>
          <w:bCs w:val="0"/>
          <w:sz w:val="32"/>
          <w:szCs w:val="32"/>
          <w:lang w:val="en-US" w:eastAsia="zh-CN"/>
        </w:rPr>
        <w:t>TKX0125</w:t>
      </w:r>
    </w:p>
    <w:p>
      <w:pPr>
        <w:keepNext w:val="0"/>
        <w:keepLines w:val="0"/>
        <w:pageBreakBefore w:val="0"/>
        <w:widowControl w:val="0"/>
        <w:numPr>
          <w:ilvl w:val="0"/>
          <w:numId w:val="0"/>
        </w:numPr>
        <w:kinsoku w:val="0"/>
        <w:wordWrap/>
        <w:overflowPunct w:val="0"/>
        <w:topLinePunct w:val="0"/>
        <w:autoSpaceDE w:val="0"/>
        <w:autoSpaceDN w:val="0"/>
        <w:bidi w:val="0"/>
        <w:adjustRightInd/>
        <w:snapToGrid/>
        <w:spacing w:line="530" w:lineRule="exact"/>
        <w:ind w:leftChars="0" w:firstLine="643" w:firstLineChars="200"/>
        <w:rPr>
          <w:rFonts w:hint="eastAsia" w:ascii="仿宋" w:hAnsi="仿宋" w:eastAsia="仿宋" w:cs="仿宋"/>
          <w:b w:val="0"/>
          <w:bCs w:val="0"/>
          <w:sz w:val="32"/>
          <w:szCs w:val="32"/>
          <w:lang w:val="en-US" w:eastAsia="zh-CN"/>
        </w:rPr>
      </w:pPr>
      <w:r>
        <w:rPr>
          <w:rFonts w:hint="eastAsia" w:ascii="仿宋_GB2312" w:hAnsi="仿宋_GB2312" w:eastAsia="仿宋_GB2312" w:cs="仿宋_GB2312"/>
          <w:b/>
          <w:kern w:val="2"/>
          <w:sz w:val="32"/>
          <w:szCs w:val="32"/>
          <w:highlight w:val="none"/>
          <w:lang w:val="en-US" w:eastAsia="zh-CN" w:bidi="ar-SA"/>
        </w:rPr>
        <w:t>3、</w:t>
      </w:r>
      <w:r>
        <w:rPr>
          <w:rFonts w:hint="eastAsia" w:ascii="仿宋_GB2312" w:hAnsi="仿宋_GB2312" w:eastAsia="仿宋_GB2312" w:cs="仿宋_GB2312"/>
          <w:b/>
          <w:bCs/>
          <w:kern w:val="2"/>
          <w:sz w:val="32"/>
          <w:szCs w:val="32"/>
          <w:lang w:val="en-US" w:eastAsia="zh-CN" w:bidi="ar-SA"/>
        </w:rPr>
        <w:t>项目建设单位及单位负责人：</w:t>
      </w:r>
      <w:r>
        <w:rPr>
          <w:rFonts w:hint="eastAsia" w:ascii="仿宋" w:hAnsi="仿宋" w:eastAsia="仿宋" w:cs="仿宋"/>
          <w:b w:val="0"/>
          <w:bCs w:val="0"/>
          <w:sz w:val="32"/>
          <w:szCs w:val="32"/>
          <w:lang w:val="en-US" w:eastAsia="zh-CN"/>
        </w:rPr>
        <w:t>郭勒布依乡人民政府（法人：郭勒布依乡党委副书记、乡长哈里瓦尔·阿不拉克）</w:t>
      </w:r>
    </w:p>
    <w:p>
      <w:pPr>
        <w:pStyle w:val="15"/>
        <w:keepNext/>
        <w:keepLines w:val="0"/>
        <w:pageBreakBefore w:val="0"/>
        <w:widowControl w:val="0"/>
        <w:numPr>
          <w:ilvl w:val="0"/>
          <w:numId w:val="0"/>
        </w:numPr>
        <w:kinsoku/>
        <w:wordWrap/>
        <w:overflowPunct/>
        <w:topLinePunct w:val="0"/>
        <w:autoSpaceDE/>
        <w:autoSpaceDN/>
        <w:bidi w:val="0"/>
        <w:adjustRightInd/>
        <w:snapToGrid/>
        <w:spacing w:line="530" w:lineRule="exact"/>
        <w:ind w:leftChars="0" w:firstLine="643" w:firstLineChars="200"/>
        <w:jc w:val="both"/>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项目负责人：</w:t>
      </w:r>
      <w:r>
        <w:rPr>
          <w:rFonts w:hint="eastAsia" w:ascii="仿宋" w:hAnsi="仿宋" w:eastAsia="仿宋" w:cs="仿宋"/>
          <w:b w:val="0"/>
          <w:bCs w:val="0"/>
          <w:kern w:val="2"/>
          <w:sz w:val="32"/>
          <w:szCs w:val="32"/>
          <w:lang w:val="en-US" w:eastAsia="zh-CN" w:bidi="ar-SA"/>
        </w:rPr>
        <w:t>哈里瓦尔·阿布来克</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0" w:leftChars="0" w:right="0" w:rightChars="0" w:firstLine="643" w:firstLineChars="200"/>
        <w:jc w:val="both"/>
        <w:textAlignment w:val="auto"/>
        <w:outlineLvl w:val="9"/>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kern w:val="2"/>
          <w:sz w:val="32"/>
          <w:szCs w:val="32"/>
          <w:highlight w:val="none"/>
          <w:lang w:val="en-US" w:eastAsia="zh-CN" w:bidi="ar-SA"/>
        </w:rPr>
        <w:t>4、项目行政主管单位：</w:t>
      </w:r>
      <w:r>
        <w:rPr>
          <w:rFonts w:hint="eastAsia" w:ascii="仿宋" w:hAnsi="仿宋" w:eastAsia="仿宋" w:cs="仿宋"/>
          <w:b w:val="0"/>
          <w:bCs w:val="0"/>
          <w:kern w:val="2"/>
          <w:sz w:val="32"/>
          <w:szCs w:val="32"/>
          <w:lang w:val="en-US" w:eastAsia="zh-CN" w:bidi="ar-SA"/>
        </w:rPr>
        <w:t>托克逊县乡村振兴局</w:t>
      </w:r>
    </w:p>
    <w:p>
      <w:pPr>
        <w:keepNext w:val="0"/>
        <w:keepLines w:val="0"/>
        <w:pageBreakBefore w:val="0"/>
        <w:widowControl/>
        <w:kinsoku/>
        <w:wordWrap/>
        <w:overflowPunct/>
        <w:topLinePunct w:val="0"/>
        <w:autoSpaceDE w:val="0"/>
        <w:autoSpaceDN w:val="0"/>
        <w:bidi w:val="0"/>
        <w:adjustRightInd/>
        <w:snapToGrid/>
        <w:spacing w:line="530" w:lineRule="exact"/>
        <w:ind w:leftChars="0" w:firstLine="643" w:firstLineChars="200"/>
        <w:jc w:val="lef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b/>
          <w:sz w:val="32"/>
          <w:szCs w:val="32"/>
          <w:highlight w:val="none"/>
          <w:lang w:val="en-US" w:eastAsia="zh-CN"/>
        </w:rPr>
        <w:t>项目行业主管单位：</w:t>
      </w:r>
      <w:r>
        <w:rPr>
          <w:rFonts w:hint="eastAsia" w:ascii="仿宋" w:hAnsi="仿宋" w:eastAsia="仿宋" w:cs="仿宋"/>
          <w:b w:val="0"/>
          <w:bCs w:val="0"/>
          <w:kern w:val="2"/>
          <w:sz w:val="32"/>
          <w:szCs w:val="32"/>
          <w:lang w:val="en-US" w:eastAsia="zh-CN" w:bidi="ar-SA"/>
        </w:rPr>
        <w:t>托克逊县住建局</w:t>
      </w:r>
    </w:p>
    <w:p>
      <w:pPr>
        <w:keepNext w:val="0"/>
        <w:keepLines w:val="0"/>
        <w:pageBreakBefore w:val="0"/>
        <w:widowControl/>
        <w:kinsoku/>
        <w:wordWrap/>
        <w:overflowPunct/>
        <w:topLinePunct w:val="0"/>
        <w:autoSpaceDE w:val="0"/>
        <w:autoSpaceDN w:val="0"/>
        <w:bidi w:val="0"/>
        <w:snapToGrid/>
        <w:spacing w:line="530" w:lineRule="exact"/>
        <w:ind w:leftChars="0" w:firstLine="643" w:firstLineChars="200"/>
        <w:jc w:val="left"/>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
          <w:sz w:val="32"/>
          <w:szCs w:val="32"/>
          <w:highlight w:val="none"/>
          <w:lang w:val="en-US" w:eastAsia="zh-CN"/>
        </w:rPr>
        <w:t>5</w:t>
      </w:r>
      <w:r>
        <w:rPr>
          <w:rFonts w:hint="eastAsia" w:ascii="仿宋_GB2312" w:hAnsi="仿宋_GB2312" w:eastAsia="仿宋_GB2312" w:cs="仿宋_GB2312"/>
          <w:b/>
          <w:sz w:val="32"/>
          <w:szCs w:val="32"/>
          <w:highlight w:val="none"/>
        </w:rPr>
        <w:t>、项目建设性质：</w:t>
      </w:r>
      <w:r>
        <w:rPr>
          <w:rFonts w:hint="eastAsia" w:ascii="仿宋" w:hAnsi="仿宋" w:eastAsia="仿宋" w:cs="仿宋"/>
          <w:b w:val="0"/>
          <w:bCs w:val="0"/>
          <w:kern w:val="2"/>
          <w:sz w:val="32"/>
          <w:szCs w:val="32"/>
          <w:lang w:val="en-US" w:eastAsia="zh-CN" w:bidi="ar-SA"/>
        </w:rPr>
        <w:t>新建</w:t>
      </w:r>
    </w:p>
    <w:p>
      <w:pPr>
        <w:keepNext w:val="0"/>
        <w:keepLines w:val="0"/>
        <w:pageBreakBefore w:val="0"/>
        <w:widowControl/>
        <w:kinsoku/>
        <w:wordWrap/>
        <w:overflowPunct/>
        <w:topLinePunct w:val="0"/>
        <w:autoSpaceDE w:val="0"/>
        <w:autoSpaceDN w:val="0"/>
        <w:bidi w:val="0"/>
        <w:snapToGrid/>
        <w:spacing w:line="530" w:lineRule="exact"/>
        <w:ind w:leftChars="0" w:firstLine="643" w:firstLineChars="200"/>
        <w:jc w:val="left"/>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
          <w:sz w:val="32"/>
          <w:szCs w:val="32"/>
          <w:highlight w:val="none"/>
          <w:lang w:val="en-US" w:eastAsia="zh-CN"/>
        </w:rPr>
        <w:t>6</w:t>
      </w:r>
      <w:r>
        <w:rPr>
          <w:rFonts w:hint="eastAsia" w:ascii="仿宋_GB2312" w:hAnsi="仿宋_GB2312" w:eastAsia="仿宋_GB2312" w:cs="仿宋_GB2312"/>
          <w:b/>
          <w:sz w:val="32"/>
          <w:szCs w:val="32"/>
          <w:highlight w:val="none"/>
        </w:rPr>
        <w:t>、项目类别：</w:t>
      </w:r>
      <w:r>
        <w:rPr>
          <w:rFonts w:hint="eastAsia" w:ascii="仿宋" w:hAnsi="仿宋" w:eastAsia="仿宋" w:cs="仿宋"/>
          <w:b w:val="0"/>
          <w:bCs w:val="0"/>
          <w:kern w:val="2"/>
          <w:sz w:val="32"/>
          <w:szCs w:val="32"/>
          <w:lang w:val="en-US" w:eastAsia="zh-CN" w:bidi="ar-SA"/>
        </w:rPr>
        <w:t>农村环境整治</w:t>
      </w:r>
      <w:bookmarkStart w:id="0" w:name="_GoBack"/>
      <w:bookmarkEnd w:id="0"/>
    </w:p>
    <w:p>
      <w:pPr>
        <w:keepNext w:val="0"/>
        <w:keepLines w:val="0"/>
        <w:pageBreakBefore w:val="0"/>
        <w:widowControl/>
        <w:kinsoku/>
        <w:wordWrap/>
        <w:overflowPunct/>
        <w:topLinePunct w:val="0"/>
        <w:autoSpaceDE w:val="0"/>
        <w:autoSpaceDN w:val="0"/>
        <w:bidi w:val="0"/>
        <w:snapToGrid/>
        <w:spacing w:line="530" w:lineRule="exact"/>
        <w:ind w:leftChars="0" w:firstLine="643"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sz w:val="32"/>
          <w:szCs w:val="32"/>
          <w:highlight w:val="none"/>
          <w:lang w:val="en-US" w:eastAsia="zh-CN"/>
        </w:rPr>
        <w:t>7</w:t>
      </w:r>
      <w:r>
        <w:rPr>
          <w:rFonts w:hint="eastAsia" w:ascii="仿宋_GB2312" w:hAnsi="仿宋_GB2312" w:eastAsia="仿宋_GB2312" w:cs="仿宋_GB2312"/>
          <w:b/>
          <w:sz w:val="32"/>
          <w:szCs w:val="32"/>
          <w:highlight w:val="none"/>
        </w:rPr>
        <w:t>、项目建设地点：</w:t>
      </w:r>
      <w:r>
        <w:rPr>
          <w:rFonts w:hint="eastAsia" w:ascii="仿宋" w:hAnsi="仿宋" w:eastAsia="仿宋" w:cs="仿宋"/>
          <w:b w:val="0"/>
          <w:bCs w:val="0"/>
          <w:kern w:val="2"/>
          <w:sz w:val="32"/>
          <w:szCs w:val="32"/>
          <w:lang w:val="en-US" w:eastAsia="zh-CN" w:bidi="ar-SA"/>
        </w:rPr>
        <w:t>郭勒布依乡郭勒布依村</w:t>
      </w:r>
    </w:p>
    <w:p>
      <w:pPr>
        <w:keepNext w:val="0"/>
        <w:keepLines w:val="0"/>
        <w:pageBreakBefore w:val="0"/>
        <w:widowControl/>
        <w:kinsoku/>
        <w:wordWrap/>
        <w:overflowPunct/>
        <w:topLinePunct w:val="0"/>
        <w:autoSpaceDE w:val="0"/>
        <w:autoSpaceDN w:val="0"/>
        <w:bidi w:val="0"/>
        <w:snapToGrid/>
        <w:spacing w:line="530" w:lineRule="exact"/>
        <w:ind w:leftChars="0" w:firstLine="643"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sz w:val="32"/>
          <w:szCs w:val="32"/>
          <w:highlight w:val="none"/>
          <w:lang w:val="en-US" w:eastAsia="zh-CN"/>
        </w:rPr>
        <w:t>8、项目总投</w:t>
      </w:r>
      <w:r>
        <w:rPr>
          <w:rFonts w:hint="eastAsia" w:ascii="仿宋_GB2312" w:hAnsi="仿宋_GB2312" w:eastAsia="仿宋_GB2312" w:cs="仿宋_GB2312"/>
          <w:b/>
          <w:kern w:val="2"/>
          <w:sz w:val="32"/>
          <w:szCs w:val="32"/>
          <w:highlight w:val="none"/>
          <w:lang w:val="en-US" w:eastAsia="zh-CN" w:bidi="ar-SA"/>
        </w:rPr>
        <w:t>资：</w:t>
      </w:r>
      <w:r>
        <w:rPr>
          <w:rFonts w:hint="eastAsia" w:ascii="仿宋" w:hAnsi="仿宋" w:eastAsia="仿宋" w:cs="仿宋"/>
          <w:b w:val="0"/>
          <w:bCs w:val="0"/>
          <w:kern w:val="2"/>
          <w:sz w:val="32"/>
          <w:szCs w:val="32"/>
          <w:lang w:val="en-US" w:eastAsia="zh-CN" w:bidi="ar-SA"/>
        </w:rPr>
        <w:t>37.5万元</w:t>
      </w:r>
    </w:p>
    <w:p>
      <w:pPr>
        <w:keepNext w:val="0"/>
        <w:keepLines w:val="0"/>
        <w:pageBreakBefore w:val="0"/>
        <w:widowControl/>
        <w:kinsoku/>
        <w:wordWrap/>
        <w:overflowPunct/>
        <w:topLinePunct w:val="0"/>
        <w:autoSpaceDE w:val="0"/>
        <w:autoSpaceDN w:val="0"/>
        <w:bidi w:val="0"/>
        <w:snapToGrid/>
        <w:spacing w:line="530" w:lineRule="exact"/>
        <w:ind w:leftChars="0" w:firstLine="643" w:firstLineChars="200"/>
        <w:jc w:val="left"/>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sz w:val="32"/>
          <w:szCs w:val="32"/>
          <w:highlight w:val="none"/>
          <w:lang w:val="en-US" w:eastAsia="zh-CN"/>
        </w:rPr>
        <w:t>9、</w:t>
      </w:r>
      <w:r>
        <w:rPr>
          <w:rFonts w:hint="eastAsia" w:ascii="仿宋_GB2312" w:hAnsi="仿宋_GB2312" w:eastAsia="仿宋_GB2312" w:cs="仿宋_GB2312"/>
          <w:b/>
          <w:bCs/>
          <w:kern w:val="2"/>
          <w:sz w:val="32"/>
          <w:szCs w:val="32"/>
          <w:lang w:val="en-US" w:eastAsia="zh-CN" w:bidi="ar-SA"/>
        </w:rPr>
        <w:t>主要建设内容与规模：</w:t>
      </w:r>
      <w:r>
        <w:rPr>
          <w:rFonts w:hint="eastAsia" w:ascii="仿宋" w:hAnsi="仿宋" w:eastAsia="仿宋" w:cs="仿宋"/>
          <w:b w:val="0"/>
          <w:bCs w:val="0"/>
          <w:kern w:val="2"/>
          <w:sz w:val="32"/>
          <w:szCs w:val="32"/>
          <w:lang w:val="en-US" w:eastAsia="zh-CN" w:bidi="ar-SA"/>
        </w:rPr>
        <w:t>计划为郭勒布依村购置垃圾桶100个，项目建设费用约15万元；采购洒水车1辆，项目建设费用约22.5万元；项目总投资约37.5万元。</w:t>
      </w:r>
    </w:p>
    <w:p>
      <w:pPr>
        <w:pStyle w:val="17"/>
        <w:keepNext w:val="0"/>
        <w:keepLines w:val="0"/>
        <w:pageBreakBefore w:val="0"/>
        <w:widowControl/>
        <w:kinsoku/>
        <w:wordWrap/>
        <w:overflowPunct/>
        <w:topLinePunct w:val="0"/>
        <w:autoSpaceDE w:val="0"/>
        <w:autoSpaceDN w:val="0"/>
        <w:bidi w:val="0"/>
        <w:snapToGrid/>
        <w:spacing w:line="530" w:lineRule="exact"/>
        <w:ind w:leftChars="0" w:firstLine="640" w:firstLineChars="200"/>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二、项目区基本情况及建设必要性、可行性</w:t>
      </w:r>
    </w:p>
    <w:p>
      <w:pPr>
        <w:keepNext w:val="0"/>
        <w:keepLines w:val="0"/>
        <w:pageBreakBefore w:val="0"/>
        <w:widowControl/>
        <w:kinsoku/>
        <w:wordWrap/>
        <w:overflowPunct/>
        <w:topLinePunct w:val="0"/>
        <w:autoSpaceDE w:val="0"/>
        <w:autoSpaceDN w:val="0"/>
        <w:bidi w:val="0"/>
        <w:snapToGrid/>
        <w:spacing w:line="530" w:lineRule="exact"/>
        <w:ind w:leftChars="0" w:firstLine="643" w:firstLineChars="200"/>
        <w:jc w:val="left"/>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sz w:val="32"/>
          <w:szCs w:val="32"/>
          <w:highlight w:val="none"/>
          <w:lang w:val="en-US" w:eastAsia="zh-CN"/>
        </w:rPr>
        <w:t>1、项目区基本情况：</w:t>
      </w:r>
      <w:r>
        <w:rPr>
          <w:rFonts w:hint="eastAsia" w:ascii="仿宋" w:hAnsi="仿宋" w:eastAsia="仿宋" w:cs="仿宋"/>
          <w:b w:val="0"/>
          <w:bCs w:val="0"/>
          <w:kern w:val="2"/>
          <w:sz w:val="32"/>
          <w:szCs w:val="32"/>
          <w:lang w:val="en-US" w:eastAsia="zh-CN" w:bidi="ar-SA"/>
        </w:rPr>
        <w:t>郭勒布依村位于郭勒布依乡以南，距乡政府4公里处，与托克逊县主城区11km左右，是郭勒布依乡重要的交通枢纽，郭勒布依村全村911户2489人，其中脱贫户21户61人、监测对象6户21人，郭勒布依村居民生产收入主要来源于种植花生、红枣、高粱、杏子、葡萄、甜瓜、棉花等。近年来，随着乡村经济的发展，郭勒布依村的村民生活环境有了显著改善，但是卫生水平和环境质量有待提升。</w:t>
      </w:r>
    </w:p>
    <w:p>
      <w:pPr>
        <w:keepNext w:val="0"/>
        <w:keepLines w:val="0"/>
        <w:pageBreakBefore w:val="0"/>
        <w:widowControl/>
        <w:kinsoku/>
        <w:wordWrap/>
        <w:overflowPunct/>
        <w:topLinePunct w:val="0"/>
        <w:autoSpaceDE w:val="0"/>
        <w:autoSpaceDN w:val="0"/>
        <w:bidi w:val="0"/>
        <w:adjustRightInd/>
        <w:snapToGrid/>
        <w:spacing w:line="530" w:lineRule="exact"/>
        <w:ind w:leftChars="0" w:firstLine="643" w:firstLineChars="200"/>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sz w:val="32"/>
          <w:szCs w:val="32"/>
          <w:lang w:val="en-US" w:eastAsia="zh-CN"/>
        </w:rPr>
        <w:t>2、建设的必要性：</w:t>
      </w:r>
      <w:r>
        <w:rPr>
          <w:rFonts w:hint="eastAsia" w:ascii="仿宋" w:hAnsi="仿宋" w:eastAsia="仿宋" w:cs="仿宋"/>
          <w:b w:val="0"/>
          <w:bCs w:val="0"/>
          <w:kern w:val="2"/>
          <w:sz w:val="32"/>
          <w:szCs w:val="32"/>
          <w:lang w:val="en-US" w:eastAsia="zh-CN" w:bidi="ar-SA"/>
        </w:rPr>
        <w:t>郭勒布依乡郭勒布依村地处托克逊县城西南部，与托克逊县主城区仅11km左右，是郭勒布依乡重要的交通枢纽，但是全年干旱少雨，气候干燥，田地林地多，春秋季大风天气频发导致满地都是垃圾和尘土飞扬现象严重，环境卫生水平和环境质量需进一步加强，该项目可以提高乡村卫生水平和环境质量，节约人力成本，提高工作效率，美化乡村形象，对乡村的发展和居民的生活都有积极的影响。</w:t>
      </w:r>
    </w:p>
    <w:p>
      <w:pPr>
        <w:keepNext w:val="0"/>
        <w:keepLines w:val="0"/>
        <w:pageBreakBefore w:val="0"/>
        <w:widowControl/>
        <w:kinsoku/>
        <w:wordWrap/>
        <w:overflowPunct/>
        <w:topLinePunct w:val="0"/>
        <w:autoSpaceDE w:val="0"/>
        <w:autoSpaceDN w:val="0"/>
        <w:bidi w:val="0"/>
        <w:adjustRightInd/>
        <w:snapToGrid/>
        <w:spacing w:line="530" w:lineRule="exact"/>
        <w:ind w:leftChars="0" w:firstLine="643" w:firstLineChars="200"/>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sz w:val="32"/>
          <w:szCs w:val="32"/>
          <w:lang w:val="en-US" w:eastAsia="zh-CN"/>
        </w:rPr>
        <w:t>3、建设的可行性：</w:t>
      </w:r>
      <w:r>
        <w:rPr>
          <w:rFonts w:hint="eastAsia" w:ascii="仿宋" w:hAnsi="仿宋" w:eastAsia="仿宋" w:cs="仿宋"/>
          <w:b w:val="0"/>
          <w:bCs w:val="0"/>
          <w:kern w:val="2"/>
          <w:sz w:val="32"/>
          <w:szCs w:val="32"/>
          <w:lang w:val="en-US" w:eastAsia="zh-CN" w:bidi="ar-SA"/>
        </w:rPr>
        <w:t>通过该项目的实施，能够进一步加快郭勒布依村环卫设施建设，有益于美化乡村形象，保持乡村环境整洁美观，提高乡村形象和品质，同时也可强化辖区硬件设施建设，也能进一步提升村容村貌。</w:t>
      </w:r>
    </w:p>
    <w:p>
      <w:pPr>
        <w:pStyle w:val="17"/>
        <w:keepNext w:val="0"/>
        <w:keepLines w:val="0"/>
        <w:pageBreakBefore w:val="0"/>
        <w:widowControl/>
        <w:kinsoku/>
        <w:wordWrap/>
        <w:overflowPunct/>
        <w:topLinePunct w:val="0"/>
        <w:autoSpaceDE w:val="0"/>
        <w:autoSpaceDN w:val="0"/>
        <w:bidi w:val="0"/>
        <w:snapToGrid/>
        <w:spacing w:line="530" w:lineRule="exact"/>
        <w:ind w:leftChars="0" w:firstLine="640" w:firstLineChars="200"/>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三、</w:t>
      </w:r>
      <w:r>
        <w:rPr>
          <w:rFonts w:hint="eastAsia" w:ascii="黑体" w:hAnsi="黑体" w:eastAsia="黑体" w:cs="黑体"/>
          <w:b w:val="0"/>
          <w:bCs/>
          <w:color w:val="auto"/>
          <w:sz w:val="32"/>
          <w:szCs w:val="32"/>
          <w:highlight w:val="none"/>
          <w:lang w:val="en-US" w:eastAsia="zh-CN"/>
        </w:rPr>
        <w:t>资金筹措及投资概算</w:t>
      </w:r>
    </w:p>
    <w:p>
      <w:pPr>
        <w:keepNext w:val="0"/>
        <w:keepLines w:val="0"/>
        <w:pageBreakBefore w:val="0"/>
        <w:widowControl/>
        <w:kinsoku/>
        <w:wordWrap/>
        <w:overflowPunct/>
        <w:topLinePunct w:val="0"/>
        <w:autoSpaceDE w:val="0"/>
        <w:autoSpaceDN w:val="0"/>
        <w:bidi w:val="0"/>
        <w:adjustRightInd/>
        <w:snapToGrid/>
        <w:spacing w:line="530" w:lineRule="exact"/>
        <w:ind w:left="0" w:leftChars="0" w:firstLine="643"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资金来源：</w:t>
      </w:r>
      <w:r>
        <w:rPr>
          <w:rFonts w:hint="eastAsia" w:ascii="仿宋" w:hAnsi="仿宋" w:eastAsia="仿宋" w:cs="仿宋"/>
          <w:b w:val="0"/>
          <w:bCs w:val="0"/>
          <w:kern w:val="2"/>
          <w:sz w:val="32"/>
          <w:szCs w:val="32"/>
          <w:lang w:val="en-US" w:eastAsia="zh-CN" w:bidi="ar-SA"/>
        </w:rPr>
        <w:t>财政衔接推进乡村振兴补助资金。</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3" w:firstLineChars="200"/>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投资</w:t>
      </w:r>
      <w:r>
        <w:rPr>
          <w:rFonts w:hint="eastAsia" w:ascii="仿宋_GB2312" w:hAnsi="仿宋_GB2312" w:eastAsia="仿宋_GB2312" w:cs="仿宋_GB2312"/>
          <w:b/>
          <w:bCs/>
          <w:sz w:val="32"/>
          <w:szCs w:val="32"/>
          <w:lang w:val="en-US" w:eastAsia="zh-CN"/>
        </w:rPr>
        <w:t>概算</w:t>
      </w:r>
      <w:r>
        <w:rPr>
          <w:rFonts w:hint="eastAsia" w:ascii="仿宋_GB2312" w:hAnsi="仿宋_GB2312" w:eastAsia="仿宋_GB2312" w:cs="仿宋_GB2312"/>
          <w:b/>
          <w:bCs/>
          <w:sz w:val="32"/>
          <w:szCs w:val="32"/>
        </w:rPr>
        <w:t>：</w:t>
      </w:r>
      <w:r>
        <w:rPr>
          <w:rFonts w:hint="eastAsia" w:ascii="仿宋" w:hAnsi="仿宋" w:eastAsia="仿宋" w:cs="仿宋"/>
          <w:b w:val="0"/>
          <w:bCs w:val="0"/>
          <w:kern w:val="2"/>
          <w:sz w:val="32"/>
          <w:szCs w:val="32"/>
          <w:lang w:val="en-US" w:eastAsia="zh-CN" w:bidi="ar-SA"/>
        </w:rPr>
        <w:t>为郭勒布依村购置垃圾桶100个，项目建设费用约15万元；采购洒水车1辆，项目建设费用约22.5万元；项目总投资约37.5万元。</w:t>
      </w:r>
    </w:p>
    <w:p>
      <w:pPr>
        <w:pStyle w:val="17"/>
        <w:keepNext w:val="0"/>
        <w:keepLines w:val="0"/>
        <w:pageBreakBefore w:val="0"/>
        <w:widowControl/>
        <w:kinsoku/>
        <w:wordWrap/>
        <w:overflowPunct/>
        <w:topLinePunct w:val="0"/>
        <w:autoSpaceDE w:val="0"/>
        <w:autoSpaceDN w:val="0"/>
        <w:bidi w:val="0"/>
        <w:snapToGrid/>
        <w:spacing w:line="530" w:lineRule="exact"/>
        <w:ind w:leftChars="0" w:firstLine="640" w:firstLineChars="200"/>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四、项目实施进度计划</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2024年6月，完成项目招标工作。</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2024年8月底前，完成项目采购，并组织相关部门验收。</w:t>
      </w:r>
    </w:p>
    <w:p>
      <w:pPr>
        <w:pStyle w:val="17"/>
        <w:keepNext w:val="0"/>
        <w:keepLines w:val="0"/>
        <w:pageBreakBefore w:val="0"/>
        <w:widowControl/>
        <w:kinsoku/>
        <w:wordWrap/>
        <w:overflowPunct/>
        <w:topLinePunct w:val="0"/>
        <w:autoSpaceDE w:val="0"/>
        <w:autoSpaceDN w:val="0"/>
        <w:bidi w:val="0"/>
        <w:snapToGrid/>
        <w:spacing w:line="530" w:lineRule="exact"/>
        <w:ind w:leftChars="0" w:firstLine="640" w:firstLineChars="200"/>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rPr>
        <w:t>五、</w:t>
      </w:r>
      <w:r>
        <w:rPr>
          <w:rFonts w:hint="eastAsia" w:ascii="黑体" w:hAnsi="黑体" w:eastAsia="黑体" w:cs="黑体"/>
          <w:b w:val="0"/>
          <w:bCs/>
          <w:color w:val="auto"/>
          <w:sz w:val="32"/>
          <w:szCs w:val="32"/>
          <w:highlight w:val="none"/>
          <w:lang w:val="en-US" w:eastAsia="zh-CN"/>
        </w:rPr>
        <w:t>项目组织实施能力与内控管理措施</w:t>
      </w:r>
    </w:p>
    <w:p>
      <w:pPr>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（一）</w:t>
      </w:r>
      <w:r>
        <w:rPr>
          <w:rFonts w:hint="eastAsia" w:ascii="仿宋_GB2312" w:hAnsi="仿宋_GB2312" w:eastAsia="仿宋_GB2312" w:cs="仿宋_GB2312"/>
          <w:b/>
          <w:bCs/>
          <w:sz w:val="32"/>
          <w:szCs w:val="32"/>
          <w:lang w:val="en-US" w:eastAsia="zh-CN"/>
        </w:rPr>
        <w:t>组织领导机构及职责分工</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为加强项目监督和技术指导，按期完成建设任务，根据《托克逊县郭勒布依乡财政衔接推进乡村振兴补助金(巩固拓展脱贫攻坚成果和乡村振兴任务)项目管理办法（暂行）》规定成立项目管理组织机构，项目管理工作实行分级负责制。项目组相关领导机构如下：</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组  长:哈里瓦尔·阿布拉克   乡党委副书记、乡长</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副组长:苏涛                 乡党委委员、常务副乡长</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成  员:郭理                 乡项目办主任</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阿迪拉古丽·吾曼尔          乡检办干部</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热孜亚·阿不来提            乡村振兴办主任</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木阿热木·买合木提          乡财政所所长</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麦尔哈巴·肉孜              乡项目办干部</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郭勒布依乡郭勒布依村    第一书记、党支部书记</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（1）成立以村第一书记为组长，村党支部书记为副组长、各职能小组负责人为成员的领导小组，负责项目的领导、协调、实施、督促、指导等工作，为项目建设提供组织保障。</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（2）项目办、乡村振兴、纪检、财政所等部门为项目实施的监督单位。负责项目实施全过程的监督、检查，资金审批及管理。</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郭勒布依乡为项目实施主体。乡和行政村分别成立项目实施领导小组，明确1名副科级领导专抓此项工作，主要负责宣传发动、组织实施和协助村里并进行指导，帮助落实任务；负责组织开展验收、项目档案的归档等工作</w:t>
      </w:r>
    </w:p>
    <w:p>
      <w:pPr>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_GB2312" w:hAnsi="仿宋_GB2312" w:eastAsia="仿宋_GB2312" w:cs="仿宋_GB2312"/>
          <w:b/>
          <w:bCs/>
          <w:kern w:val="2"/>
          <w:sz w:val="32"/>
          <w:szCs w:val="32"/>
          <w:lang w:val="en-US" w:eastAsia="zh-CN" w:bidi="ar-SA"/>
        </w:rPr>
      </w:pPr>
    </w:p>
    <w:p>
      <w:pPr>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（二）</w:t>
      </w:r>
      <w:r>
        <w:rPr>
          <w:rFonts w:hint="eastAsia" w:ascii="仿宋_GB2312" w:hAnsi="仿宋_GB2312" w:eastAsia="仿宋_GB2312" w:cs="仿宋_GB2312"/>
          <w:b/>
          <w:bCs/>
          <w:sz w:val="32"/>
          <w:szCs w:val="32"/>
          <w:lang w:val="en-US" w:eastAsia="zh-CN"/>
        </w:rPr>
        <w:t>项目招标、采购管理</w:t>
      </w:r>
    </w:p>
    <w:p>
      <w:pPr>
        <w:pStyle w:val="15"/>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Chars="0" w:firstLine="640" w:firstLineChars="200"/>
        <w:textAlignment w:val="auto"/>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该项目建设采用投标制，由郭勒布依乡人民政府选择有资质的招标代理机构进行招标，依据《中华人民共和国招标投标法》《中华人民共和国政府采购法》以及《郭勒布依乡人民政府招投标采购管理办法》，通过公开招标方式，择优选择供应商，供应商通过竞争中标后依法签订采购合同，并严格履行合同。</w:t>
      </w:r>
    </w:p>
    <w:p>
      <w:pPr>
        <w:pStyle w:val="5"/>
        <w:keepNext w:val="0"/>
        <w:keepLines w:val="0"/>
        <w:pageBreakBefore w:val="0"/>
        <w:widowControl/>
        <w:kinsoku/>
        <w:wordWrap/>
        <w:overflowPunct/>
        <w:topLinePunct w:val="0"/>
        <w:autoSpaceDE w:val="0"/>
        <w:autoSpaceDN w:val="0"/>
        <w:bidi w:val="0"/>
        <w:adjustRightInd/>
        <w:snapToGrid/>
        <w:spacing w:before="0" w:after="0" w:line="530" w:lineRule="exact"/>
        <w:ind w:leftChars="0" w:firstLine="640" w:firstLineChars="200"/>
        <w:rPr>
          <w:rFonts w:hint="eastAsia" w:ascii="仿宋_GB2312" w:hAnsi="仿宋_GB2312" w:eastAsia="仿宋_GB2312" w:cs="仿宋_GB2312"/>
          <w:b/>
          <w:color w:val="auto"/>
          <w:sz w:val="32"/>
          <w:szCs w:val="32"/>
        </w:rPr>
      </w:pPr>
      <w:r>
        <w:rPr>
          <w:rFonts w:hint="eastAsia" w:ascii="仿宋_GB2312" w:hAnsi="仿宋_GB2312" w:eastAsia="仿宋_GB2312" w:cs="仿宋_GB2312"/>
          <w:b w:val="0"/>
          <w:bCs w:val="0"/>
          <w:kern w:val="2"/>
          <w:sz w:val="32"/>
          <w:szCs w:val="32"/>
          <w:highlight w:val="none"/>
          <w:lang w:val="en-US" w:eastAsia="zh-CN" w:bidi="ar-SA"/>
        </w:rPr>
        <w:t>（三）</w:t>
      </w:r>
      <w:r>
        <w:rPr>
          <w:rFonts w:hint="eastAsia" w:ascii="仿宋_GB2312" w:hAnsi="仿宋_GB2312" w:eastAsia="仿宋_GB2312" w:cs="仿宋_GB2312"/>
          <w:b/>
          <w:color w:val="auto"/>
          <w:sz w:val="32"/>
          <w:szCs w:val="32"/>
        </w:rPr>
        <w:t>合同签订与管理</w:t>
      </w:r>
    </w:p>
    <w:p>
      <w:pPr>
        <w:keepNext w:val="0"/>
        <w:keepLines w:val="0"/>
        <w:pageBreakBefore w:val="0"/>
        <w:widowControl/>
        <w:kinsoku/>
        <w:wordWrap/>
        <w:overflowPunct/>
        <w:topLinePunct w:val="0"/>
        <w:autoSpaceDE w:val="0"/>
        <w:autoSpaceDN w:val="0"/>
        <w:bidi w:val="0"/>
        <w:snapToGrid/>
        <w:spacing w:line="530" w:lineRule="exact"/>
        <w:ind w:leftChars="0" w:firstLine="640" w:firstLineChars="20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根据《新疆维吾尔自治区合同格式条款监督条例》《托克逊县郭勒布依乡合同管理办法》等相关要求，我乡根据单位合同审核流程严格审核合同内容，完成合同会签程序，并与中标单位签订合同，合同双方严格履行各自的义务和责任，按照合同的要求履行合同的承诺，在履行合同过程中，及时纠正违背合同承诺的行为，确保项目管理工作规范到位，合法合规。</w:t>
      </w:r>
    </w:p>
    <w:p>
      <w:pPr>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（四）</w:t>
      </w:r>
      <w:r>
        <w:rPr>
          <w:rFonts w:hint="eastAsia" w:ascii="仿宋_GB2312" w:hAnsi="仿宋_GB2312" w:eastAsia="仿宋_GB2312" w:cs="仿宋_GB2312"/>
          <w:b/>
          <w:bCs/>
          <w:sz w:val="32"/>
          <w:szCs w:val="32"/>
          <w:lang w:val="en-US" w:eastAsia="zh-CN"/>
        </w:rPr>
        <w:t>项目实施与监督检查</w:t>
      </w:r>
    </w:p>
    <w:p>
      <w:pPr>
        <w:keepNext w:val="0"/>
        <w:keepLines w:val="0"/>
        <w:pageBreakBefore w:val="0"/>
        <w:widowControl/>
        <w:kinsoku/>
        <w:wordWrap/>
        <w:overflowPunct/>
        <w:topLinePunct w:val="0"/>
        <w:autoSpaceDE w:val="0"/>
        <w:autoSpaceDN w:val="0"/>
        <w:bidi w:val="0"/>
        <w:snapToGrid/>
        <w:spacing w:line="530" w:lineRule="exact"/>
        <w:ind w:leftChars="0" w:firstLine="640" w:firstLineChars="20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根据《新疆维吾尔自治区衔接推进乡村振兴补助资金管理办法》文件精神，由县乡村振兴领导小组办公室组合第二章第九条规定：托克逊县委农村工作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补助资产公开公示、定期巡查、绩效考核、结果反馈等检查机制，对项目经营运行、收益分配、后期管护等环节进行全程监督，保障衔接推进乡村振兴补助资产安全有效。</w:t>
      </w:r>
    </w:p>
    <w:p>
      <w:pPr>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（五）项目</w:t>
      </w:r>
      <w:r>
        <w:rPr>
          <w:rFonts w:hint="eastAsia" w:ascii="仿宋_GB2312" w:hAnsi="仿宋_GB2312" w:eastAsia="仿宋_GB2312" w:cs="仿宋_GB2312"/>
          <w:b/>
          <w:bCs/>
          <w:sz w:val="32"/>
          <w:szCs w:val="32"/>
          <w:lang w:val="en-US" w:eastAsia="zh-CN"/>
        </w:rPr>
        <w:t>资金使用管理</w:t>
      </w:r>
    </w:p>
    <w:p>
      <w:pPr>
        <w:keepNext w:val="0"/>
        <w:keepLines w:val="0"/>
        <w:pageBreakBefore w:val="0"/>
        <w:widowControl/>
        <w:kinsoku/>
        <w:wordWrap/>
        <w:overflowPunct/>
        <w:topLinePunct w:val="0"/>
        <w:autoSpaceDE w:val="0"/>
        <w:autoSpaceDN w:val="0"/>
        <w:bidi w:val="0"/>
        <w:snapToGrid/>
        <w:spacing w:line="530" w:lineRule="exact"/>
        <w:ind w:leftChars="0" w:firstLine="640" w:firstLineChars="20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严格按照&lt;关于印发《新疆维吾尔自治区财政衔接推进乡村振兴补助资金（巩固拓展脱贫攻坚成果和乡村振兴任务）项目管理办法（暂行）》的通知（新乡振〔2021〕32号）&gt;《关于批复实施2024年中央财政衔接推进乡村振兴补助资金项目的通知》（托党农领发〔2023〕5号）等相关文件要求。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pPr>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（六）</w:t>
      </w:r>
      <w:r>
        <w:rPr>
          <w:rFonts w:hint="eastAsia" w:ascii="仿宋_GB2312" w:hAnsi="仿宋_GB2312" w:eastAsia="仿宋_GB2312" w:cs="仿宋_GB2312"/>
          <w:b/>
          <w:bCs/>
          <w:sz w:val="32"/>
          <w:szCs w:val="32"/>
          <w:lang w:val="en-US" w:eastAsia="zh-CN"/>
        </w:rPr>
        <w:t>项目验收管理</w:t>
      </w:r>
    </w:p>
    <w:p>
      <w:pPr>
        <w:keepNext w:val="0"/>
        <w:keepLines w:val="0"/>
        <w:pageBreakBefore w:val="0"/>
        <w:widowControl/>
        <w:kinsoku/>
        <w:wordWrap/>
        <w:overflowPunct/>
        <w:topLinePunct w:val="0"/>
        <w:autoSpaceDE w:val="0"/>
        <w:autoSpaceDN w:val="0"/>
        <w:bidi w:val="0"/>
        <w:snapToGrid/>
        <w:spacing w:line="530" w:lineRule="exact"/>
        <w:ind w:leftChars="0" w:firstLine="640" w:firstLineChars="20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根据《新疆维吾尔自治区财政衔接推进乡村振兴补助资金（巩固拓展脱贫攻坚成果和乡村振兴任务）项目管理办法（暂行）》的通知（新乡振〔2021〕32号）文件精神，坚持项目竣工验收制度，遵照属地管理、“谁审批、谁验收”的原则。按照村、乡、县三个级别逐级开展验收工作。村级由村第一书记组织村党支部书记、经济发展组成员组织验收。乡级由常务副乡长组织项目办、财政所、纪检办验收。乡、村两级验收合格后，报县乡村振兴局和行业部门申请县级验收。</w:t>
      </w:r>
    </w:p>
    <w:p>
      <w:pPr>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（七）</w:t>
      </w:r>
      <w:r>
        <w:rPr>
          <w:rFonts w:hint="eastAsia" w:ascii="仿宋_GB2312" w:hAnsi="仿宋_GB2312" w:eastAsia="仿宋_GB2312" w:cs="仿宋_GB2312"/>
          <w:b/>
          <w:bCs/>
          <w:sz w:val="32"/>
          <w:szCs w:val="32"/>
          <w:lang w:val="en-US" w:eastAsia="zh-CN"/>
        </w:rPr>
        <w:t>项目公告公示</w:t>
      </w:r>
    </w:p>
    <w:p>
      <w:pPr>
        <w:keepNext w:val="0"/>
        <w:keepLines w:val="0"/>
        <w:pageBreakBefore w:val="0"/>
        <w:widowControl/>
        <w:kinsoku/>
        <w:wordWrap/>
        <w:overflowPunct/>
        <w:topLinePunct w:val="0"/>
        <w:autoSpaceDE w:val="0"/>
        <w:autoSpaceDN w:val="0"/>
        <w:bidi w:val="0"/>
        <w:snapToGrid/>
        <w:spacing w:line="530" w:lineRule="exact"/>
        <w:ind w:leftChars="0" w:firstLine="640" w:firstLineChars="20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项目实施严格按照&lt;关于印发《新疆维吾尔自治区财政衔接推进乡村振兴补助资金（巩固拓展脱贫攻坚成果和乡村振兴任务）项目管理办法（暂行）》的通知（新乡振〔2021〕32号）&gt;文件精神，按事前、事中、事后公示公告，公示公告主要以村委会、乡政府公示栏、项目公示牌、村委会告知等形式公示公告，公示公告时间不少于7天。县级通过县政府网站、政务公示栏等形式进行公告公示。形成固定资产的，在项目区进行永久性公示，公示内容包括项目名称、投资规模及来源、项目地点、建设内容、项目建设期限、施工单位及责任人、受益户名单、监督电话等。</w:t>
      </w:r>
    </w:p>
    <w:p>
      <w:pPr>
        <w:keepNext w:val="0"/>
        <w:keepLines w:val="0"/>
        <w:pageBreakBefore w:val="0"/>
        <w:widowControl/>
        <w:numPr>
          <w:ilvl w:val="0"/>
          <w:numId w:val="0"/>
        </w:numPr>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（七）</w:t>
      </w:r>
      <w:r>
        <w:rPr>
          <w:rFonts w:hint="eastAsia" w:ascii="仿宋_GB2312" w:hAnsi="仿宋_GB2312" w:eastAsia="仿宋_GB2312" w:cs="仿宋_GB2312"/>
          <w:b/>
          <w:bCs/>
          <w:sz w:val="32"/>
          <w:szCs w:val="32"/>
          <w:lang w:val="en-US" w:eastAsia="zh-CN"/>
        </w:rPr>
        <w:t>项目后期管护及运营管理</w:t>
      </w:r>
    </w:p>
    <w:p>
      <w:pPr>
        <w:keepNext w:val="0"/>
        <w:keepLines w:val="0"/>
        <w:pageBreakBefore w:val="0"/>
        <w:widowControl/>
        <w:kinsoku/>
        <w:wordWrap/>
        <w:overflowPunct/>
        <w:topLinePunct w:val="0"/>
        <w:autoSpaceDE w:val="0"/>
        <w:autoSpaceDN w:val="0"/>
        <w:bidi w:val="0"/>
        <w:snapToGrid/>
        <w:spacing w:line="530" w:lineRule="exact"/>
        <w:ind w:leftChars="0" w:firstLine="640" w:firstLineChars="20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根据《关于加强扶贫项目资产后续管理的实施意见》（新政办函〔2021〕149号）、《关于加强扶贫项目资产后续管理实施细则的通知》规定，一是遵照属地管理的原则，资产由项目实施所在地村委会所有并负责后续管理，任何有关该项目的事项，需经村民代表大会讨论通过。二是建立后续管理监管工作领导小组，明确具体办事机构和工作人员，落实后续管理措施和办法。三是成立项目监督管理小组等组织，监督项目实施单位管理情况，及时妥善解决项目后续管理中出现的问题，积极向乡人民政府和有关部门反映项目后续管理工作中出现的新情况、新问题和意见建议。四是全面跟踪项目运行管理和效益情况，做好后续管理评估。五是对自然灾害造成的损失，原则上由项目所在村委会自行解决。</w:t>
      </w:r>
    </w:p>
    <w:p>
      <w:pPr>
        <w:pStyle w:val="17"/>
        <w:keepNext w:val="0"/>
        <w:keepLines w:val="0"/>
        <w:pageBreakBefore w:val="0"/>
        <w:widowControl/>
        <w:kinsoku/>
        <w:wordWrap/>
        <w:overflowPunct/>
        <w:topLinePunct w:val="0"/>
        <w:autoSpaceDE w:val="0"/>
        <w:autoSpaceDN w:val="0"/>
        <w:bidi w:val="0"/>
        <w:snapToGrid/>
        <w:spacing w:line="530" w:lineRule="exact"/>
        <w:ind w:leftChars="0" w:firstLine="640" w:firstLineChars="200"/>
        <w:rPr>
          <w:rFonts w:hint="eastAsia" w:ascii="黑体" w:hAnsi="黑体" w:eastAsia="黑体" w:cs="黑体"/>
          <w:b w:val="0"/>
          <w:bCs/>
          <w:color w:val="auto"/>
          <w:sz w:val="32"/>
          <w:szCs w:val="32"/>
          <w:highlight w:val="none"/>
        </w:rPr>
      </w:pPr>
    </w:p>
    <w:p>
      <w:pPr>
        <w:pStyle w:val="17"/>
        <w:keepNext w:val="0"/>
        <w:keepLines w:val="0"/>
        <w:pageBreakBefore w:val="0"/>
        <w:widowControl/>
        <w:kinsoku/>
        <w:wordWrap/>
        <w:overflowPunct/>
        <w:topLinePunct w:val="0"/>
        <w:autoSpaceDE w:val="0"/>
        <w:autoSpaceDN w:val="0"/>
        <w:bidi w:val="0"/>
        <w:snapToGrid/>
        <w:spacing w:line="530" w:lineRule="exact"/>
        <w:ind w:leftChars="0" w:firstLine="640" w:firstLineChars="200"/>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六、利益联结机制</w:t>
      </w:r>
    </w:p>
    <w:p>
      <w:pPr>
        <w:keepNext w:val="0"/>
        <w:keepLines w:val="0"/>
        <w:pageBreakBefore w:val="0"/>
        <w:widowControl/>
        <w:kinsoku/>
        <w:wordWrap/>
        <w:overflowPunct/>
        <w:topLinePunct w:val="0"/>
        <w:autoSpaceDE w:val="0"/>
        <w:autoSpaceDN w:val="0"/>
        <w:bidi w:val="0"/>
        <w:snapToGrid/>
        <w:spacing w:line="530" w:lineRule="exact"/>
        <w:ind w:leftChars="0" w:firstLine="640" w:firstLineChars="200"/>
        <w:jc w:val="both"/>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该项目覆盖群众911户2489人，其中脱贫户21户61人、监测对象6户21人。通过该项目的实施，进一步改善郭勒布依村人居环境，缓解环卫工人压力，解决村垃圾乱倒无人清理、垃圾清运不便问题，有效提升郭勒布依村环境卫生和综合治理服务能力，加快城乡融合步伐，为乡村振兴建设提供基础条件。</w:t>
      </w:r>
    </w:p>
    <w:p>
      <w:pPr>
        <w:pStyle w:val="17"/>
        <w:keepNext w:val="0"/>
        <w:keepLines w:val="0"/>
        <w:pageBreakBefore w:val="0"/>
        <w:widowControl/>
        <w:kinsoku/>
        <w:wordWrap/>
        <w:overflowPunct/>
        <w:topLinePunct w:val="0"/>
        <w:autoSpaceDE w:val="0"/>
        <w:autoSpaceDN w:val="0"/>
        <w:bidi w:val="0"/>
        <w:snapToGrid/>
        <w:spacing w:line="530" w:lineRule="exact"/>
        <w:ind w:leftChars="0" w:firstLine="640" w:firstLineChars="200"/>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lang w:val="en-US" w:eastAsia="zh-CN"/>
        </w:rPr>
        <w:t>七、项目绩效目标及效益分析</w:t>
      </w:r>
    </w:p>
    <w:p>
      <w:pPr>
        <w:keepNext w:val="0"/>
        <w:keepLines w:val="0"/>
        <w:pageBreakBefore w:val="0"/>
        <w:widowControl w:val="0"/>
        <w:kinsoku w:val="0"/>
        <w:wordWrap/>
        <w:overflowPunct w:val="0"/>
        <w:topLinePunct w:val="0"/>
        <w:autoSpaceDE w:val="0"/>
        <w:autoSpaceDN w:val="0"/>
        <w:bidi w:val="0"/>
        <w:adjustRightInd/>
        <w:snapToGrid/>
        <w:spacing w:line="530" w:lineRule="exact"/>
        <w:ind w:leftChars="0" w:firstLine="643" w:firstLineChars="200"/>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sz w:val="32"/>
          <w:szCs w:val="32"/>
          <w:lang w:val="en-US" w:eastAsia="zh-CN"/>
        </w:rPr>
        <w:t>1、年度总体目标：</w:t>
      </w:r>
      <w:r>
        <w:rPr>
          <w:rFonts w:hint="eastAsia" w:ascii="仿宋" w:hAnsi="仿宋" w:eastAsia="仿宋" w:cs="仿宋"/>
          <w:b w:val="0"/>
          <w:bCs w:val="0"/>
          <w:kern w:val="2"/>
          <w:sz w:val="32"/>
          <w:szCs w:val="32"/>
          <w:lang w:val="en-US" w:eastAsia="zh-CN" w:bidi="ar-SA"/>
        </w:rPr>
        <w:t>计划为郭勒布依村购置垃圾桶100个，采购洒水车1辆，项目总投资约37.5万元，于2025年8月底前完成验收。通过项目的实施，进一步改善郭勒布依村人居环境，缓解环卫工人压力，解决村内垃圾乱倒无人清理，垃圾、污水清运不便等问题。</w:t>
      </w:r>
    </w:p>
    <w:p>
      <w:pPr>
        <w:keepNext w:val="0"/>
        <w:keepLines w:val="0"/>
        <w:pageBreakBefore w:val="0"/>
        <w:widowControl w:val="0"/>
        <w:numPr>
          <w:ilvl w:val="0"/>
          <w:numId w:val="0"/>
        </w:numPr>
        <w:pBdr>
          <w:top w:val="none" w:color="auto" w:sz="0" w:space="0"/>
          <w:left w:val="none" w:color="auto" w:sz="0" w:space="0"/>
          <w:bottom w:val="none" w:color="auto" w:sz="0" w:space="0"/>
          <w:right w:val="none" w:color="auto" w:sz="0" w:space="0"/>
        </w:pBdr>
        <w:tabs>
          <w:tab w:val="left" w:pos="1440"/>
        </w:tabs>
        <w:kinsoku w:val="0"/>
        <w:wordWrap/>
        <w:overflowPunct w:val="0"/>
        <w:topLinePunct w:val="0"/>
        <w:autoSpaceDE w:val="0"/>
        <w:autoSpaceDN w:val="0"/>
        <w:bidi w:val="0"/>
        <w:adjustRightInd w:val="0"/>
        <w:snapToGrid w:val="0"/>
        <w:spacing w:line="530" w:lineRule="exact"/>
        <w:ind w:leftChars="0" w:firstLine="643"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w w:val="100"/>
          <w:sz w:val="32"/>
          <w:szCs w:val="32"/>
          <w:lang w:val="en-US" w:eastAsia="zh-CN"/>
        </w:rPr>
        <w:t>2、项目覆盖情况：</w:t>
      </w:r>
      <w:r>
        <w:rPr>
          <w:rFonts w:hint="eastAsia" w:ascii="仿宋" w:hAnsi="仿宋" w:eastAsia="仿宋" w:cs="仿宋"/>
          <w:b w:val="0"/>
          <w:bCs w:val="0"/>
          <w:kern w:val="2"/>
          <w:sz w:val="32"/>
          <w:szCs w:val="32"/>
          <w:lang w:val="en-US" w:eastAsia="zh-CN" w:bidi="ar-SA"/>
        </w:rPr>
        <w:t>该项目覆盖群众911户2489人，其中脱贫户21户61人、监测对象6户21人。通过项目的实施，进一步加强了环境卫生治理能力，加快城乡融合步伐，为乡村振兴建设提供基础条件，对乡村发展和全村居民的生活都有积极的影响。</w:t>
      </w:r>
    </w:p>
    <w:p>
      <w:pPr>
        <w:keepNext w:val="0"/>
        <w:keepLines w:val="0"/>
        <w:pageBreakBefore w:val="0"/>
        <w:widowControl w:val="0"/>
        <w:kinsoku w:val="0"/>
        <w:wordWrap/>
        <w:overflowPunct w:val="0"/>
        <w:topLinePunct w:val="0"/>
        <w:autoSpaceDE w:val="0"/>
        <w:autoSpaceDN w:val="0"/>
        <w:bidi w:val="0"/>
        <w:adjustRightInd/>
        <w:snapToGrid/>
        <w:spacing w:line="530" w:lineRule="exact"/>
        <w:ind w:leftChars="0" w:firstLine="643" w:firstLineChars="200"/>
        <w:textAlignment w:val="auto"/>
        <w:rPr>
          <w:rFonts w:hint="eastAsia" w:ascii="仿宋" w:hAnsi="仿宋" w:eastAsia="仿宋" w:cs="仿宋"/>
          <w:b w:val="0"/>
          <w:bCs w:val="0"/>
          <w:kern w:val="2"/>
          <w:sz w:val="32"/>
          <w:szCs w:val="32"/>
          <w:lang w:val="en-US" w:eastAsia="zh-CN" w:bidi="ar-SA"/>
        </w:rPr>
      </w:pPr>
      <w:r>
        <w:rPr>
          <w:rFonts w:hint="eastAsia" w:ascii="仿宋_GB2312" w:hAnsi="仿宋_GB2312" w:eastAsia="仿宋_GB2312" w:cs="仿宋_GB2312"/>
          <w:b/>
          <w:bCs/>
          <w:w w:val="100"/>
          <w:sz w:val="32"/>
          <w:szCs w:val="32"/>
          <w:lang w:val="en-US" w:eastAsia="zh-CN"/>
        </w:rPr>
        <w:t>3、社会效益：</w:t>
      </w:r>
      <w:r>
        <w:rPr>
          <w:rFonts w:hint="eastAsia" w:ascii="仿宋" w:hAnsi="仿宋" w:eastAsia="仿宋" w:cs="仿宋"/>
          <w:b w:val="0"/>
          <w:bCs w:val="0"/>
          <w:kern w:val="2"/>
          <w:sz w:val="32"/>
          <w:szCs w:val="32"/>
          <w:lang w:val="en-US" w:eastAsia="zh-CN" w:bidi="ar-SA"/>
        </w:rPr>
        <w:t>通过该项目的实施，进一步改善郭勒布依村人居环境，缓解环卫工人压力，解决村垃圾乱倒无人清理、垃圾清运不便问题，有效提升郭勒布依村环境卫生和综合治理服务能力，加快城乡融合步伐，为乡村振兴建设提供基础条件。</w:t>
      </w:r>
    </w:p>
    <w:p>
      <w:pPr>
        <w:keepNext w:val="0"/>
        <w:keepLines w:val="0"/>
        <w:pageBreakBefore w:val="0"/>
        <w:widowControl/>
        <w:kinsoku/>
        <w:wordWrap/>
        <w:overflowPunct/>
        <w:topLinePunct w:val="0"/>
        <w:autoSpaceDE w:val="0"/>
        <w:autoSpaceDN w:val="0"/>
        <w:bidi w:val="0"/>
        <w:adjustRightInd/>
        <w:snapToGrid/>
        <w:spacing w:line="530" w:lineRule="exact"/>
        <w:ind w:leftChars="0"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w w:val="100"/>
          <w:sz w:val="32"/>
          <w:szCs w:val="32"/>
          <w:lang w:val="en-US" w:eastAsia="zh-CN"/>
        </w:rPr>
        <w:t>4、可持续性影响：</w:t>
      </w:r>
      <w:r>
        <w:rPr>
          <w:rFonts w:hint="eastAsia" w:ascii="仿宋" w:hAnsi="仿宋" w:eastAsia="仿宋" w:cs="仿宋"/>
          <w:b w:val="0"/>
          <w:bCs w:val="0"/>
          <w:kern w:val="2"/>
          <w:sz w:val="32"/>
          <w:szCs w:val="32"/>
          <w:lang w:val="en-US" w:eastAsia="zh-CN" w:bidi="ar-SA"/>
        </w:rPr>
        <w:t>项目的实施能够为郭勒布依村提供垃圾清理保障，提升本村综合服务治理能力，进一步改善群众生活品质，洒水车使用年限可达到15年以上。</w:t>
      </w:r>
    </w:p>
    <w:p>
      <w:pPr>
        <w:pStyle w:val="17"/>
        <w:keepNext w:val="0"/>
        <w:keepLines w:val="0"/>
        <w:pageBreakBefore w:val="0"/>
        <w:widowControl/>
        <w:kinsoku/>
        <w:wordWrap/>
        <w:overflowPunct/>
        <w:topLinePunct w:val="0"/>
        <w:autoSpaceDE w:val="0"/>
        <w:autoSpaceDN w:val="0"/>
        <w:bidi w:val="0"/>
        <w:snapToGrid/>
        <w:spacing w:line="530" w:lineRule="exact"/>
        <w:ind w:leftChars="0" w:firstLine="643" w:firstLineChars="200"/>
        <w:rPr>
          <w:rFonts w:hint="eastAsia" w:ascii="仿宋" w:hAnsi="仿宋" w:eastAsia="仿宋" w:cs="仿宋"/>
          <w:b w:val="0"/>
          <w:bCs w:val="0"/>
          <w:color w:val="auto"/>
          <w:kern w:val="2"/>
          <w:sz w:val="32"/>
          <w:szCs w:val="32"/>
          <w:lang w:val="en-US" w:eastAsia="zh-CN" w:bidi="ar-SA"/>
        </w:rPr>
      </w:pPr>
      <w:r>
        <w:rPr>
          <w:rFonts w:hint="eastAsia" w:ascii="仿宋_GB2312" w:hAnsi="仿宋_GB2312" w:eastAsia="仿宋_GB2312" w:cs="仿宋_GB2312"/>
          <w:b/>
          <w:bCs/>
          <w:sz w:val="32"/>
          <w:szCs w:val="32"/>
          <w:highlight w:val="none"/>
          <w:lang w:val="en-US" w:eastAsia="zh-CN"/>
        </w:rPr>
        <w:t>5、服务对象满意度：</w:t>
      </w:r>
      <w:r>
        <w:rPr>
          <w:rFonts w:hint="eastAsia" w:ascii="仿宋" w:hAnsi="仿宋" w:eastAsia="仿宋" w:cs="仿宋"/>
          <w:b w:val="0"/>
          <w:bCs w:val="0"/>
          <w:color w:val="auto"/>
          <w:kern w:val="2"/>
          <w:sz w:val="32"/>
          <w:szCs w:val="32"/>
          <w:lang w:val="en-US" w:eastAsia="zh-CN" w:bidi="ar-SA"/>
        </w:rPr>
        <w:t>该项目实施后，预计项目区受益群众满意度可达到90%以上，受益脱贫户及监测户人口满意度95%以上。</w:t>
      </w:r>
    </w:p>
    <w:p>
      <w:pPr>
        <w:pStyle w:val="17"/>
        <w:keepNext w:val="0"/>
        <w:keepLines w:val="0"/>
        <w:pageBreakBefore w:val="0"/>
        <w:widowControl/>
        <w:kinsoku/>
        <w:wordWrap/>
        <w:overflowPunct/>
        <w:topLinePunct w:val="0"/>
        <w:autoSpaceDE w:val="0"/>
        <w:autoSpaceDN w:val="0"/>
        <w:bidi w:val="0"/>
        <w:snapToGrid/>
        <w:spacing w:line="530" w:lineRule="exact"/>
        <w:ind w:leftChars="0" w:firstLine="640" w:firstLineChars="200"/>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八、风险防范机制</w:t>
      </w:r>
    </w:p>
    <w:p>
      <w:pPr>
        <w:pStyle w:val="15"/>
        <w:keepNext w:val="0"/>
        <w:keepLines w:val="0"/>
        <w:pageBreakBefore w:val="0"/>
        <w:widowControl w:val="0"/>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_GB2312" w:hAnsi="仿宋_GB2312" w:eastAsia="仿宋_GB2312" w:cs="仿宋_GB2312"/>
          <w:b/>
          <w:bCs/>
          <w:w w:val="100"/>
          <w:sz w:val="32"/>
          <w:szCs w:val="32"/>
          <w:lang w:val="en-US" w:eastAsia="zh-CN"/>
        </w:rPr>
        <w:t>（一）主要风险因素。</w:t>
      </w:r>
      <w:r>
        <w:rPr>
          <w:rFonts w:hint="eastAsia" w:ascii="仿宋" w:hAnsi="仿宋" w:eastAsia="仿宋" w:cs="仿宋"/>
          <w:b w:val="0"/>
          <w:bCs w:val="0"/>
          <w:color w:val="auto"/>
          <w:kern w:val="2"/>
          <w:sz w:val="32"/>
          <w:szCs w:val="32"/>
          <w:lang w:val="en-US" w:eastAsia="zh-CN" w:bidi="ar-SA"/>
        </w:rPr>
        <w:t>一是本项目风险主要来自成本控制及质量管理等。二是主要危害为质量不合格、实施拖延等，造成未能按期投入使用。三是市场价格风险：实际采购车辆、配套设施时，可能存在市场价格变动风险，导致实际价格与预算不符。四是后期管护风险：如果不制定有效的后期管理制度和维修保养规定，可能导致车辆损坏的可能性，减少正常使用寿命。</w:t>
      </w:r>
    </w:p>
    <w:p>
      <w:pPr>
        <w:pStyle w:val="15"/>
        <w:keepNext w:val="0"/>
        <w:keepLines w:val="0"/>
        <w:pageBreakBefore w:val="0"/>
        <w:widowControl w:val="0"/>
        <w:kinsoku/>
        <w:wordWrap/>
        <w:overflowPunct/>
        <w:topLinePunct w:val="0"/>
        <w:autoSpaceDE w:val="0"/>
        <w:autoSpaceDN w:val="0"/>
        <w:bidi w:val="0"/>
        <w:adjustRightInd/>
        <w:snapToGrid/>
        <w:spacing w:line="530" w:lineRule="exact"/>
        <w:ind w:left="0" w:leftChars="0" w:firstLine="643" w:firstLineChars="200"/>
        <w:textAlignment w:val="auto"/>
        <w:rPr>
          <w:rFonts w:hint="eastAsia" w:ascii="仿宋" w:hAnsi="仿宋" w:eastAsia="仿宋" w:cs="仿宋"/>
          <w:b w:val="0"/>
          <w:bCs w:val="0"/>
          <w:color w:val="auto"/>
          <w:kern w:val="2"/>
          <w:sz w:val="32"/>
          <w:szCs w:val="32"/>
          <w:lang w:val="en-US" w:eastAsia="zh-CN" w:bidi="ar-SA"/>
        </w:rPr>
      </w:pPr>
      <w:r>
        <w:rPr>
          <w:rFonts w:hint="eastAsia" w:ascii="仿宋_GB2312" w:hAnsi="仿宋_GB2312" w:eastAsia="仿宋_GB2312" w:cs="仿宋_GB2312"/>
          <w:b/>
          <w:bCs/>
          <w:w w:val="100"/>
          <w:sz w:val="32"/>
          <w:szCs w:val="32"/>
          <w:lang w:val="en-US" w:eastAsia="zh-CN"/>
        </w:rPr>
        <w:t>（二）防范化解措施</w:t>
      </w:r>
      <w:r>
        <w:rPr>
          <w:rFonts w:hint="eastAsia" w:ascii="仿宋_GB2312" w:hAnsi="仿宋_GB2312" w:eastAsia="仿宋_GB2312" w:cs="仿宋_GB2312"/>
          <w:b/>
          <w:bCs/>
          <w:kern w:val="2"/>
          <w:sz w:val="32"/>
          <w:szCs w:val="32"/>
          <w:lang w:val="en-US" w:eastAsia="zh-CN" w:bidi="ar-SA"/>
        </w:rPr>
        <w:t>。</w:t>
      </w:r>
      <w:r>
        <w:rPr>
          <w:rFonts w:hint="eastAsia" w:ascii="仿宋" w:hAnsi="仿宋" w:eastAsia="仿宋" w:cs="仿宋"/>
          <w:b w:val="0"/>
          <w:bCs w:val="0"/>
          <w:color w:val="auto"/>
          <w:kern w:val="2"/>
          <w:sz w:val="32"/>
          <w:szCs w:val="32"/>
          <w:lang w:val="en-US" w:eastAsia="zh-CN" w:bidi="ar-SA"/>
        </w:rPr>
        <w:t>一是做好设备采购和工程招标工作。实行公开招标，选择资质等级高、社会信誉好，同时投标技术方案成熟、项目报价合理的施工。从源头堵住由于供应方能力不足可能造成的风险因素。二是在施工过程中，按照预期制定的总进度计划，实施阶段落实。要求供应方建立质量保证和进度控制体系。三是严格按照要求采取政府采购，对厂家资质进行仔细核对，购买正规车辆。四是对市场进行调研，通过询价、招标等方式选择质量合格，服务有保障的采购方，降低采购成本，确保项目产品质量和服务质量。五是制定项目后期管理制度，签订项目管护协议书，安排专人定期对车辆进行保养。</w:t>
      </w:r>
    </w:p>
    <w:sectPr>
      <w:footerReference r:id="rId3" w:type="default"/>
      <w:pgSz w:w="11906" w:h="16838"/>
      <w:pgMar w:top="2098" w:right="1531" w:bottom="1984" w:left="1531"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8E71AC8-70DA-4117-BF01-F944C77FBF4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0" w:usb1="00000000" w:usb2="00000000" w:usb3="00000000" w:csb0="00000000" w:csb1="00000000"/>
    <w:embedRegular r:id="rId2" w:fontKey="{A39287F4-E8B6-42A6-9AEC-574D4004BAF6}"/>
  </w:font>
  <w:font w:name="HYb2gj">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000" w:usb1="00000000" w:usb2="00000000" w:usb3="00000000" w:csb0="00000000" w:csb1="00000000"/>
    <w:embedRegular r:id="rId3" w:fontKey="{6C532744-D033-4A12-BC55-AC4952B85BC0}"/>
  </w:font>
  <w:font w:name="方正小标宋简体">
    <w:panose1 w:val="02010600010101010101"/>
    <w:charset w:val="86"/>
    <w:family w:val="script"/>
    <w:pitch w:val="default"/>
    <w:sig w:usb0="00000000" w:usb1="00000000" w:usb2="00000000" w:usb3="00000000" w:csb0="00000000" w:csb1="00000000"/>
    <w:embedRegular r:id="rId4" w:fontKey="{66DF5F84-255D-48F9-9447-407203F42A13}"/>
  </w:font>
  <w:font w:name="仿宋">
    <w:panose1 w:val="02010609060101010101"/>
    <w:charset w:val="86"/>
    <w:family w:val="auto"/>
    <w:pitch w:val="default"/>
    <w:sig w:usb0="800002BF" w:usb1="38CF7CFA" w:usb2="00000016" w:usb3="00000000" w:csb0="00040001" w:csb1="00000000"/>
    <w:embedRegular r:id="rId5" w:fontKey="{1C3115B1-A914-4A8B-8E95-CE3A18B0FC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YjFjMmIwMDJjMWYwZTEyYTM2YTY5OTY1ZThiNWIifQ=="/>
  </w:docVars>
  <w:rsids>
    <w:rsidRoot w:val="66ED642F"/>
    <w:rsid w:val="00CD5E39"/>
    <w:rsid w:val="01473A0D"/>
    <w:rsid w:val="01582BC2"/>
    <w:rsid w:val="02743D10"/>
    <w:rsid w:val="032E3B5A"/>
    <w:rsid w:val="042C5A6F"/>
    <w:rsid w:val="04857397"/>
    <w:rsid w:val="0493661B"/>
    <w:rsid w:val="05281BA4"/>
    <w:rsid w:val="066F164B"/>
    <w:rsid w:val="06A050BD"/>
    <w:rsid w:val="07866C4E"/>
    <w:rsid w:val="085A2231"/>
    <w:rsid w:val="086A5DCC"/>
    <w:rsid w:val="0A93075F"/>
    <w:rsid w:val="0B223E73"/>
    <w:rsid w:val="0E3D48D7"/>
    <w:rsid w:val="0E462B7A"/>
    <w:rsid w:val="0F3714F8"/>
    <w:rsid w:val="0F374470"/>
    <w:rsid w:val="118A308F"/>
    <w:rsid w:val="11A551E2"/>
    <w:rsid w:val="128E689D"/>
    <w:rsid w:val="13180760"/>
    <w:rsid w:val="149F50E4"/>
    <w:rsid w:val="154B51FC"/>
    <w:rsid w:val="15D418DD"/>
    <w:rsid w:val="163D7042"/>
    <w:rsid w:val="16F83B85"/>
    <w:rsid w:val="17CC78C9"/>
    <w:rsid w:val="17DB219D"/>
    <w:rsid w:val="189701E7"/>
    <w:rsid w:val="191B0ED5"/>
    <w:rsid w:val="193B074C"/>
    <w:rsid w:val="19583388"/>
    <w:rsid w:val="199C51C6"/>
    <w:rsid w:val="19C41B53"/>
    <w:rsid w:val="1A313676"/>
    <w:rsid w:val="1A9F1DEB"/>
    <w:rsid w:val="1AC14EA7"/>
    <w:rsid w:val="1AFA56B8"/>
    <w:rsid w:val="1B1117F5"/>
    <w:rsid w:val="1B341875"/>
    <w:rsid w:val="1C51320C"/>
    <w:rsid w:val="1CCB1E4B"/>
    <w:rsid w:val="1D181F4A"/>
    <w:rsid w:val="1DD44CB0"/>
    <w:rsid w:val="1E924CB0"/>
    <w:rsid w:val="2001061D"/>
    <w:rsid w:val="20341978"/>
    <w:rsid w:val="203F6EF4"/>
    <w:rsid w:val="20D84D6A"/>
    <w:rsid w:val="22480700"/>
    <w:rsid w:val="225D18B2"/>
    <w:rsid w:val="228F1AEB"/>
    <w:rsid w:val="22F57AD0"/>
    <w:rsid w:val="23A95D9B"/>
    <w:rsid w:val="24BC7FCC"/>
    <w:rsid w:val="25394A15"/>
    <w:rsid w:val="268705C2"/>
    <w:rsid w:val="268E103F"/>
    <w:rsid w:val="28673056"/>
    <w:rsid w:val="28DF6C0D"/>
    <w:rsid w:val="29882D22"/>
    <w:rsid w:val="29D976B5"/>
    <w:rsid w:val="2B0C109E"/>
    <w:rsid w:val="2E67652F"/>
    <w:rsid w:val="2EA02CF2"/>
    <w:rsid w:val="2FFB6488"/>
    <w:rsid w:val="30A26165"/>
    <w:rsid w:val="30DA07BB"/>
    <w:rsid w:val="30ED6B14"/>
    <w:rsid w:val="31766F9E"/>
    <w:rsid w:val="33D3097E"/>
    <w:rsid w:val="34050249"/>
    <w:rsid w:val="3480553A"/>
    <w:rsid w:val="367D4548"/>
    <w:rsid w:val="36E50D82"/>
    <w:rsid w:val="37BE5938"/>
    <w:rsid w:val="3928717B"/>
    <w:rsid w:val="40455262"/>
    <w:rsid w:val="407B73DA"/>
    <w:rsid w:val="414D73AC"/>
    <w:rsid w:val="417D159C"/>
    <w:rsid w:val="41B15EC2"/>
    <w:rsid w:val="438E5CA4"/>
    <w:rsid w:val="4488746D"/>
    <w:rsid w:val="45A33196"/>
    <w:rsid w:val="49891867"/>
    <w:rsid w:val="49CC64A2"/>
    <w:rsid w:val="4A24314C"/>
    <w:rsid w:val="4D7C58C0"/>
    <w:rsid w:val="500B2151"/>
    <w:rsid w:val="50587C57"/>
    <w:rsid w:val="534357AA"/>
    <w:rsid w:val="55224D53"/>
    <w:rsid w:val="5527229C"/>
    <w:rsid w:val="55C85DEF"/>
    <w:rsid w:val="57C1141E"/>
    <w:rsid w:val="588C53E9"/>
    <w:rsid w:val="594A497B"/>
    <w:rsid w:val="599A7475"/>
    <w:rsid w:val="5B51448F"/>
    <w:rsid w:val="5B902A45"/>
    <w:rsid w:val="5BAF5A18"/>
    <w:rsid w:val="5C74653B"/>
    <w:rsid w:val="5CDE0169"/>
    <w:rsid w:val="5D455114"/>
    <w:rsid w:val="5EAC5CC5"/>
    <w:rsid w:val="5FEF45F4"/>
    <w:rsid w:val="600C6D10"/>
    <w:rsid w:val="60741FA9"/>
    <w:rsid w:val="60DE3B4A"/>
    <w:rsid w:val="61214BC8"/>
    <w:rsid w:val="6158609C"/>
    <w:rsid w:val="618777C6"/>
    <w:rsid w:val="61AE54CE"/>
    <w:rsid w:val="626845A6"/>
    <w:rsid w:val="62891B51"/>
    <w:rsid w:val="62CF278E"/>
    <w:rsid w:val="640A78AC"/>
    <w:rsid w:val="655F5C9E"/>
    <w:rsid w:val="66ED642F"/>
    <w:rsid w:val="67341CC6"/>
    <w:rsid w:val="67C25DBB"/>
    <w:rsid w:val="68FA048C"/>
    <w:rsid w:val="69ED2D1F"/>
    <w:rsid w:val="6A7D3A95"/>
    <w:rsid w:val="6A8B660B"/>
    <w:rsid w:val="6B2947D1"/>
    <w:rsid w:val="6B4562B4"/>
    <w:rsid w:val="6B9D4848"/>
    <w:rsid w:val="6C280DEE"/>
    <w:rsid w:val="6C313A0F"/>
    <w:rsid w:val="6DA4006D"/>
    <w:rsid w:val="6E4E2A84"/>
    <w:rsid w:val="6E50466D"/>
    <w:rsid w:val="6EA14A8D"/>
    <w:rsid w:val="6F422091"/>
    <w:rsid w:val="70440DBE"/>
    <w:rsid w:val="716D36D5"/>
    <w:rsid w:val="7208143B"/>
    <w:rsid w:val="73142885"/>
    <w:rsid w:val="7349737B"/>
    <w:rsid w:val="74171DD8"/>
    <w:rsid w:val="746B19D2"/>
    <w:rsid w:val="74E95683"/>
    <w:rsid w:val="74FE287D"/>
    <w:rsid w:val="75971777"/>
    <w:rsid w:val="76845770"/>
    <w:rsid w:val="76903409"/>
    <w:rsid w:val="78867465"/>
    <w:rsid w:val="790A126F"/>
    <w:rsid w:val="7A0D6713"/>
    <w:rsid w:val="7A1B081A"/>
    <w:rsid w:val="7A8D418E"/>
    <w:rsid w:val="7C2B3BF9"/>
    <w:rsid w:val="7D1D0907"/>
    <w:rsid w:val="7D8C2B96"/>
    <w:rsid w:val="7E7E1468"/>
    <w:rsid w:val="7F3A41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5">
    <w:name w:val="heading 3"/>
    <w:basedOn w:val="1"/>
    <w:next w:val="1"/>
    <w:qFormat/>
    <w:uiPriority w:val="99"/>
    <w:pPr>
      <w:keepNext/>
      <w:keepLines/>
      <w:spacing w:before="260" w:after="260" w:line="416" w:lineRule="auto"/>
      <w:outlineLvl w:val="2"/>
    </w:pPr>
    <w:rPr>
      <w:b/>
      <w:bCs/>
      <w:sz w:val="32"/>
      <w:szCs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Body Text First Indent1"/>
    <w:basedOn w:val="3"/>
    <w:next w:val="1"/>
    <w:qFormat/>
    <w:uiPriority w:val="0"/>
    <w:pPr>
      <w:spacing w:after="0"/>
      <w:ind w:firstLine="200" w:firstLineChars="200"/>
    </w:pPr>
  </w:style>
  <w:style w:type="paragraph" w:styleId="3">
    <w:name w:val="Body Text"/>
    <w:basedOn w:val="1"/>
    <w:next w:val="4"/>
    <w:qFormat/>
    <w:uiPriority w:val="0"/>
    <w:pPr>
      <w:spacing w:after="120"/>
    </w:pPr>
  </w:style>
  <w:style w:type="paragraph" w:styleId="4">
    <w:name w:val="footer"/>
    <w:basedOn w:val="1"/>
    <w:next w:val="1"/>
    <w:qFormat/>
    <w:uiPriority w:val="0"/>
    <w:pPr>
      <w:tabs>
        <w:tab w:val="center" w:pos="4153"/>
        <w:tab w:val="right" w:pos="8306"/>
      </w:tabs>
      <w:snapToGrid w:val="0"/>
      <w:jc w:val="left"/>
    </w:pPr>
    <w:rPr>
      <w:sz w:val="18"/>
    </w:rPr>
  </w:style>
  <w:style w:type="paragraph" w:styleId="6">
    <w:name w:val="Body Text Indent"/>
    <w:basedOn w:val="1"/>
    <w:qFormat/>
    <w:uiPriority w:val="99"/>
    <w:pPr>
      <w:spacing w:after="120"/>
      <w:ind w:left="420" w:leftChars="200"/>
    </w:p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styleId="9">
    <w:name w:val="Title"/>
    <w:basedOn w:val="1"/>
    <w:next w:val="1"/>
    <w:qFormat/>
    <w:uiPriority w:val="0"/>
    <w:pPr>
      <w:spacing w:before="240" w:after="60"/>
      <w:jc w:val="center"/>
      <w:outlineLvl w:val="0"/>
    </w:pPr>
    <w:rPr>
      <w:rFonts w:ascii="Arial" w:hAnsi="Arial" w:cs="Arial"/>
      <w:b/>
      <w:bCs/>
      <w:sz w:val="32"/>
      <w:szCs w:val="32"/>
    </w:rPr>
  </w:style>
  <w:style w:type="paragraph" w:styleId="10">
    <w:name w:val="Body Text First Indent 2"/>
    <w:basedOn w:val="6"/>
    <w:qFormat/>
    <w:uiPriority w:val="99"/>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_Style 1"/>
    <w:qFormat/>
    <w:uiPriority w:val="99"/>
    <w:pPr>
      <w:widowControl w:val="0"/>
      <w:ind w:firstLine="200" w:firstLineChars="200"/>
      <w:jc w:val="both"/>
    </w:pPr>
    <w:rPr>
      <w:rFonts w:ascii="Calibri" w:hAnsi="Calibri" w:eastAsia="仿宋_GB2312" w:cs="Times New Roman"/>
      <w:kern w:val="2"/>
      <w:sz w:val="24"/>
      <w:szCs w:val="22"/>
      <w:lang w:val="en-US" w:eastAsia="zh-CN" w:bidi="ar-SA"/>
    </w:rPr>
  </w:style>
  <w:style w:type="paragraph" w:customStyle="1" w:styleId="15">
    <w:name w:val="列表段落1"/>
    <w:basedOn w:val="1"/>
    <w:qFormat/>
    <w:uiPriority w:val="34"/>
    <w:pPr>
      <w:ind w:firstLine="420" w:firstLineChars="200"/>
    </w:pPr>
  </w:style>
  <w:style w:type="paragraph" w:styleId="16">
    <w:name w:val="List Paragraph"/>
    <w:basedOn w:val="1"/>
    <w:qFormat/>
    <w:uiPriority w:val="34"/>
    <w:pPr>
      <w:ind w:firstLine="420" w:firstLineChars="200"/>
    </w:pPr>
  </w:style>
  <w:style w:type="paragraph" w:customStyle="1" w:styleId="17">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858</Words>
  <Characters>903</Characters>
  <Lines>0</Lines>
  <Paragraphs>0</Paragraphs>
  <TotalTime>2</TotalTime>
  <ScaleCrop>false</ScaleCrop>
  <LinksUpToDate>false</LinksUpToDate>
  <CharactersWithSpaces>909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2023-10-26T08:14:00Z</dcterms:created>
  <dc:creator>hdc</dc:creator>
  <cp:lastModifiedBy>Administrator</cp:lastModifiedBy>
  <dcterms:modified xsi:type="dcterms:W3CDTF">2025-07-02T01:59:59Z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83351EF41E4A4A65A712EB6F5BBB4146</vt:lpwstr>
  </property>
  <property fmtid="{D5CDD505-2E9C-101B-9397-08002B2CF9AE}" pid="4" name="KSOTemplateDocerSaveRecord">
    <vt:lpwstr>eyJoZGlkIjoiMGViYjFjMmIwMDJjMWYwZTEyYTM2YTY5OTY1ZThiNWIiLCJ1c2VySWQiOiI0MDgzNTQxMjQifQ==</vt:lpwstr>
  </property>
</Properties>
</file>