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ageBreakBefore w:val="0"/>
        <w:kinsoku/>
        <w:wordWrap/>
        <w:overflowPunct/>
        <w:topLinePunct w:val="0"/>
        <w:bidi w:val="0"/>
        <w:snapToGrid/>
        <w:spacing w:before="0" w:after="0" w:line="560" w:lineRule="exact"/>
        <w:jc w:val="both"/>
        <w:rPr>
          <w:rFonts w:hint="eastAsia"/>
        </w:rPr>
      </w:pPr>
    </w:p>
    <w:p>
      <w:pPr>
        <w:rPr>
          <w:rFonts w:hint="eastAsia"/>
        </w:rPr>
      </w:pPr>
    </w:p>
    <w:p>
      <w:pPr>
        <w:pStyle w:val="8"/>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伊拉湖镇阿克塔格村垃圾箱采购项目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pacing w:val="0"/>
          <w:sz w:val="44"/>
          <w:szCs w:val="44"/>
        </w:rPr>
      </w:pPr>
      <w:r>
        <w:rPr>
          <w:rFonts w:hint="eastAsia" w:ascii="方正小标宋简体" w:hAnsi="方正小标宋简体" w:eastAsia="方正小标宋简体" w:cs="方正小标宋简体"/>
          <w:b w:val="0"/>
          <w:bCs w:val="0"/>
          <w:spacing w:val="0"/>
          <w:sz w:val="44"/>
          <w:szCs w:val="44"/>
        </w:rPr>
        <w:t>实施方案</w:t>
      </w:r>
    </w:p>
    <w:p>
      <w:pPr>
        <w:pageBreakBefore w:val="0"/>
        <w:kinsoku/>
        <w:wordWrap/>
        <w:overflowPunct/>
        <w:topLinePunct w:val="0"/>
        <w:bidi w:val="0"/>
        <w:snapToGrid/>
        <w:spacing w:line="560" w:lineRule="exact"/>
        <w:rPr>
          <w:highlight w:val="none"/>
        </w:rPr>
      </w:pPr>
    </w:p>
    <w:p>
      <w:pPr>
        <w:pStyle w:val="4"/>
        <w:pageBreakBefore w:val="0"/>
        <w:kinsoku/>
        <w:wordWrap/>
        <w:overflowPunct/>
        <w:topLinePunct w:val="0"/>
        <w:autoSpaceDE w:val="0"/>
        <w:autoSpaceDN w:val="0"/>
        <w:bidi w:val="0"/>
        <w:adjustRightInd w:val="0"/>
        <w:snapToGrid/>
        <w:spacing w:line="560" w:lineRule="exact"/>
        <w:jc w:val="left"/>
        <w:rPr>
          <w:highlight w:val="none"/>
        </w:rPr>
      </w:pPr>
    </w:p>
    <w:p>
      <w:pPr>
        <w:pStyle w:val="4"/>
        <w:pageBreakBefore w:val="0"/>
        <w:kinsoku/>
        <w:wordWrap/>
        <w:overflowPunct/>
        <w:topLinePunct w:val="0"/>
        <w:autoSpaceDE w:val="0"/>
        <w:autoSpaceDN w:val="0"/>
        <w:bidi w:val="0"/>
        <w:adjustRightInd w:val="0"/>
        <w:snapToGrid/>
        <w:spacing w:line="560" w:lineRule="exact"/>
        <w:jc w:val="left"/>
        <w:rPr>
          <w:highlight w:val="none"/>
        </w:rPr>
      </w:pPr>
    </w:p>
    <w:p>
      <w:pPr>
        <w:pStyle w:val="4"/>
        <w:pageBreakBefore w:val="0"/>
        <w:kinsoku/>
        <w:wordWrap/>
        <w:overflowPunct/>
        <w:topLinePunct w:val="0"/>
        <w:autoSpaceDE w:val="0"/>
        <w:autoSpaceDN w:val="0"/>
        <w:bidi w:val="0"/>
        <w:adjustRightInd w:val="0"/>
        <w:snapToGrid/>
        <w:spacing w:line="560" w:lineRule="exact"/>
        <w:jc w:val="left"/>
        <w:rPr>
          <w:highlight w:val="none"/>
        </w:rPr>
      </w:pPr>
    </w:p>
    <w:p>
      <w:pPr>
        <w:pStyle w:val="4"/>
        <w:pageBreakBefore w:val="0"/>
        <w:kinsoku/>
        <w:wordWrap/>
        <w:overflowPunct/>
        <w:topLinePunct w:val="0"/>
        <w:autoSpaceDE w:val="0"/>
        <w:autoSpaceDN w:val="0"/>
        <w:bidi w:val="0"/>
        <w:adjustRightInd w:val="0"/>
        <w:snapToGrid/>
        <w:spacing w:line="560" w:lineRule="exact"/>
        <w:jc w:val="left"/>
        <w:rPr>
          <w:highlight w:val="none"/>
        </w:rPr>
      </w:pPr>
    </w:p>
    <w:p>
      <w:pPr>
        <w:pStyle w:val="4"/>
        <w:pageBreakBefore w:val="0"/>
        <w:kinsoku/>
        <w:wordWrap/>
        <w:overflowPunct/>
        <w:topLinePunct w:val="0"/>
        <w:autoSpaceDE w:val="0"/>
        <w:autoSpaceDN w:val="0"/>
        <w:bidi w:val="0"/>
        <w:adjustRightInd w:val="0"/>
        <w:snapToGrid/>
        <w:spacing w:line="560" w:lineRule="exact"/>
        <w:jc w:val="left"/>
        <w:rPr>
          <w:highlight w:val="none"/>
        </w:rPr>
      </w:pPr>
    </w:p>
    <w:p>
      <w:pPr>
        <w:pStyle w:val="4"/>
        <w:pageBreakBefore w:val="0"/>
        <w:kinsoku/>
        <w:wordWrap/>
        <w:overflowPunct/>
        <w:topLinePunct w:val="0"/>
        <w:autoSpaceDE w:val="0"/>
        <w:autoSpaceDN w:val="0"/>
        <w:bidi w:val="0"/>
        <w:adjustRightInd w:val="0"/>
        <w:snapToGrid/>
        <w:spacing w:line="560" w:lineRule="exact"/>
        <w:jc w:val="left"/>
        <w:rPr>
          <w:highlight w:val="none"/>
        </w:rPr>
      </w:pPr>
    </w:p>
    <w:p>
      <w:pPr>
        <w:pStyle w:val="4"/>
        <w:pageBreakBefore w:val="0"/>
        <w:kinsoku/>
        <w:wordWrap/>
        <w:overflowPunct/>
        <w:topLinePunct w:val="0"/>
        <w:autoSpaceDE w:val="0"/>
        <w:autoSpaceDN w:val="0"/>
        <w:bidi w:val="0"/>
        <w:adjustRightInd w:val="0"/>
        <w:snapToGrid/>
        <w:spacing w:line="560" w:lineRule="exact"/>
        <w:ind w:left="0" w:leftChars="0"/>
        <w:jc w:val="left"/>
        <w:rPr>
          <w:rFonts w:hint="default" w:ascii="Times New Roman" w:hAnsi="Times New Roman" w:eastAsia="仿宋_GB2312" w:cs="Times New Roman"/>
          <w:w w:val="100"/>
          <w:kern w:val="2"/>
          <w:sz w:val="32"/>
          <w:szCs w:val="32"/>
          <w:highlight w:val="none"/>
          <w:lang w:val="en-US" w:eastAsia="zh-CN" w:bidi="ar-SA"/>
        </w:rPr>
      </w:pPr>
    </w:p>
    <w:p>
      <w:pPr>
        <w:pStyle w:val="4"/>
        <w:pageBreakBefore w:val="0"/>
        <w:kinsoku/>
        <w:wordWrap/>
        <w:overflowPunct/>
        <w:topLinePunct w:val="0"/>
        <w:autoSpaceDE w:val="0"/>
        <w:autoSpaceDN w:val="0"/>
        <w:bidi w:val="0"/>
        <w:adjustRightInd w:val="0"/>
        <w:snapToGrid/>
        <w:spacing w:line="560" w:lineRule="exact"/>
        <w:ind w:left="0" w:leftChars="0"/>
        <w:jc w:val="left"/>
        <w:rPr>
          <w:rFonts w:hint="default" w:ascii="Times New Roman" w:hAnsi="Times New Roman" w:eastAsia="仿宋_GB2312" w:cs="Times New Roman"/>
          <w:w w:val="100"/>
          <w:kern w:val="2"/>
          <w:sz w:val="32"/>
          <w:szCs w:val="32"/>
          <w:highlight w:val="none"/>
          <w:lang w:val="en-US" w:eastAsia="zh-CN" w:bidi="ar-SA"/>
        </w:rPr>
      </w:pPr>
    </w:p>
    <w:p>
      <w:pPr>
        <w:pStyle w:val="4"/>
        <w:pageBreakBefore w:val="0"/>
        <w:kinsoku/>
        <w:wordWrap/>
        <w:overflowPunct/>
        <w:topLinePunct w:val="0"/>
        <w:autoSpaceDE w:val="0"/>
        <w:autoSpaceDN w:val="0"/>
        <w:bidi w:val="0"/>
        <w:adjustRightInd w:val="0"/>
        <w:snapToGrid/>
        <w:spacing w:line="560" w:lineRule="exact"/>
        <w:ind w:left="0" w:leftChars="0"/>
        <w:jc w:val="left"/>
        <w:rPr>
          <w:rFonts w:hint="default" w:ascii="Times New Roman" w:hAnsi="Times New Roman" w:eastAsia="仿宋_GB2312" w:cs="Times New Roman"/>
          <w:w w:val="100"/>
          <w:kern w:val="2"/>
          <w:sz w:val="32"/>
          <w:szCs w:val="32"/>
          <w:highlight w:val="none"/>
          <w:lang w:val="en-US" w:eastAsia="zh-CN" w:bidi="ar-SA"/>
        </w:rPr>
      </w:pPr>
    </w:p>
    <w:p>
      <w:pPr>
        <w:keepNext/>
        <w:keepLines w:val="0"/>
        <w:pageBreakBefore w:val="0"/>
        <w:widowControl w:val="0"/>
        <w:kinsoku/>
        <w:wordWrap/>
        <w:overflowPunct/>
        <w:topLinePunct w:val="0"/>
        <w:autoSpaceDE/>
        <w:autoSpaceDN/>
        <w:bidi w:val="0"/>
        <w:adjustRightInd/>
        <w:snapToGrid/>
        <w:spacing w:line="560" w:lineRule="exact"/>
        <w:ind w:firstLine="1280" w:firstLineChars="4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项</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目</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名</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称</w:t>
      </w:r>
      <w:r>
        <w:rPr>
          <w:rFonts w:hint="eastAsia" w:ascii="方正黑体简体" w:hAnsi="方正黑体简体" w:eastAsia="方正黑体简体"/>
          <w:sz w:val="32"/>
          <w:szCs w:val="32"/>
        </w:rPr>
        <w:t>：</w:t>
      </w:r>
      <w:bookmarkStart w:id="0" w:name="OLE_LINK1"/>
      <w:r>
        <w:rPr>
          <w:rFonts w:hint="eastAsia" w:ascii="黑体" w:hAnsi="黑体" w:eastAsia="黑体" w:cs="黑体"/>
          <w:b w:val="0"/>
          <w:bCs w:val="0"/>
          <w:sz w:val="32"/>
          <w:szCs w:val="32"/>
          <w:lang w:val="en-US" w:eastAsia="zh-CN"/>
        </w:rPr>
        <w:t>伊拉湖镇阿克塔格村垃圾箱采购项目</w:t>
      </w:r>
      <w:bookmarkEnd w:id="0"/>
    </w:p>
    <w:p>
      <w:pPr>
        <w:keepNext/>
        <w:keepLines w:val="0"/>
        <w:pageBreakBefore w:val="0"/>
        <w:widowControl w:val="0"/>
        <w:kinsoku/>
        <w:wordWrap/>
        <w:overflowPunct/>
        <w:topLinePunct w:val="0"/>
        <w:autoSpaceDE/>
        <w:autoSpaceDN/>
        <w:bidi w:val="0"/>
        <w:spacing w:line="560" w:lineRule="exact"/>
        <w:ind w:firstLine="1280" w:firstLineChars="400"/>
        <w:jc w:val="both"/>
        <w:rPr>
          <w:rFonts w:hint="default"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项目主管单位：</w:t>
      </w:r>
      <w:bookmarkStart w:id="1" w:name="OLE_LINK2"/>
      <w:r>
        <w:rPr>
          <w:rFonts w:hint="eastAsia" w:ascii="黑体" w:hAnsi="黑体" w:eastAsia="黑体" w:cs="黑体"/>
          <w:b w:val="0"/>
          <w:bCs w:val="0"/>
          <w:sz w:val="32"/>
          <w:szCs w:val="32"/>
          <w:lang w:val="en-US" w:eastAsia="zh-CN"/>
        </w:rPr>
        <w:t>托克逊县乡村振兴局</w:t>
      </w:r>
      <w:bookmarkEnd w:id="1"/>
    </w:p>
    <w:p>
      <w:pPr>
        <w:keepNext/>
        <w:keepLines w:val="0"/>
        <w:pageBreakBefore w:val="0"/>
        <w:widowControl w:val="0"/>
        <w:kinsoku/>
        <w:wordWrap/>
        <w:overflowPunct/>
        <w:topLinePunct w:val="0"/>
        <w:autoSpaceDE/>
        <w:autoSpaceDN/>
        <w:bidi w:val="0"/>
        <w:spacing w:line="560" w:lineRule="exact"/>
        <w:ind w:firstLine="1280" w:firstLineChars="400"/>
        <w:jc w:val="both"/>
        <w:rPr>
          <w:rFonts w:hint="default" w:ascii="仿宋_GB2312" w:hAnsi="仿宋_GB2312" w:eastAsia="黑体" w:cs="仿宋_GB2312"/>
          <w:b w:val="0"/>
          <w:bCs w:val="0"/>
          <w:sz w:val="32"/>
          <w:szCs w:val="32"/>
          <w:lang w:val="en-US" w:eastAsia="zh-CN"/>
        </w:rPr>
      </w:pPr>
      <w:r>
        <w:rPr>
          <w:rFonts w:hint="eastAsia" w:ascii="黑体" w:hAnsi="黑体" w:eastAsia="黑体" w:cs="黑体"/>
          <w:b w:val="0"/>
          <w:bCs w:val="0"/>
          <w:sz w:val="32"/>
          <w:szCs w:val="32"/>
        </w:rPr>
        <w:t>项目实施单位：</w:t>
      </w:r>
      <w:r>
        <w:rPr>
          <w:rFonts w:hint="eastAsia" w:ascii="黑体" w:hAnsi="黑体" w:eastAsia="黑体" w:cs="黑体"/>
          <w:b w:val="0"/>
          <w:bCs w:val="0"/>
          <w:sz w:val="32"/>
          <w:szCs w:val="32"/>
          <w:lang w:val="en-US" w:eastAsia="zh-CN"/>
        </w:rPr>
        <w:t>托克逊县</w:t>
      </w:r>
      <w:r>
        <w:rPr>
          <w:rFonts w:hint="default" w:ascii="黑体" w:hAnsi="黑体" w:eastAsia="黑体" w:cs="黑体"/>
          <w:b w:val="0"/>
          <w:bCs w:val="0"/>
          <w:sz w:val="32"/>
          <w:szCs w:val="32"/>
          <w:lang w:val="en-US" w:eastAsia="zh-CN"/>
        </w:rPr>
        <w:t>伊拉湖镇</w:t>
      </w:r>
      <w:r>
        <w:rPr>
          <w:rFonts w:hint="eastAsia" w:ascii="黑体" w:hAnsi="黑体" w:eastAsia="黑体" w:cs="黑体"/>
          <w:b w:val="0"/>
          <w:bCs w:val="0"/>
          <w:sz w:val="32"/>
          <w:szCs w:val="32"/>
          <w:lang w:val="en-US" w:eastAsia="zh-CN"/>
        </w:rPr>
        <w:t>人民政府</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jc w:val="both"/>
        <w:textAlignment w:val="auto"/>
        <w:rPr>
          <w:rFonts w:hint="eastAsia" w:ascii="宋体" w:hAnsi="宋体" w:eastAsia="宋体" w:cs="宋体"/>
          <w:spacing w:val="0"/>
          <w:kern w:val="0"/>
          <w:sz w:val="44"/>
          <w:szCs w:val="44"/>
        </w:rPr>
      </w:pPr>
      <w:r>
        <w:rPr>
          <w:rFonts w:hint="eastAsia" w:ascii="黑体" w:hAnsi="黑体" w:eastAsia="黑体" w:cs="黑体"/>
          <w:b w:val="0"/>
          <w:bCs w:val="0"/>
          <w:sz w:val="32"/>
          <w:szCs w:val="32"/>
        </w:rPr>
        <w:t>编</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制</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时</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间：</w:t>
      </w:r>
      <w:r>
        <w:rPr>
          <w:rFonts w:hint="eastAsia" w:ascii="黑体" w:hAnsi="黑体" w:eastAsia="黑体" w:cs="黑体"/>
          <w:b w:val="0"/>
          <w:bCs w:val="0"/>
          <w:sz w:val="32"/>
          <w:szCs w:val="32"/>
          <w:lang w:val="en-US" w:eastAsia="zh-CN"/>
        </w:rPr>
        <w:t>2025年5月29日</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jc w:val="both"/>
        <w:textAlignment w:val="auto"/>
        <w:rPr>
          <w:rFonts w:hint="eastAsia" w:ascii="黑体" w:hAnsi="黑体" w:eastAsia="黑体" w:cs="黑体"/>
          <w:b w:val="0"/>
          <w:bCs w:val="0"/>
          <w:w w:val="100"/>
          <w:sz w:val="44"/>
          <w:szCs w:val="44"/>
          <w:highlight w:val="none"/>
          <w:lang w:val="en-US" w:eastAsia="zh-CN"/>
        </w:rPr>
      </w:pP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jc w:val="center"/>
        <w:textAlignment w:val="auto"/>
        <w:rPr>
          <w:rFonts w:hint="eastAsia" w:ascii="黑体" w:hAnsi="黑体" w:eastAsia="黑体" w:cs="黑体"/>
          <w:b w:val="0"/>
          <w:bCs w:val="0"/>
          <w:w w:val="100"/>
          <w:sz w:val="44"/>
          <w:szCs w:val="44"/>
          <w:highlight w:val="none"/>
          <w:lang w:val="en-US" w:eastAsia="zh-CN"/>
        </w:rPr>
        <w:sectPr>
          <w:pgSz w:w="11906" w:h="16838"/>
          <w:pgMar w:top="2098" w:right="1474" w:bottom="2098" w:left="1531" w:header="851" w:footer="992" w:gutter="0"/>
          <w:pgBorders>
            <w:top w:val="none" w:sz="0" w:space="0"/>
            <w:left w:val="none" w:sz="0" w:space="0"/>
            <w:bottom w:val="none" w:sz="0" w:space="0"/>
            <w:right w:val="none" w:sz="0" w:space="0"/>
          </w:pgBorders>
          <w:cols w:space="720" w:num="1"/>
          <w:docGrid w:linePitch="286" w:charSpace="0"/>
        </w:sectPr>
      </w:pPr>
    </w:p>
    <w:p>
      <w:pPr>
        <w:keepNext w:val="0"/>
        <w:keepLines w:val="0"/>
        <w:pageBreakBefore w:val="0"/>
        <w:widowControl w:val="0"/>
        <w:numPr>
          <w:ilvl w:val="0"/>
          <w:numId w:val="0"/>
        </w:numPr>
        <w:kinsoku/>
        <w:wordWrap/>
        <w:overflowPunct/>
        <w:topLinePunct w:val="0"/>
        <w:autoSpaceDE w:val="0"/>
        <w:autoSpaceDN/>
        <w:bidi w:val="0"/>
        <w:adjustRightInd/>
        <w:snapToGrid/>
        <w:spacing w:line="360" w:lineRule="auto"/>
        <w:jc w:val="center"/>
        <w:textAlignment w:val="auto"/>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伊拉湖镇阿克塔格村垃圾箱采购项目</w:t>
      </w:r>
    </w:p>
    <w:p>
      <w:pPr>
        <w:keepNext w:val="0"/>
        <w:keepLines w:val="0"/>
        <w:pageBreakBefore w:val="0"/>
        <w:widowControl w:val="0"/>
        <w:numPr>
          <w:ilvl w:val="0"/>
          <w:numId w:val="0"/>
        </w:numPr>
        <w:kinsoku/>
        <w:wordWrap/>
        <w:overflowPunct/>
        <w:topLinePunct w:val="0"/>
        <w:autoSpaceDE w:val="0"/>
        <w:autoSpaceDN/>
        <w:bidi w:val="0"/>
        <w:adjustRightInd/>
        <w:snapToGrid/>
        <w:spacing w:line="360" w:lineRule="auto"/>
        <w:jc w:val="center"/>
        <w:textAlignment w:val="auto"/>
        <w:rPr>
          <w:rFonts w:hint="eastAsia" w:ascii="黑体" w:hAnsi="黑体" w:eastAsia="黑体" w:cs="黑体"/>
          <w:b w:val="0"/>
          <w:bCs w:val="0"/>
          <w:w w:val="100"/>
          <w:sz w:val="44"/>
          <w:szCs w:val="44"/>
          <w:highlight w:val="none"/>
          <w:lang w:val="en-US" w:eastAsia="zh-CN"/>
        </w:rPr>
      </w:pPr>
      <w:r>
        <w:rPr>
          <w:rFonts w:hint="eastAsia" w:ascii="方正小标宋简体" w:hAnsi="方正小标宋简体" w:eastAsia="方正小标宋简体" w:cs="方正小标宋简体"/>
          <w:b w:val="0"/>
          <w:bCs w:val="0"/>
          <w:spacing w:val="0"/>
          <w:sz w:val="44"/>
          <w:szCs w:val="44"/>
        </w:rPr>
        <w:t>实施方案</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textAlignment w:val="auto"/>
        <w:rPr>
          <w:rFonts w:hint="eastAsia" w:ascii="黑体" w:hAnsi="黑体" w:eastAsia="黑体" w:cs="黑体"/>
          <w:b/>
          <w:bCs/>
          <w:sz w:val="32"/>
          <w:szCs w:val="32"/>
          <w:lang w:val="en-US" w:eastAsia="zh-CN"/>
        </w:rPr>
      </w:pP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一、项目概况</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rPr>
          <w:rFonts w:ascii="Times New Roman" w:hAnsi="Times New Roman" w:eastAsia="仿宋_GB2312" w:cs="Times New Roman"/>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项目名称</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伊拉湖镇</w:t>
      </w:r>
      <w:bookmarkStart w:id="2" w:name="OLE_LINK3"/>
      <w:r>
        <w:rPr>
          <w:rFonts w:hint="eastAsia" w:ascii="仿宋_GB2312" w:hAnsi="仿宋_GB2312" w:eastAsia="仿宋_GB2312" w:cs="仿宋_GB2312"/>
          <w:b w:val="0"/>
          <w:bCs w:val="0"/>
          <w:sz w:val="32"/>
          <w:szCs w:val="32"/>
          <w:lang w:val="en-US" w:eastAsia="zh-CN"/>
        </w:rPr>
        <w:t>阿克塔格村</w:t>
      </w:r>
      <w:bookmarkEnd w:id="2"/>
      <w:r>
        <w:rPr>
          <w:rFonts w:hint="eastAsia" w:ascii="仿宋_GB2312" w:hAnsi="仿宋_GB2312" w:eastAsia="仿宋_GB2312" w:cs="仿宋_GB2312"/>
          <w:b w:val="0"/>
          <w:bCs w:val="0"/>
          <w:sz w:val="32"/>
          <w:szCs w:val="32"/>
          <w:lang w:val="en-US" w:eastAsia="zh-CN"/>
        </w:rPr>
        <w:t>垃圾箱采购项目</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rPr>
          <w:rFonts w:hint="default" w:ascii="仿宋_GB2312" w:hAnsi="Calibri" w:eastAsia="仿宋_GB2312" w:cs="Times New Roman"/>
          <w:sz w:val="32"/>
          <w:szCs w:val="32"/>
          <w:lang w:val="en-US" w:eastAsia="zh-CN"/>
        </w:rPr>
      </w:pPr>
      <w:r>
        <w:rPr>
          <w:rFonts w:hint="eastAsia" w:ascii="仿宋_GB2312" w:hAnsi="仿宋_GB2312" w:eastAsia="仿宋_GB2312" w:cs="仿宋_GB2312"/>
          <w:b/>
          <w:bCs/>
          <w:sz w:val="32"/>
          <w:szCs w:val="32"/>
        </w:rPr>
        <w:t>2、项目库编号</w:t>
      </w:r>
      <w:r>
        <w:rPr>
          <w:rFonts w:hint="eastAsia" w:ascii="仿宋_GB2312" w:hAnsi="仿宋_GB2312" w:eastAsia="仿宋_GB2312" w:cs="仿宋_GB2312"/>
          <w:sz w:val="32"/>
          <w:szCs w:val="32"/>
        </w:rPr>
        <w:t>：TKX0191</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3、项目实施单位</w:t>
      </w:r>
      <w:r>
        <w:rPr>
          <w:rFonts w:hint="eastAsia" w:ascii="仿宋_GB2312" w:hAnsi="仿宋_GB2312" w:eastAsia="仿宋_GB2312" w:cs="仿宋_GB2312"/>
          <w:b/>
          <w:bCs/>
          <w:sz w:val="32"/>
          <w:szCs w:val="32"/>
          <w:lang w:val="en-US" w:eastAsia="zh-CN"/>
        </w:rPr>
        <w:t>及负责人</w:t>
      </w:r>
      <w:r>
        <w:rPr>
          <w:rFonts w:hint="eastAsia" w:ascii="仿宋_GB2312" w:hAnsi="仿宋_GB2312" w:eastAsia="仿宋_GB2312" w:cs="仿宋_GB2312"/>
          <w:b/>
          <w:bCs/>
          <w:sz w:val="32"/>
          <w:szCs w:val="32"/>
        </w:rPr>
        <w:t>：</w:t>
      </w:r>
      <w:r>
        <w:rPr>
          <w:rFonts w:hint="eastAsia" w:ascii="仿宋_GB2312" w:hAnsi="仿宋_GB2312" w:eastAsia="仿宋_GB2312" w:cs="仿宋_GB2312"/>
          <w:b w:val="0"/>
          <w:bCs w:val="0"/>
          <w:sz w:val="32"/>
          <w:szCs w:val="32"/>
          <w:lang w:val="en-US" w:eastAsia="zh-CN"/>
        </w:rPr>
        <w:t>托克逊县</w:t>
      </w:r>
      <w:r>
        <w:rPr>
          <w:rFonts w:hint="eastAsia" w:ascii="仿宋_GB2312" w:hAnsi="仿宋_GB2312" w:eastAsia="仿宋_GB2312" w:cs="仿宋_GB2312"/>
          <w:b w:val="0"/>
          <w:bCs w:val="0"/>
          <w:sz w:val="32"/>
          <w:szCs w:val="32"/>
          <w:lang w:eastAsia="zh-CN"/>
        </w:rPr>
        <w:t>伊拉湖镇人民政府</w:t>
      </w:r>
      <w:r>
        <w:rPr>
          <w:rFonts w:hint="eastAsia" w:ascii="仿宋_GB2312" w:hAnsi="仿宋_GB2312" w:eastAsia="仿宋_GB2312" w:cs="仿宋_GB2312"/>
          <w:b w:val="0"/>
          <w:bCs w:val="0"/>
          <w:sz w:val="32"/>
          <w:szCs w:val="32"/>
          <w:lang w:val="en-US" w:eastAsia="zh-CN"/>
        </w:rPr>
        <w:t>（法人：伊拉湖镇党委副书记、镇长  雅各布·库尔班）</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1285" w:firstLineChars="4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项目负责人：</w:t>
      </w:r>
      <w:r>
        <w:rPr>
          <w:rFonts w:hint="eastAsia" w:ascii="Times New Roman" w:hAnsi="Times New Roman" w:eastAsia="仿宋_GB2312" w:cs="Times New Roman"/>
          <w:w w:val="100"/>
          <w:sz w:val="32"/>
          <w:szCs w:val="32"/>
          <w:highlight w:val="none"/>
          <w:lang w:val="en-US" w:eastAsia="zh-CN"/>
        </w:rPr>
        <w:t>张丰</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4、</w:t>
      </w:r>
      <w:r>
        <w:rPr>
          <w:rFonts w:hint="eastAsia" w:ascii="仿宋_GB2312" w:hAnsi="仿宋_GB2312" w:eastAsia="仿宋_GB2312" w:cs="仿宋_GB2312"/>
          <w:b/>
          <w:bCs/>
          <w:sz w:val="32"/>
          <w:szCs w:val="32"/>
          <w:lang w:val="en-US" w:eastAsia="zh-CN"/>
        </w:rPr>
        <w:t>项目行政主管单位：</w:t>
      </w:r>
      <w:r>
        <w:rPr>
          <w:rFonts w:hint="eastAsia" w:ascii="仿宋_GB2312" w:hAnsi="仿宋_GB2312" w:eastAsia="仿宋_GB2312" w:cs="仿宋_GB2312"/>
          <w:b w:val="0"/>
          <w:bCs w:val="0"/>
          <w:sz w:val="32"/>
          <w:szCs w:val="32"/>
          <w:lang w:val="en-US" w:eastAsia="zh-CN"/>
        </w:rPr>
        <w:t>托克逊县乡村振兴局</w:t>
      </w:r>
    </w:p>
    <w:p>
      <w:pPr>
        <w:pStyle w:val="8"/>
        <w:pageBreakBefore w:val="0"/>
        <w:kinsoku/>
        <w:wordWrap/>
        <w:overflowPunct/>
        <w:topLinePunct w:val="0"/>
        <w:bidi w:val="0"/>
        <w:snapToGrid/>
        <w:spacing w:line="560" w:lineRule="exact"/>
        <w:ind w:firstLine="1285" w:firstLineChars="400"/>
        <w:rPr>
          <w:rFonts w:hint="eastAsia"/>
          <w:lang w:val="en-US" w:eastAsia="zh-CN"/>
        </w:rPr>
      </w:pPr>
      <w:r>
        <w:rPr>
          <w:rFonts w:hint="eastAsia" w:ascii="仿宋_GB2312" w:hAnsi="仿宋_GB2312" w:eastAsia="仿宋_GB2312" w:cs="仿宋_GB2312"/>
          <w:b/>
          <w:bCs/>
          <w:sz w:val="32"/>
          <w:szCs w:val="32"/>
          <w:lang w:val="en-US" w:eastAsia="zh-CN"/>
        </w:rPr>
        <w:t>项目行业主管单位：</w:t>
      </w:r>
      <w:r>
        <w:rPr>
          <w:rFonts w:hint="eastAsia" w:ascii="仿宋_GB2312" w:hAnsi="仿宋_GB2312" w:eastAsia="仿宋_GB2312" w:cs="仿宋_GB2312"/>
          <w:b w:val="0"/>
          <w:bCs w:val="0"/>
          <w:sz w:val="32"/>
          <w:szCs w:val="32"/>
          <w:lang w:val="en-US" w:eastAsia="zh-CN"/>
        </w:rPr>
        <w:t>托克逊县住建局</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5、项目建设性质：</w:t>
      </w:r>
      <w:r>
        <w:rPr>
          <w:rFonts w:hint="eastAsia" w:ascii="Times New Roman" w:hAnsi="Times New Roman" w:eastAsia="仿宋_GB2312" w:cs="Times New Roman"/>
          <w:b w:val="0"/>
          <w:bCs w:val="0"/>
          <w:color w:val="auto"/>
          <w:w w:val="100"/>
          <w:sz w:val="32"/>
          <w:szCs w:val="32"/>
          <w:highlight w:val="none"/>
          <w:lang w:val="en-US" w:eastAsia="zh-CN"/>
        </w:rPr>
        <w:t>新建</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rPr>
          <w:rFonts w:hint="default" w:ascii="Times New Roman" w:hAnsi="Times New Roman" w:eastAsia="仿宋_GB2312" w:cs="Times New Roman"/>
          <w:b w:val="0"/>
          <w:bCs w:val="0"/>
          <w:color w:val="auto"/>
          <w:w w:val="100"/>
          <w:sz w:val="32"/>
          <w:szCs w:val="32"/>
          <w:highlight w:val="none"/>
          <w:lang w:val="en-US" w:eastAsia="zh-CN"/>
        </w:rPr>
      </w:pPr>
      <w:r>
        <w:rPr>
          <w:rFonts w:hint="eastAsia" w:ascii="仿宋_GB2312" w:hAnsi="仿宋_GB2312" w:eastAsia="仿宋_GB2312" w:cs="仿宋_GB2312"/>
          <w:b/>
          <w:bCs/>
          <w:sz w:val="32"/>
          <w:szCs w:val="32"/>
          <w:lang w:val="en-US" w:eastAsia="zh-CN"/>
        </w:rPr>
        <w:t>6、项目类别：</w:t>
      </w:r>
      <w:r>
        <w:rPr>
          <w:rFonts w:hint="default" w:ascii="Times New Roman" w:hAnsi="Times New Roman" w:eastAsia="仿宋_GB2312" w:cs="Times New Roman"/>
          <w:b w:val="0"/>
          <w:bCs w:val="0"/>
          <w:w w:val="100"/>
          <w:sz w:val="32"/>
          <w:szCs w:val="32"/>
          <w:highlight w:val="none"/>
          <w:lang w:val="en-US" w:eastAsia="zh-CN"/>
        </w:rPr>
        <w:t>农村环境整治</w:t>
      </w:r>
      <w:bookmarkStart w:id="5" w:name="_GoBack"/>
      <w:bookmarkEnd w:id="5"/>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rPr>
          <w:rFonts w:hint="eastAsia" w:ascii="Times New Roman" w:hAnsi="Times New Roman" w:eastAsia="仿宋_GB2312" w:cs="Times New Roman"/>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w w:val="100"/>
          <w:kern w:val="2"/>
          <w:sz w:val="32"/>
          <w:szCs w:val="32"/>
          <w:lang w:val="en-US" w:eastAsia="zh-CN" w:bidi="ar-SA"/>
        </w:rPr>
        <w:t>建设地点：</w:t>
      </w:r>
      <w:r>
        <w:rPr>
          <w:rFonts w:hint="eastAsia" w:ascii="仿宋_GB2312" w:hAnsi="仿宋_GB2312" w:eastAsia="仿宋_GB2312" w:cs="仿宋_GB2312"/>
          <w:b w:val="0"/>
          <w:bCs w:val="0"/>
          <w:sz w:val="32"/>
          <w:szCs w:val="32"/>
          <w:lang w:val="en-US" w:eastAsia="zh-CN"/>
        </w:rPr>
        <w:t>阿克塔格村</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b/>
          <w:bCs/>
          <w:w w:val="100"/>
          <w:kern w:val="2"/>
          <w:sz w:val="32"/>
          <w:szCs w:val="32"/>
          <w:lang w:val="en-US" w:eastAsia="zh-CN" w:bidi="ar-SA"/>
        </w:rPr>
        <w:t>8、项目总投资：</w:t>
      </w:r>
      <w:r>
        <w:rPr>
          <w:rFonts w:hint="eastAsia" w:ascii="仿宋_GB2312" w:hAnsi="仿宋_GB2312" w:eastAsia="仿宋_GB2312" w:cs="仿宋_GB2312"/>
          <w:sz w:val="32"/>
          <w:szCs w:val="32"/>
          <w:lang w:val="en-US" w:eastAsia="zh-CN"/>
        </w:rPr>
        <w:t>7.36万元</w:t>
      </w:r>
    </w:p>
    <w:p>
      <w:pPr>
        <w:pStyle w:val="2"/>
        <w:keepNext w:val="0"/>
        <w:keepLines w:val="0"/>
        <w:pageBreakBefore w:val="0"/>
        <w:widowControl w:val="0"/>
        <w:kinsoku/>
        <w:wordWrap/>
        <w:overflowPunct/>
        <w:topLinePunct w:val="0"/>
        <w:autoSpaceDN/>
        <w:bidi w:val="0"/>
        <w:adjustRightInd/>
        <w:snapToGrid/>
        <w:spacing w:line="560" w:lineRule="exact"/>
        <w:jc w:val="left"/>
        <w:rPr>
          <w:rFonts w:hint="eastAsia" w:ascii="Times New Roman" w:hAnsi="Times New Roman" w:eastAsia="仿宋_GB2312" w:cs="Times New Roman"/>
          <w:spacing w:val="-6"/>
          <w:w w:val="100"/>
          <w:kern w:val="2"/>
          <w:sz w:val="32"/>
          <w:szCs w:val="32"/>
          <w:highlight w:val="none"/>
          <w:lang w:val="en-US" w:eastAsia="zh-CN" w:bidi="ar-SA"/>
        </w:rPr>
      </w:pPr>
      <w:r>
        <w:rPr>
          <w:rFonts w:hint="eastAsia" w:ascii="仿宋_GB2312" w:hAnsi="仿宋_GB2312" w:cs="仿宋_GB2312"/>
          <w:b/>
          <w:bCs/>
          <w:kern w:val="2"/>
          <w:sz w:val="32"/>
          <w:szCs w:val="32"/>
          <w:lang w:val="en-US" w:eastAsia="zh-CN" w:bidi="ar-SA"/>
        </w:rPr>
        <w:t>9</w:t>
      </w:r>
      <w:r>
        <w:rPr>
          <w:rFonts w:hint="eastAsia" w:ascii="仿宋_GB2312" w:hAnsi="仿宋_GB2312" w:eastAsia="仿宋_GB2312" w:cs="仿宋_GB2312"/>
          <w:b/>
          <w:bCs/>
          <w:kern w:val="2"/>
          <w:sz w:val="32"/>
          <w:szCs w:val="32"/>
          <w:lang w:val="en-US" w:eastAsia="zh-CN" w:bidi="ar-SA"/>
        </w:rPr>
        <w:t>、主要建设内容与规模：</w:t>
      </w:r>
      <w:r>
        <w:rPr>
          <w:rFonts w:hint="eastAsia" w:ascii="仿宋_GB2312" w:hAnsi="仿宋_GB2312" w:eastAsia="仿宋_GB2312" w:cs="仿宋_GB2312"/>
          <w:sz w:val="32"/>
          <w:szCs w:val="32"/>
        </w:rPr>
        <w:t>计划为阿克塔格村购置80个垃圾箱，每个约920元，总投资7.36万元。</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default" w:ascii="Times New Roman" w:hAnsi="Times New Roman" w:eastAsia="黑体" w:cs="Times New Roman"/>
          <w:b w:val="0"/>
          <w:bCs w:val="0"/>
          <w:w w:val="100"/>
          <w:kern w:val="2"/>
          <w:sz w:val="32"/>
          <w:szCs w:val="32"/>
          <w:lang w:val="en-US" w:eastAsia="zh-CN" w:bidi="ar-SA"/>
        </w:rPr>
      </w:pPr>
      <w:r>
        <w:rPr>
          <w:rFonts w:hint="eastAsia" w:eastAsia="黑体" w:cs="Times New Roman"/>
          <w:b w:val="0"/>
          <w:bCs w:val="0"/>
          <w:w w:val="100"/>
          <w:kern w:val="2"/>
          <w:sz w:val="32"/>
          <w:szCs w:val="32"/>
          <w:lang w:val="en-US" w:eastAsia="zh-CN" w:bidi="ar-SA"/>
        </w:rPr>
        <w:t>二</w:t>
      </w:r>
      <w:r>
        <w:rPr>
          <w:rFonts w:hint="default" w:ascii="Times New Roman" w:hAnsi="Times New Roman" w:eastAsia="黑体" w:cs="Times New Roman"/>
          <w:b w:val="0"/>
          <w:bCs w:val="0"/>
          <w:w w:val="100"/>
          <w:kern w:val="2"/>
          <w:sz w:val="32"/>
          <w:szCs w:val="32"/>
          <w:lang w:val="en-US" w:eastAsia="zh-CN" w:bidi="ar-SA"/>
        </w:rPr>
        <w:t>、</w:t>
      </w:r>
      <w:r>
        <w:rPr>
          <w:rFonts w:hint="eastAsia" w:ascii="黑体" w:hAnsi="黑体" w:eastAsia="黑体" w:cs="黑体"/>
          <w:kern w:val="2"/>
          <w:sz w:val="32"/>
          <w:szCs w:val="32"/>
          <w:lang w:val="en-US" w:eastAsia="zh-CN" w:bidi="ar-SA"/>
        </w:rPr>
        <w:t>项目区基本情况及建设必要性、可行性</w:t>
      </w:r>
    </w:p>
    <w:p>
      <w:pPr>
        <w:pStyle w:val="2"/>
        <w:keepNext w:val="0"/>
        <w:keepLines w:val="0"/>
        <w:pageBreakBefore w:val="0"/>
        <w:widowControl w:val="0"/>
        <w:kinsoku/>
        <w:wordWrap/>
        <w:overflowPunct/>
        <w:topLinePunct w:val="0"/>
        <w:autoSpaceDN/>
        <w:bidi w:val="0"/>
        <w:adjustRightInd/>
        <w:snapToGrid/>
        <w:spacing w:line="560" w:lineRule="exact"/>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1、项目区基本情况：</w:t>
      </w:r>
      <w:r>
        <w:rPr>
          <w:rFonts w:hint="eastAsia" w:ascii="仿宋_GB2312" w:hAnsi="仿宋_GB2312" w:eastAsia="仿宋_GB2312" w:cs="仿宋_GB2312"/>
          <w:sz w:val="32"/>
          <w:szCs w:val="32"/>
          <w:lang w:eastAsia="zh-CN"/>
        </w:rPr>
        <w:t>阿克塔格村</w:t>
      </w:r>
      <w:r>
        <w:rPr>
          <w:rFonts w:hint="eastAsia" w:ascii="仿宋_GB2312" w:hAnsi="仿宋_GB2312" w:cs="仿宋_GB2312"/>
          <w:sz w:val="32"/>
          <w:szCs w:val="32"/>
          <w:lang w:eastAsia="zh-CN"/>
        </w:rPr>
        <w:t>隶属于</w:t>
      </w:r>
      <w:r>
        <w:rPr>
          <w:rFonts w:hint="eastAsia" w:ascii="仿宋_GB2312" w:hAnsi="仿宋_GB2312" w:eastAsia="仿宋_GB2312" w:cs="仿宋_GB2312"/>
          <w:sz w:val="32"/>
          <w:szCs w:val="32"/>
        </w:rPr>
        <w:t>伊拉湖镇，地理位置优越，交通便捷。全村下设</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个村民小组，建档立卡脱贫</w:t>
      </w:r>
      <w:r>
        <w:rPr>
          <w:rFonts w:hint="eastAsia" w:ascii="仿宋_GB2312" w:hAnsi="仿宋_GB2312" w:eastAsia="仿宋_GB2312" w:cs="仿宋_GB2312"/>
          <w:sz w:val="32"/>
          <w:szCs w:val="32"/>
          <w:lang w:eastAsia="zh-CN"/>
        </w:rPr>
        <w:t>人口</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户</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人。全村耕地面积</w:t>
      </w:r>
      <w:r>
        <w:rPr>
          <w:rFonts w:hint="eastAsia" w:ascii="仿宋_GB2312" w:hAnsi="仿宋_GB2312" w:eastAsia="仿宋_GB2312" w:cs="仿宋_GB2312"/>
          <w:sz w:val="32"/>
          <w:szCs w:val="32"/>
          <w:lang w:val="en-US" w:eastAsia="zh-CN"/>
        </w:rPr>
        <w:t>3350</w:t>
      </w:r>
      <w:r>
        <w:rPr>
          <w:rFonts w:hint="eastAsia" w:ascii="仿宋_GB2312" w:hAnsi="仿宋_GB2312" w:eastAsia="仿宋_GB2312" w:cs="仿宋_GB2312"/>
          <w:sz w:val="32"/>
          <w:szCs w:val="32"/>
        </w:rPr>
        <w:t>亩，境内地势较平坦，主要以农业生产为主，主导产业是棉花、红枣、甜瓜和高粱</w:t>
      </w:r>
      <w:r>
        <w:rPr>
          <w:rFonts w:hint="eastAsia" w:ascii="仿宋_GB2312" w:hAnsi="仿宋_GB2312" w:cs="仿宋_GB2312"/>
          <w:sz w:val="32"/>
          <w:szCs w:val="32"/>
          <w:lang w:eastAsia="zh-CN"/>
        </w:rPr>
        <w:t>等</w:t>
      </w:r>
      <w:r>
        <w:rPr>
          <w:rFonts w:hint="eastAsia" w:ascii="仿宋_GB2312" w:hAnsi="仿宋_GB2312" w:eastAsia="仿宋_GB2312" w:cs="仿宋_GB2312"/>
          <w:sz w:val="32"/>
          <w:szCs w:val="32"/>
        </w:rPr>
        <w:t>设施农业。由于托克逊县的地形地势，形成了极端干旱的暖温带内陆荒漠气候，全年光照充足，热量丰富，降水量小，夏季炎热，冬季严寒，日差较大，无霜期长，风多风大，干热风严重。</w:t>
      </w:r>
    </w:p>
    <w:p>
      <w:pPr>
        <w:pStyle w:val="2"/>
        <w:keepNext w:val="0"/>
        <w:keepLines w:val="0"/>
        <w:pageBreakBefore w:val="0"/>
        <w:widowControl w:val="0"/>
        <w:kinsoku/>
        <w:wordWrap/>
        <w:overflowPunct/>
        <w:topLinePunct w:val="0"/>
        <w:autoSpaceDN/>
        <w:bidi w:val="0"/>
        <w:adjustRightInd/>
        <w:snapToGrid/>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sz w:val="32"/>
          <w:szCs w:val="32"/>
          <w:lang w:val="en-US" w:eastAsia="zh-CN"/>
        </w:rPr>
        <w:t>2、建设的必要性：</w:t>
      </w:r>
      <w:r>
        <w:rPr>
          <w:rFonts w:hint="eastAsia" w:ascii="仿宋_GB2312" w:hAnsi="仿宋_GB2312" w:eastAsia="仿宋_GB2312" w:cs="仿宋_GB2312"/>
          <w:kern w:val="2"/>
          <w:sz w:val="32"/>
          <w:szCs w:val="32"/>
          <w:lang w:val="en-US" w:eastAsia="zh-CN" w:bidi="ar-SA"/>
        </w:rPr>
        <w:t>考虑到我村大部分房子没有完善生活垃圾收集系统，加上群众未建立起良好的生活秩序和生活习惯，排放的生活垃圾严重影响人居环境条件的改善，直接影响我村群众的生存环境。为了让村民形成垃圾分类处理，定点投放的好习惯，从而实现有效处理生活垃圾、有效推进绿化美化人居环境进度计划通过购进垃圾桶。</w:t>
      </w:r>
    </w:p>
    <w:p>
      <w:pPr>
        <w:pStyle w:val="2"/>
        <w:keepNext w:val="0"/>
        <w:keepLines w:val="0"/>
        <w:pageBreakBefore w:val="0"/>
        <w:widowControl w:val="0"/>
        <w:kinsoku/>
        <w:wordWrap/>
        <w:overflowPunct/>
        <w:topLinePunct w:val="0"/>
        <w:autoSpaceDN/>
        <w:bidi w:val="0"/>
        <w:adjustRightInd/>
        <w:snapToGrid/>
        <w:spacing w:line="560" w:lineRule="exact"/>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3、建设的可行性：</w:t>
      </w:r>
      <w:r>
        <w:rPr>
          <w:rFonts w:hint="default" w:ascii="Times New Roman" w:hAnsi="Times New Roman" w:eastAsia="仿宋_GB2312" w:cs="Times New Roman"/>
          <w:color w:val="000000"/>
          <w:w w:val="100"/>
          <w:kern w:val="2"/>
          <w:sz w:val="32"/>
          <w:szCs w:val="32"/>
          <w:highlight w:val="none"/>
          <w:lang w:val="en-US" w:eastAsia="zh-CN" w:bidi="ar-SA"/>
        </w:rPr>
        <w:t>通过项目的实施，能够进一步改善阿克塔格村人居环境，缓解环卫工人压力，解决村垃圾乱倒，垃圾、污水清运不便问题，有效提升古勒巴格村环境卫生和综合治理服务能力，加快城乡融合步伐，为乡村振兴建设提供基础条件。项目惠及442户1498人。（其中：脱贫户28户8</w:t>
      </w:r>
      <w:r>
        <w:rPr>
          <w:rFonts w:hint="eastAsia" w:cs="Times New Roman"/>
          <w:color w:val="000000"/>
          <w:w w:val="100"/>
          <w:kern w:val="2"/>
          <w:sz w:val="32"/>
          <w:szCs w:val="32"/>
          <w:highlight w:val="none"/>
          <w:lang w:val="en-US" w:eastAsia="zh-CN" w:bidi="ar-SA"/>
        </w:rPr>
        <w:t>1</w:t>
      </w:r>
      <w:r>
        <w:rPr>
          <w:rFonts w:hint="default" w:ascii="Times New Roman" w:hAnsi="Times New Roman" w:eastAsia="仿宋_GB2312" w:cs="Times New Roman"/>
          <w:color w:val="000000"/>
          <w:w w:val="100"/>
          <w:kern w:val="2"/>
          <w:sz w:val="32"/>
          <w:szCs w:val="32"/>
          <w:highlight w:val="none"/>
          <w:lang w:val="en-US" w:eastAsia="zh-CN" w:bidi="ar-SA"/>
        </w:rPr>
        <w:t>人、监测对象7户26人）</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630" w:leftChars="0"/>
        <w:rPr>
          <w:rFonts w:hint="default" w:ascii="Times New Roman" w:hAnsi="Times New Roman" w:eastAsia="黑体" w:cs="Times New Roman"/>
          <w:b w:val="0"/>
          <w:bCs w:val="0"/>
          <w:w w:val="100"/>
          <w:sz w:val="32"/>
          <w:szCs w:val="32"/>
          <w:lang w:val="en-US" w:eastAsia="zh-CN"/>
        </w:rPr>
      </w:pPr>
      <w:r>
        <w:rPr>
          <w:rFonts w:hint="eastAsia" w:ascii="Times New Roman" w:hAnsi="Times New Roman" w:eastAsia="黑体" w:cs="Times New Roman"/>
          <w:b w:val="0"/>
          <w:bCs w:val="0"/>
          <w:w w:val="100"/>
          <w:sz w:val="32"/>
          <w:szCs w:val="32"/>
          <w:lang w:val="en-US" w:eastAsia="zh-CN"/>
        </w:rPr>
        <w:t>三、</w:t>
      </w:r>
      <w:r>
        <w:rPr>
          <w:rFonts w:hint="default" w:ascii="Times New Roman" w:hAnsi="Times New Roman" w:eastAsia="黑体" w:cs="Times New Roman"/>
          <w:b w:val="0"/>
          <w:bCs w:val="0"/>
          <w:w w:val="100"/>
          <w:sz w:val="32"/>
          <w:szCs w:val="32"/>
          <w:lang w:val="en-US" w:eastAsia="zh-CN"/>
        </w:rPr>
        <w:t>投资概算和资金筹措</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default" w:ascii="Times New Roman" w:hAnsi="Times New Roman" w:eastAsia="仿宋_GB2312" w:cs="Times New Roman"/>
          <w:color w:val="auto"/>
          <w:w w:val="100"/>
          <w:kern w:val="2"/>
          <w:sz w:val="32"/>
          <w:szCs w:val="32"/>
          <w:highlight w:val="none"/>
          <w:lang w:val="en-US" w:eastAsia="zh-CN" w:bidi="ar-SA"/>
        </w:rPr>
      </w:pPr>
      <w:r>
        <w:rPr>
          <w:rFonts w:hint="eastAsia" w:ascii="楷体_GB2312" w:hAnsi="楷体_GB2312" w:eastAsia="楷体_GB2312" w:cs="楷体_GB2312"/>
          <w:b/>
          <w:bCs/>
          <w:w w:val="100"/>
          <w:sz w:val="32"/>
          <w:szCs w:val="32"/>
          <w:lang w:eastAsia="zh-CN"/>
        </w:rPr>
        <w:t>（</w:t>
      </w:r>
      <w:r>
        <w:rPr>
          <w:rFonts w:hint="eastAsia" w:ascii="楷体_GB2312" w:hAnsi="楷体_GB2312" w:eastAsia="楷体_GB2312" w:cs="楷体_GB2312"/>
          <w:b/>
          <w:bCs/>
          <w:w w:val="100"/>
          <w:sz w:val="32"/>
          <w:szCs w:val="32"/>
          <w:lang w:val="en-US" w:eastAsia="zh-CN"/>
        </w:rPr>
        <w:t>一）</w:t>
      </w:r>
      <w:r>
        <w:rPr>
          <w:rFonts w:hint="default" w:ascii="楷体_GB2312" w:hAnsi="楷体_GB2312" w:eastAsia="楷体_GB2312" w:cs="楷体_GB2312"/>
          <w:b/>
          <w:bCs/>
          <w:w w:val="100"/>
          <w:sz w:val="32"/>
          <w:szCs w:val="32"/>
          <w:lang w:eastAsia="zh-CN"/>
        </w:rPr>
        <w:t>资金来源</w:t>
      </w:r>
      <w:r>
        <w:rPr>
          <w:rFonts w:hint="eastAsia" w:ascii="楷体_GB2312" w:hAnsi="楷体_GB2312" w:eastAsia="楷体_GB2312" w:cs="楷体_GB2312"/>
          <w:b/>
          <w:bCs/>
          <w:w w:val="100"/>
          <w:sz w:val="32"/>
          <w:szCs w:val="32"/>
          <w:lang w:eastAsia="zh-CN"/>
        </w:rPr>
        <w:t>：</w:t>
      </w:r>
      <w:r>
        <w:rPr>
          <w:rFonts w:hint="default" w:ascii="Times New Roman" w:hAnsi="Times New Roman" w:cs="Times New Roman"/>
          <w:w w:val="100"/>
          <w:kern w:val="2"/>
          <w:sz w:val="32"/>
          <w:szCs w:val="32"/>
          <w:lang w:val="en-US" w:eastAsia="zh-CN" w:bidi="ar-SA"/>
        </w:rPr>
        <w:t>财政</w:t>
      </w:r>
      <w:r>
        <w:rPr>
          <w:rFonts w:hint="default" w:ascii="Times New Roman" w:hAnsi="Times New Roman" w:eastAsia="仿宋_GB2312" w:cs="Times New Roman"/>
          <w:color w:val="auto"/>
          <w:w w:val="100"/>
          <w:kern w:val="2"/>
          <w:sz w:val="32"/>
          <w:szCs w:val="32"/>
          <w:lang w:val="en-US" w:eastAsia="zh-CN" w:bidi="ar-SA"/>
        </w:rPr>
        <w:t>衔接推进乡村振兴补助资金。</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w w:val="100"/>
          <w:kern w:val="2"/>
          <w:sz w:val="32"/>
          <w:szCs w:val="32"/>
          <w:highlight w:val="none"/>
          <w:lang w:val="en-US" w:eastAsia="zh-CN" w:bidi="ar-SA"/>
        </w:rPr>
      </w:pPr>
      <w:r>
        <w:rPr>
          <w:rFonts w:hint="eastAsia" w:ascii="楷体_GB2312" w:hAnsi="楷体_GB2312" w:eastAsia="楷体_GB2312" w:cs="楷体_GB2312"/>
          <w:b/>
          <w:bCs/>
          <w:w w:val="100"/>
          <w:sz w:val="32"/>
          <w:szCs w:val="32"/>
          <w:lang w:eastAsia="zh-CN"/>
        </w:rPr>
        <w:t>（</w:t>
      </w:r>
      <w:r>
        <w:rPr>
          <w:rFonts w:hint="eastAsia" w:ascii="楷体_GB2312" w:hAnsi="楷体_GB2312" w:eastAsia="楷体_GB2312" w:cs="楷体_GB2312"/>
          <w:b/>
          <w:bCs/>
          <w:w w:val="100"/>
          <w:sz w:val="32"/>
          <w:szCs w:val="32"/>
          <w:lang w:val="en-US" w:eastAsia="zh-CN"/>
        </w:rPr>
        <w:t>二）</w:t>
      </w:r>
      <w:r>
        <w:rPr>
          <w:rFonts w:hint="default" w:ascii="楷体_GB2312" w:hAnsi="楷体_GB2312" w:eastAsia="楷体_GB2312" w:cs="楷体_GB2312"/>
          <w:b/>
          <w:bCs/>
          <w:w w:val="100"/>
          <w:sz w:val="32"/>
          <w:szCs w:val="32"/>
          <w:lang w:eastAsia="zh-CN"/>
        </w:rPr>
        <w:t>项目总投资</w:t>
      </w:r>
      <w:r>
        <w:rPr>
          <w:rFonts w:hint="eastAsia" w:ascii="楷体_GB2312" w:hAnsi="楷体_GB2312" w:eastAsia="楷体_GB2312" w:cs="楷体_GB2312"/>
          <w:b/>
          <w:bCs/>
          <w:w w:val="100"/>
          <w:sz w:val="32"/>
          <w:szCs w:val="32"/>
          <w:lang w:eastAsia="zh-CN"/>
        </w:rPr>
        <w:t>：</w:t>
      </w:r>
      <w:r>
        <w:rPr>
          <w:rFonts w:hint="eastAsia" w:ascii="仿宋_GB2312" w:hAnsi="仿宋_GB2312" w:eastAsia="仿宋_GB2312" w:cs="仿宋_GB2312"/>
          <w:sz w:val="32"/>
          <w:szCs w:val="32"/>
        </w:rPr>
        <w:t>7.36</w:t>
      </w:r>
      <w:r>
        <w:rPr>
          <w:rFonts w:hint="eastAsia" w:ascii="仿宋_GB2312" w:hAnsi="仿宋_GB2312" w:eastAsia="仿宋_GB2312" w:cs="仿宋_GB2312"/>
          <w:color w:val="auto"/>
          <w:w w:val="100"/>
          <w:kern w:val="2"/>
          <w:sz w:val="32"/>
          <w:szCs w:val="32"/>
          <w:highlight w:val="none"/>
          <w:lang w:val="en-US" w:eastAsia="zh-CN" w:bidi="ar-SA"/>
        </w:rPr>
        <w:t>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pacing w:val="-6"/>
          <w:w w:val="100"/>
          <w:kern w:val="2"/>
          <w:sz w:val="32"/>
          <w:szCs w:val="32"/>
          <w:highlight w:val="none"/>
          <w:lang w:val="en-US" w:eastAsia="zh-CN" w:bidi="ar-SA"/>
        </w:rPr>
      </w:pPr>
      <w:r>
        <w:rPr>
          <w:rFonts w:hint="eastAsia" w:ascii="楷体_GB2312" w:hAnsi="楷体_GB2312" w:eastAsia="楷体_GB2312" w:cs="楷体_GB2312"/>
          <w:b/>
          <w:bCs/>
          <w:w w:val="100"/>
          <w:sz w:val="32"/>
          <w:szCs w:val="32"/>
          <w:lang w:val="en-US" w:eastAsia="zh-CN"/>
        </w:rPr>
        <w:t>（三）</w:t>
      </w:r>
      <w:r>
        <w:rPr>
          <w:rFonts w:hint="default" w:ascii="楷体_GB2312" w:hAnsi="楷体_GB2312" w:eastAsia="楷体_GB2312" w:cs="楷体_GB2312"/>
          <w:b/>
          <w:bCs/>
          <w:w w:val="100"/>
          <w:sz w:val="32"/>
          <w:szCs w:val="32"/>
          <w:lang w:val="en-US" w:eastAsia="zh-CN"/>
        </w:rPr>
        <w:t>项目建设内容</w:t>
      </w:r>
      <w:r>
        <w:rPr>
          <w:rFonts w:hint="eastAsia" w:ascii="楷体_GB2312" w:hAnsi="楷体_GB2312" w:eastAsia="楷体_GB2312" w:cs="楷体_GB2312"/>
          <w:b/>
          <w:bCs/>
          <w:w w:val="100"/>
          <w:sz w:val="32"/>
          <w:szCs w:val="32"/>
          <w:lang w:val="en-US" w:eastAsia="zh-CN"/>
        </w:rPr>
        <w:t>：</w:t>
      </w:r>
      <w:r>
        <w:rPr>
          <w:rFonts w:hint="eastAsia" w:ascii="仿宋_GB2312" w:hAnsi="仿宋_GB2312" w:eastAsia="仿宋_GB2312" w:cs="仿宋_GB2312"/>
          <w:sz w:val="32"/>
          <w:szCs w:val="32"/>
        </w:rPr>
        <w:t>计划为阿克塔格村购置80个垃圾箱，每个约920元，总投资</w:t>
      </w:r>
      <w:bookmarkStart w:id="3" w:name="OLE_LINK4"/>
      <w:r>
        <w:rPr>
          <w:rFonts w:hint="eastAsia" w:ascii="仿宋_GB2312" w:hAnsi="仿宋_GB2312" w:eastAsia="仿宋_GB2312" w:cs="仿宋_GB2312"/>
          <w:sz w:val="32"/>
          <w:szCs w:val="32"/>
        </w:rPr>
        <w:t>7.36</w:t>
      </w:r>
      <w:bookmarkEnd w:id="3"/>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default" w:ascii="Times New Roman" w:hAnsi="Times New Roman" w:eastAsia="黑体" w:cs="Times New Roman"/>
          <w:b w:val="0"/>
          <w:bCs w:val="0"/>
          <w:w w:val="100"/>
          <w:sz w:val="32"/>
          <w:szCs w:val="32"/>
          <w:lang w:val="en-US" w:eastAsia="zh-CN"/>
        </w:rPr>
      </w:pPr>
      <w:r>
        <w:rPr>
          <w:rFonts w:hint="eastAsia" w:ascii="Times New Roman" w:hAnsi="Times New Roman" w:eastAsia="黑体" w:cs="Times New Roman"/>
          <w:b w:val="0"/>
          <w:bCs w:val="0"/>
          <w:w w:val="100"/>
          <w:sz w:val="32"/>
          <w:szCs w:val="32"/>
          <w:lang w:val="en-US" w:eastAsia="zh-CN"/>
        </w:rPr>
        <w:t>四</w:t>
      </w:r>
      <w:r>
        <w:rPr>
          <w:rFonts w:hint="default" w:ascii="Times New Roman" w:hAnsi="Times New Roman" w:eastAsia="黑体" w:cs="Times New Roman"/>
          <w:b w:val="0"/>
          <w:bCs w:val="0"/>
          <w:w w:val="100"/>
          <w:sz w:val="32"/>
          <w:szCs w:val="32"/>
          <w:lang w:val="en-US" w:eastAsia="zh-CN"/>
        </w:rPr>
        <w:t>、项目实施进度计划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年</w:t>
      </w:r>
      <w:r>
        <w:rPr>
          <w:rFonts w:hint="eastAsia" w:ascii="仿宋_GB2312" w:eastAsia="仿宋_GB2312"/>
          <w:color w:val="auto"/>
          <w:sz w:val="32"/>
          <w:szCs w:val="32"/>
          <w:highlight w:val="none"/>
          <w:lang w:val="en-US" w:eastAsia="zh-CN"/>
        </w:rPr>
        <w:t>6月</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完成项目招投标等手续办理、合同签订等工作</w:t>
      </w:r>
      <w:r>
        <w:rPr>
          <w:rFonts w:hint="eastAsia" w:ascii="仿宋_GB2312" w:eastAsia="仿宋_GB2312"/>
          <w:color w:val="auto"/>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eastAsia="仿宋_GB2312"/>
          <w:color w:val="auto"/>
          <w:sz w:val="32"/>
          <w:szCs w:val="32"/>
          <w:highlight w:val="none"/>
          <w:lang w:val="en-US" w:eastAsia="zh-CN"/>
        </w:rPr>
        <w:t>2026年8</w:t>
      </w:r>
      <w:r>
        <w:rPr>
          <w:rFonts w:hint="eastAsia" w:ascii="仿宋_GB2312" w:eastAsia="仿宋_GB2312"/>
          <w:color w:val="auto"/>
          <w:sz w:val="32"/>
          <w:szCs w:val="32"/>
          <w:highlight w:val="none"/>
          <w:lang w:eastAsia="zh-CN"/>
        </w:rPr>
        <w:t>月</w:t>
      </w:r>
      <w:r>
        <w:rPr>
          <w:rFonts w:hint="eastAsia" w:ascii="仿宋_GB2312" w:eastAsia="仿宋_GB2312"/>
          <w:color w:val="auto"/>
          <w:sz w:val="32"/>
          <w:szCs w:val="32"/>
          <w:highlight w:val="none"/>
          <w:lang w:val="en-US" w:eastAsia="zh-CN"/>
        </w:rPr>
        <w:t>底前</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组织相关部门进行验收，并完成支付</w:t>
      </w:r>
      <w:r>
        <w:rPr>
          <w:rFonts w:hint="eastAsia" w:ascii="仿宋_GB2312" w:hAnsi="宋体" w:eastAsia="仿宋_GB2312" w:cs="黑体"/>
          <w:b w:val="0"/>
          <w:bCs w:val="0"/>
          <w:color w:val="00000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630" w:leftChars="0"/>
        <w:rPr>
          <w:rFonts w:hint="default" w:ascii="Times New Roman" w:hAnsi="Times New Roman" w:eastAsia="黑体" w:cs="Times New Roman"/>
          <w:b w:val="0"/>
          <w:bCs w:val="0"/>
          <w:w w:val="100"/>
          <w:sz w:val="32"/>
          <w:szCs w:val="32"/>
          <w:lang w:val="en-US" w:eastAsia="zh-CN"/>
        </w:rPr>
      </w:pPr>
      <w:r>
        <w:rPr>
          <w:rFonts w:hint="eastAsia" w:ascii="Times New Roman" w:hAnsi="Times New Roman" w:eastAsia="黑体" w:cs="Times New Roman"/>
          <w:b w:val="0"/>
          <w:bCs w:val="0"/>
          <w:w w:val="100"/>
          <w:sz w:val="32"/>
          <w:szCs w:val="32"/>
          <w:lang w:val="en-US" w:eastAsia="zh-CN"/>
        </w:rPr>
        <w:t>五</w:t>
      </w:r>
      <w:r>
        <w:rPr>
          <w:rFonts w:hint="default" w:ascii="Times New Roman" w:hAnsi="Times New Roman" w:eastAsia="黑体" w:cs="Times New Roman"/>
          <w:b w:val="0"/>
          <w:bCs w:val="0"/>
          <w:w w:val="100"/>
          <w:sz w:val="32"/>
          <w:szCs w:val="32"/>
          <w:lang w:val="en-US" w:eastAsia="zh-CN"/>
        </w:rPr>
        <w:t>、项目实施保障</w:t>
      </w:r>
      <w:r>
        <w:rPr>
          <w:rFonts w:hint="eastAsia" w:ascii="Times New Roman" w:hAnsi="Times New Roman" w:eastAsia="黑体" w:cs="Times New Roman"/>
          <w:b w:val="0"/>
          <w:bCs w:val="0"/>
          <w:w w:val="100"/>
          <w:sz w:val="32"/>
          <w:szCs w:val="32"/>
          <w:lang w:val="en-US" w:eastAsia="zh-CN"/>
        </w:rPr>
        <w:t>及内控管理措施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w w:val="100"/>
          <w:kern w:val="2"/>
          <w:sz w:val="32"/>
          <w:szCs w:val="32"/>
          <w:lang w:val="en-US" w:eastAsia="zh-CN" w:bidi="ar-SA"/>
        </w:rPr>
      </w:pPr>
      <w:r>
        <w:rPr>
          <w:rFonts w:hint="eastAsia" w:ascii="楷体_GB2312" w:hAnsi="楷体_GB2312" w:eastAsia="楷体_GB2312" w:cs="楷体_GB2312"/>
          <w:b/>
          <w:bCs/>
          <w:w w:val="100"/>
          <w:kern w:val="2"/>
          <w:sz w:val="32"/>
          <w:szCs w:val="32"/>
          <w:lang w:val="en-US" w:eastAsia="zh-CN" w:bidi="ar-SA"/>
        </w:rPr>
        <w:t>（一）建立组织体系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w w:val="100"/>
          <w:sz w:val="32"/>
          <w:szCs w:val="32"/>
          <w:highlight w:val="none"/>
        </w:rPr>
      </w:pPr>
      <w:r>
        <w:rPr>
          <w:rFonts w:hint="default" w:ascii="Times New Roman" w:hAnsi="Times New Roman" w:eastAsia="仿宋_GB2312" w:cs="Times New Roman"/>
          <w:b/>
          <w:bCs/>
          <w:w w:val="100"/>
          <w:sz w:val="32"/>
          <w:szCs w:val="32"/>
          <w:highlight w:val="none"/>
          <w:lang w:val="en-US" w:eastAsia="zh-CN"/>
        </w:rPr>
        <w:t>一是</w:t>
      </w:r>
      <w:r>
        <w:rPr>
          <w:rFonts w:hint="default" w:ascii="Times New Roman" w:hAnsi="Times New Roman" w:eastAsia="仿宋_GB2312" w:cs="Times New Roman"/>
          <w:w w:val="100"/>
          <w:sz w:val="32"/>
          <w:szCs w:val="32"/>
          <w:highlight w:val="none"/>
        </w:rPr>
        <w:t>成立以镇党委、政府</w:t>
      </w:r>
      <w:r>
        <w:rPr>
          <w:rFonts w:hint="eastAsia" w:ascii="Times New Roman" w:hAnsi="Times New Roman" w:eastAsia="仿宋_GB2312" w:cs="Times New Roman"/>
          <w:w w:val="100"/>
          <w:sz w:val="32"/>
          <w:szCs w:val="32"/>
          <w:highlight w:val="none"/>
          <w:lang w:eastAsia="zh-CN"/>
        </w:rPr>
        <w:t>主要</w:t>
      </w:r>
      <w:r>
        <w:rPr>
          <w:rFonts w:hint="default" w:ascii="Times New Roman" w:hAnsi="Times New Roman" w:eastAsia="仿宋_GB2312" w:cs="Times New Roman"/>
          <w:w w:val="100"/>
          <w:sz w:val="32"/>
          <w:szCs w:val="32"/>
          <w:highlight w:val="none"/>
        </w:rPr>
        <w:t>领导为组长，镇</w:t>
      </w:r>
      <w:r>
        <w:rPr>
          <w:rFonts w:hint="eastAsia" w:ascii="Times New Roman" w:hAnsi="Times New Roman" w:eastAsia="仿宋_GB2312" w:cs="Times New Roman"/>
          <w:w w:val="100"/>
          <w:sz w:val="32"/>
          <w:szCs w:val="32"/>
          <w:highlight w:val="none"/>
          <w:lang w:val="en-US" w:eastAsia="zh-CN"/>
        </w:rPr>
        <w:t>项目</w:t>
      </w:r>
      <w:r>
        <w:rPr>
          <w:rFonts w:hint="default" w:ascii="Times New Roman" w:hAnsi="Times New Roman" w:eastAsia="仿宋_GB2312" w:cs="Times New Roman"/>
          <w:w w:val="100"/>
          <w:sz w:val="32"/>
          <w:szCs w:val="32"/>
          <w:highlight w:val="none"/>
        </w:rPr>
        <w:t>办、财政所等相关单位负责人为成员的领导小组，负责项目的领导、协调、实施、督促、指导等工作，为项目建设提供组织保障。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w w:val="100"/>
          <w:sz w:val="32"/>
          <w:szCs w:val="32"/>
          <w:highlight w:val="none"/>
        </w:rPr>
      </w:pPr>
      <w:r>
        <w:rPr>
          <w:rFonts w:hint="default" w:ascii="Times New Roman" w:hAnsi="Times New Roman" w:eastAsia="仿宋_GB2312" w:cs="Times New Roman"/>
          <w:b/>
          <w:bCs/>
          <w:w w:val="100"/>
          <w:sz w:val="32"/>
          <w:szCs w:val="32"/>
          <w:highlight w:val="none"/>
          <w:lang w:val="en-US" w:eastAsia="zh-CN"/>
        </w:rPr>
        <w:t>二是</w:t>
      </w:r>
      <w:r>
        <w:rPr>
          <w:rFonts w:hint="default" w:ascii="Times New Roman" w:hAnsi="Times New Roman" w:eastAsia="仿宋_GB2312" w:cs="Times New Roman"/>
          <w:w w:val="100"/>
          <w:sz w:val="32"/>
          <w:szCs w:val="32"/>
          <w:highlight w:val="none"/>
        </w:rPr>
        <w:t>镇</w:t>
      </w:r>
      <w:r>
        <w:rPr>
          <w:rFonts w:hint="eastAsia" w:ascii="Times New Roman" w:hAnsi="Times New Roman" w:eastAsia="仿宋_GB2312" w:cs="Times New Roman"/>
          <w:w w:val="100"/>
          <w:sz w:val="32"/>
          <w:szCs w:val="32"/>
          <w:highlight w:val="none"/>
          <w:lang w:val="en-US" w:eastAsia="zh-CN"/>
        </w:rPr>
        <w:t>项目</w:t>
      </w:r>
      <w:r>
        <w:rPr>
          <w:rFonts w:hint="default" w:ascii="Times New Roman" w:hAnsi="Times New Roman" w:eastAsia="仿宋_GB2312" w:cs="Times New Roman"/>
          <w:w w:val="100"/>
          <w:sz w:val="32"/>
          <w:szCs w:val="32"/>
          <w:highlight w:val="none"/>
        </w:rPr>
        <w:t>办、纪检、财政所等部门为项目实施的监督单位。负责项目实施全过程中的监督、检查，资金审批及管理。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w w:val="100"/>
          <w:sz w:val="32"/>
          <w:szCs w:val="32"/>
          <w:highlight w:val="none"/>
        </w:rPr>
      </w:pPr>
      <w:r>
        <w:rPr>
          <w:rFonts w:hint="default" w:ascii="Times New Roman" w:hAnsi="Times New Roman" w:eastAsia="仿宋_GB2312" w:cs="Times New Roman"/>
          <w:b/>
          <w:bCs/>
          <w:w w:val="100"/>
          <w:sz w:val="32"/>
          <w:szCs w:val="32"/>
          <w:highlight w:val="none"/>
          <w:lang w:val="en-US" w:eastAsia="zh-CN"/>
        </w:rPr>
        <w:t>三是</w:t>
      </w:r>
      <w:r>
        <w:rPr>
          <w:rFonts w:hint="eastAsia" w:ascii="Times New Roman" w:hAnsi="Times New Roman" w:eastAsia="仿宋_GB2312" w:cs="Times New Roman"/>
          <w:w w:val="100"/>
          <w:sz w:val="32"/>
          <w:szCs w:val="32"/>
          <w:highlight w:val="none"/>
          <w:lang w:val="en-US" w:eastAsia="zh-CN"/>
        </w:rPr>
        <w:t>住建局</w:t>
      </w:r>
      <w:r>
        <w:rPr>
          <w:rFonts w:hint="default" w:ascii="Times New Roman" w:hAnsi="Times New Roman" w:eastAsia="仿宋_GB2312" w:cs="Times New Roman"/>
          <w:w w:val="100"/>
          <w:sz w:val="32"/>
          <w:szCs w:val="32"/>
          <w:highlight w:val="none"/>
        </w:rPr>
        <w:t>为项目实施的技术指导单位，负责项目检测并组织工作人员进行指导服务。</w:t>
      </w:r>
    </w:p>
    <w:p>
      <w:pPr>
        <w:keepNext w:val="0"/>
        <w:keepLines w:val="0"/>
        <w:pageBreakBefore w:val="0"/>
        <w:widowControl w:val="0"/>
        <w:kinsoku/>
        <w:wordWrap/>
        <w:overflowPunct/>
        <w:topLinePunct w:val="0"/>
        <w:autoSpaceDE/>
        <w:autoSpaceDN/>
        <w:bidi w:val="0"/>
        <w:adjustRightInd/>
        <w:snapToGrid/>
        <w:spacing w:line="560" w:lineRule="exact"/>
        <w:ind w:firstLine="619" w:firstLineChars="200"/>
        <w:textAlignment w:val="auto"/>
        <w:rPr>
          <w:rFonts w:hint="default" w:ascii="Times New Roman" w:hAnsi="Times New Roman" w:eastAsia="仿宋_GB2312" w:cs="Times New Roman"/>
          <w:spacing w:val="-6"/>
          <w:w w:val="100"/>
          <w:kern w:val="2"/>
          <w:sz w:val="32"/>
          <w:szCs w:val="32"/>
          <w:highlight w:val="none"/>
          <w:lang w:val="en-US" w:eastAsia="zh-CN" w:bidi="ar-SA"/>
        </w:rPr>
      </w:pPr>
      <w:r>
        <w:rPr>
          <w:rFonts w:hint="default" w:ascii="Times New Roman" w:hAnsi="Times New Roman" w:eastAsia="仿宋_GB2312" w:cs="Times New Roman"/>
          <w:b/>
          <w:bCs/>
          <w:spacing w:val="-6"/>
          <w:w w:val="100"/>
          <w:kern w:val="2"/>
          <w:sz w:val="32"/>
          <w:szCs w:val="32"/>
          <w:highlight w:val="none"/>
          <w:lang w:val="en-US" w:eastAsia="zh-CN" w:bidi="ar-SA"/>
        </w:rPr>
        <w:t>四是</w:t>
      </w:r>
      <w:r>
        <w:rPr>
          <w:rFonts w:hint="eastAsia" w:ascii="Times New Roman" w:hAnsi="Times New Roman" w:eastAsia="仿宋_GB2312" w:cs="Times New Roman"/>
          <w:spacing w:val="-6"/>
          <w:w w:val="100"/>
          <w:kern w:val="2"/>
          <w:sz w:val="32"/>
          <w:szCs w:val="32"/>
          <w:highlight w:val="none"/>
          <w:lang w:val="en-US" w:eastAsia="zh-CN" w:bidi="ar-SA"/>
        </w:rPr>
        <w:t>伊拉湖镇</w:t>
      </w:r>
      <w:r>
        <w:rPr>
          <w:rFonts w:hint="default" w:ascii="Times New Roman" w:hAnsi="Times New Roman" w:eastAsia="仿宋_GB2312" w:cs="Times New Roman"/>
          <w:spacing w:val="-6"/>
          <w:w w:val="100"/>
          <w:kern w:val="2"/>
          <w:sz w:val="32"/>
          <w:szCs w:val="32"/>
          <w:highlight w:val="none"/>
          <w:lang w:val="en-US" w:eastAsia="zh-CN" w:bidi="ar-SA"/>
        </w:rPr>
        <w:t>为项目实施主体。镇和行政村分别成立项目实施领导小组，明确1名副科级领导专抓此项工作，主要负责宣传发动、组织实施和协助村里并进行指导，帮助落实任务；负责组织开展验收、项目档案的归档等工作。</w:t>
      </w:r>
    </w:p>
    <w:p>
      <w:pPr>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楷体_GB2312" w:hAnsi="楷体_GB2312" w:eastAsia="楷体_GB2312" w:cs="楷体_GB2312"/>
          <w:b/>
          <w:bCs/>
          <w:w w:val="100"/>
          <w:kern w:val="2"/>
          <w:sz w:val="32"/>
          <w:szCs w:val="32"/>
          <w:lang w:val="en-US" w:eastAsia="zh-CN" w:bidi="ar-SA"/>
        </w:rPr>
      </w:pPr>
      <w:r>
        <w:rPr>
          <w:rFonts w:hint="eastAsia" w:ascii="楷体_GB2312" w:hAnsi="楷体_GB2312" w:eastAsia="楷体_GB2312" w:cs="楷体_GB2312"/>
          <w:b/>
          <w:bCs/>
          <w:w w:val="100"/>
          <w:kern w:val="2"/>
          <w:sz w:val="32"/>
          <w:szCs w:val="32"/>
          <w:lang w:val="en-US" w:eastAsia="zh-CN" w:bidi="ar-SA"/>
        </w:rPr>
        <w:t>（二）项目招标及采购管理</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default" w:ascii="Times New Roman" w:hAnsi="Times New Roman" w:eastAsia="仿宋_GB2312" w:cs="Times New Roman"/>
          <w:spacing w:val="-6"/>
          <w:w w:val="100"/>
          <w:kern w:val="2"/>
          <w:sz w:val="32"/>
          <w:szCs w:val="32"/>
          <w:highlight w:val="none"/>
          <w:lang w:val="en-US" w:eastAsia="zh-CN" w:bidi="ar-SA"/>
        </w:rPr>
      </w:pPr>
      <w:r>
        <w:rPr>
          <w:rFonts w:hint="eastAsia" w:ascii="Times New Roman" w:hAnsi="Times New Roman" w:eastAsia="仿宋_GB2312" w:cs="Times New Roman"/>
          <w:w w:val="100"/>
          <w:kern w:val="2"/>
          <w:sz w:val="32"/>
          <w:szCs w:val="32"/>
          <w:lang w:val="en-US" w:eastAsia="zh-CN" w:bidi="ar-SA"/>
        </w:rPr>
        <w:t>本项目采用竞争性磋商方式采购，由托克逊县伊拉湖镇人民政府选择有资质的招标代理机构组织采购，依据《中华人民共和国政府采购法》以及《伊拉湖镇人民政府招投标采购管理办法》，通过竞争性磋商方式，择优选择供应商，供应商通过竞争性磋商中标后依法签订采购合同，合同中明确规定垃圾箱采购的投资额</w:t>
      </w:r>
      <w:r>
        <w:rPr>
          <w:rFonts w:hint="eastAsia" w:ascii="Times New Roman" w:hAnsi="Times New Roman" w:eastAsia="仿宋_GB2312" w:cs="Times New Roman"/>
          <w:w w:val="100"/>
          <w:sz w:val="32"/>
          <w:szCs w:val="32"/>
        </w:rPr>
        <w:t>度</w:t>
      </w:r>
      <w:r>
        <w:rPr>
          <w:rFonts w:hint="eastAsia" w:ascii="Times New Roman" w:hAnsi="Times New Roman" w:eastAsia="仿宋_GB2312" w:cs="Times New Roman"/>
          <w:spacing w:val="-6"/>
          <w:w w:val="100"/>
          <w:kern w:val="2"/>
          <w:sz w:val="32"/>
          <w:szCs w:val="32"/>
          <w:highlight w:val="none"/>
          <w:lang w:val="en-US" w:eastAsia="zh-CN" w:bidi="ar-SA"/>
        </w:rPr>
        <w:t>，采购数量，垃圾箱尺寸和技术标准，严格履行合同。</w:t>
      </w:r>
    </w:p>
    <w:p>
      <w:pPr>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楷体_GB2312" w:hAnsi="楷体_GB2312" w:eastAsia="楷体_GB2312" w:cs="楷体_GB2312"/>
          <w:b/>
          <w:bCs/>
          <w:w w:val="100"/>
          <w:kern w:val="2"/>
          <w:sz w:val="32"/>
          <w:szCs w:val="32"/>
          <w:lang w:val="en-US" w:eastAsia="zh-CN" w:bidi="ar-SA"/>
        </w:rPr>
      </w:pPr>
      <w:r>
        <w:rPr>
          <w:rFonts w:hint="eastAsia" w:ascii="楷体_GB2312" w:hAnsi="楷体_GB2312" w:eastAsia="楷体_GB2312" w:cs="楷体_GB2312"/>
          <w:b/>
          <w:bCs/>
          <w:w w:val="100"/>
          <w:kern w:val="2"/>
          <w:sz w:val="32"/>
          <w:szCs w:val="32"/>
          <w:lang w:val="en-US" w:eastAsia="zh-CN" w:bidi="ar-SA"/>
        </w:rPr>
        <w:t>（三）合同签订与管理</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jc w:val="left"/>
        <w:rPr>
          <w:rFonts w:hint="default" w:ascii="楷体_GB2312" w:hAnsi="楷体_GB2312" w:eastAsia="楷体_GB2312" w:cs="楷体_GB2312"/>
          <w:b/>
          <w:bCs/>
          <w:w w:val="100"/>
          <w:sz w:val="32"/>
          <w:szCs w:val="32"/>
          <w:lang w:val="en-US" w:eastAsia="zh-CN"/>
        </w:rPr>
      </w:pPr>
      <w:r>
        <w:rPr>
          <w:rFonts w:hint="eastAsia" w:ascii="仿宋_GB2312" w:hAnsi="仿宋_GB2312" w:eastAsia="仿宋_GB2312" w:cs="仿宋_GB2312"/>
          <w:sz w:val="32"/>
          <w:szCs w:val="32"/>
          <w:highlight w:val="none"/>
        </w:rPr>
        <w:t>根据《新疆维吾尔自治区合同格式条款监督条例》</w:t>
      </w:r>
      <w:r>
        <w:rPr>
          <w:rFonts w:hint="eastAsia" w:ascii="仿宋_GB2312" w:hAnsi="仿宋_GB2312" w:eastAsia="仿宋_GB2312" w:cs="仿宋_GB2312"/>
          <w:sz w:val="32"/>
          <w:szCs w:val="32"/>
          <w:highlight w:val="none"/>
          <w:lang w:val="en-US" w:eastAsia="zh-CN"/>
        </w:rPr>
        <w:t>相关要求，我镇根据单位合同审核流程严格审核合同内容，完成合同会签程序，并</w:t>
      </w:r>
      <w:r>
        <w:rPr>
          <w:rFonts w:hint="eastAsia" w:ascii="仿宋_GB2312" w:hAnsi="仿宋_GB2312" w:eastAsia="仿宋_GB2312" w:cs="仿宋_GB2312"/>
          <w:sz w:val="32"/>
          <w:szCs w:val="32"/>
          <w:highlight w:val="none"/>
        </w:rPr>
        <w:t>与</w:t>
      </w:r>
      <w:r>
        <w:rPr>
          <w:rFonts w:hint="eastAsia" w:ascii="仿宋_GB2312" w:hAnsi="仿宋_GB2312" w:eastAsia="仿宋_GB2312" w:cs="仿宋_GB2312"/>
          <w:sz w:val="32"/>
          <w:szCs w:val="32"/>
          <w:highlight w:val="none"/>
          <w:lang w:val="en-US" w:eastAsia="zh-CN"/>
        </w:rPr>
        <w:t>中标</w:t>
      </w:r>
      <w:r>
        <w:rPr>
          <w:rFonts w:hint="eastAsia" w:ascii="仿宋_GB2312" w:hAnsi="仿宋_GB2312" w:eastAsia="仿宋_GB2312" w:cs="仿宋_GB2312"/>
          <w:sz w:val="32"/>
          <w:szCs w:val="32"/>
          <w:highlight w:val="none"/>
        </w:rPr>
        <w:t>单位签</w:t>
      </w:r>
      <w:r>
        <w:rPr>
          <w:rFonts w:hint="eastAsia" w:ascii="仿宋_GB2312" w:hAnsi="仿宋_GB2312" w:eastAsia="仿宋_GB2312" w:cs="仿宋_GB2312"/>
          <w:sz w:val="32"/>
          <w:szCs w:val="32"/>
          <w:highlight w:val="none"/>
          <w:lang w:eastAsia="zh-CN"/>
        </w:rPr>
        <w:t>订</w:t>
      </w:r>
      <w:r>
        <w:rPr>
          <w:rFonts w:hint="eastAsia" w:ascii="仿宋_GB2312" w:hAnsi="仿宋_GB2312" w:eastAsia="仿宋_GB2312" w:cs="仿宋_GB2312"/>
          <w:sz w:val="32"/>
          <w:szCs w:val="32"/>
          <w:highlight w:val="none"/>
        </w:rPr>
        <w:t>合同，合同双方严格履行各自的义务和责任，按照合同的要求履行合同的承诺，在履行合同过程中，及时纠正违背合同承诺的行为，确保</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rPr>
        <w:t>管理工作规范到位，合法合规。</w:t>
      </w:r>
    </w:p>
    <w:p>
      <w:pPr>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楷体_GB2312" w:hAnsi="楷体_GB2312" w:eastAsia="楷体_GB2312" w:cs="楷体_GB2312"/>
          <w:b/>
          <w:bCs/>
          <w:w w:val="100"/>
          <w:kern w:val="2"/>
          <w:sz w:val="32"/>
          <w:szCs w:val="32"/>
          <w:lang w:val="en-US" w:eastAsia="zh-CN" w:bidi="ar-SA"/>
        </w:rPr>
      </w:pPr>
      <w:r>
        <w:rPr>
          <w:rFonts w:hint="eastAsia" w:ascii="楷体_GB2312" w:hAnsi="楷体_GB2312" w:eastAsia="楷体_GB2312" w:cs="楷体_GB2312"/>
          <w:b/>
          <w:bCs/>
          <w:w w:val="100"/>
          <w:kern w:val="2"/>
          <w:sz w:val="32"/>
          <w:szCs w:val="32"/>
          <w:lang w:val="en-US" w:eastAsia="zh-CN" w:bidi="ar-SA"/>
        </w:rPr>
        <w:t>（四）项目实施与监督检查</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楷体_GB2312" w:hAnsi="楷体_GB2312" w:eastAsia="楷体_GB2312" w:cs="楷体_GB2312"/>
          <w:b/>
          <w:bCs/>
          <w:w w:val="100"/>
          <w:sz w:val="32"/>
          <w:szCs w:val="32"/>
          <w:lang w:val="en-US" w:eastAsia="zh-CN"/>
        </w:rPr>
      </w:pPr>
      <w:r>
        <w:rPr>
          <w:rFonts w:hint="eastAsia" w:ascii="仿宋_GB2312" w:hAnsi="仿宋_GB2312" w:eastAsia="仿宋_GB2312" w:cs="仿宋_GB2312"/>
          <w:sz w:val="32"/>
          <w:szCs w:val="32"/>
          <w:highlight w:val="none"/>
          <w:lang w:val="en-US" w:eastAsia="zh-CN"/>
        </w:rPr>
        <w:t>根据《新疆维吾尔自治区衔接推进乡村振兴补助资金管理办法》文件精神，由县乡村振兴领导小组办公室按照第二章第九条规定：县级乡村振兴领导小组是衔接推进乡村振兴补助资金和项目管理的第一责任主体，组长是第一责任人，全面负责衔接推进乡村振兴补助资金和项目管理、绩效评价、监督检查等各项工作。为保质保量按时完成该项目，实行目标管理责任制，明确领导小组各成员的职责，全面推行项目法人责任制，建立健全衔接推进乡村振兴补助资产公开公示、定期巡查、绩效考核、结果反馈等检查机制，对垃圾箱使用运行、后期管护等环节进行全程监督，保障衔接推进乡村振兴补助资产安全有效。</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楷体_GB2312" w:hAnsi="楷体_GB2312" w:eastAsia="楷体_GB2312" w:cs="楷体_GB2312"/>
          <w:b/>
          <w:bCs/>
          <w:w w:val="100"/>
          <w:sz w:val="32"/>
          <w:szCs w:val="32"/>
          <w:lang w:val="en-US" w:eastAsia="zh-CN"/>
        </w:rPr>
      </w:pPr>
      <w:r>
        <w:rPr>
          <w:rFonts w:hint="eastAsia" w:ascii="楷体_GB2312" w:hAnsi="楷体_GB2312" w:eastAsia="楷体_GB2312" w:cs="楷体_GB2312"/>
          <w:b/>
          <w:bCs/>
          <w:w w:val="100"/>
          <w:sz w:val="32"/>
          <w:szCs w:val="32"/>
          <w:lang w:val="en-US" w:eastAsia="zh-CN"/>
        </w:rPr>
        <w:t>（五）项目</w:t>
      </w:r>
      <w:r>
        <w:rPr>
          <w:rFonts w:hint="default" w:ascii="楷体_GB2312" w:hAnsi="楷体_GB2312" w:eastAsia="楷体_GB2312" w:cs="楷体_GB2312"/>
          <w:b/>
          <w:bCs/>
          <w:w w:val="100"/>
          <w:sz w:val="32"/>
          <w:szCs w:val="32"/>
          <w:lang w:val="en-US" w:eastAsia="zh-CN"/>
        </w:rPr>
        <w:t>资金使用和管理</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资金使用和管理按照《新疆维吾尔自治区衔接推进乡村振兴补助资金管理办法》文件要求。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_GB2312" w:hAnsi="楷体_GB2312" w:eastAsia="楷体_GB2312" w:cs="楷体_GB2312"/>
          <w:b/>
          <w:bCs/>
          <w:w w:val="100"/>
          <w:sz w:val="32"/>
          <w:szCs w:val="32"/>
          <w:lang w:val="en-US" w:eastAsia="zh-CN"/>
        </w:rPr>
      </w:pPr>
      <w:r>
        <w:rPr>
          <w:rFonts w:hint="eastAsia" w:ascii="楷体_GB2312" w:hAnsi="楷体_GB2312" w:eastAsia="楷体_GB2312" w:cs="楷体_GB2312"/>
          <w:b/>
          <w:bCs/>
          <w:w w:val="100"/>
          <w:sz w:val="32"/>
          <w:szCs w:val="32"/>
          <w:lang w:val="en-US" w:eastAsia="zh-CN"/>
        </w:rPr>
        <w:t>（六）项目验收管理</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新疆维吾尔自治区财政衔接推进乡村振兴补助资金（巩固拓展脱贫攻坚成果和乡村振兴任务）项目管理办法（暂行）》（新乡振﹝2021﹞32号）规定,遵照属地管理、按照“谁审批、谁验收”的原则，按照镇村两级、县级逐级开展验收工作。镇级由常务、副镇长组织项目办、财政所、农业办、村委会验收。镇村两级验收合格后，报县乡村振兴局和行业部门申请县级验收。</w:t>
      </w:r>
    </w:p>
    <w:p>
      <w:pPr>
        <w:keepLines w:val="0"/>
        <w:pageBreakBefore w:val="0"/>
        <w:widowControl w:val="0"/>
        <w:kinsoku/>
        <w:wordWrap/>
        <w:overflowPunct/>
        <w:topLinePunct w:val="0"/>
        <w:bidi w:val="0"/>
        <w:snapToGrid/>
        <w:spacing w:line="560" w:lineRule="exact"/>
        <w:ind w:left="0" w:leftChars="0" w:right="0" w:rightChars="0" w:firstLine="643" w:firstLineChars="200"/>
        <w:textAlignment w:val="auto"/>
        <w:outlineLvl w:val="9"/>
        <w:rPr>
          <w:rFonts w:hint="eastAsia" w:ascii="楷体_GB2312" w:hAnsi="楷体_GB2312" w:eastAsia="楷体_GB2312" w:cs="楷体_GB2312"/>
          <w:b/>
          <w:bCs/>
          <w:w w:val="100"/>
          <w:kern w:val="2"/>
          <w:sz w:val="32"/>
          <w:szCs w:val="32"/>
          <w:lang w:val="en-US" w:eastAsia="zh-CN" w:bidi="ar-SA"/>
        </w:rPr>
      </w:pPr>
      <w:r>
        <w:rPr>
          <w:rFonts w:hint="eastAsia" w:ascii="楷体_GB2312" w:hAnsi="楷体_GB2312" w:eastAsia="楷体_GB2312" w:cs="楷体_GB2312"/>
          <w:b/>
          <w:bCs/>
          <w:w w:val="100"/>
          <w:kern w:val="2"/>
          <w:sz w:val="32"/>
          <w:szCs w:val="32"/>
          <w:lang w:val="en-US" w:eastAsia="zh-CN" w:bidi="ar-SA"/>
        </w:rPr>
        <w:t>（七）项目公告公示</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新疆维吾尔自治区财政衔接推进乡村振兴补助资金（巩固拓展脱贫攻坚成果和乡村振兴任务）项目管理办法（暂行）的通知》（新乡振〔2021〕32号）文件规定，项目按事前、事中、事后公开栏进行公示公告，确保项目充分接受群众监督，提高项目资金使用的透明度。</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楷体_GB2312" w:hAnsi="楷体_GB2312" w:eastAsia="楷体_GB2312" w:cs="楷体_GB2312"/>
          <w:b/>
          <w:bCs/>
          <w:w w:val="100"/>
          <w:sz w:val="32"/>
          <w:szCs w:val="32"/>
          <w:lang w:eastAsia="zh-CN"/>
        </w:rPr>
      </w:pPr>
      <w:r>
        <w:rPr>
          <w:rFonts w:hint="eastAsia" w:ascii="楷体_GB2312" w:hAnsi="楷体_GB2312" w:eastAsia="楷体_GB2312" w:cs="楷体_GB2312"/>
          <w:b/>
          <w:bCs/>
          <w:w w:val="100"/>
          <w:sz w:val="32"/>
          <w:szCs w:val="32"/>
          <w:lang w:eastAsia="zh-CN"/>
        </w:rPr>
        <w:t>（</w:t>
      </w:r>
      <w:r>
        <w:rPr>
          <w:rFonts w:hint="eastAsia" w:ascii="楷体_GB2312" w:hAnsi="楷体_GB2312" w:eastAsia="楷体_GB2312" w:cs="楷体_GB2312"/>
          <w:b/>
          <w:bCs/>
          <w:w w:val="100"/>
          <w:sz w:val="32"/>
          <w:szCs w:val="32"/>
          <w:lang w:val="en-US" w:eastAsia="zh-CN"/>
        </w:rPr>
        <w:t>八）项目后期管护及运营管理</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一是该项目产权归</w:t>
      </w:r>
      <w:r>
        <w:rPr>
          <w:rFonts w:hint="eastAsia" w:ascii="仿宋_GB2312" w:hAnsi="仿宋_GB2312" w:eastAsia="仿宋_GB2312" w:cs="仿宋_GB2312"/>
          <w:sz w:val="32"/>
          <w:szCs w:val="32"/>
          <w:highlight w:val="none"/>
          <w:lang w:val="en-US" w:eastAsia="zh-CN"/>
        </w:rPr>
        <w:t>伊拉湖镇阿克塔格村</w:t>
      </w:r>
      <w:r>
        <w:rPr>
          <w:rFonts w:hint="default" w:ascii="仿宋_GB2312" w:hAnsi="仿宋_GB2312" w:eastAsia="仿宋_GB2312" w:cs="仿宋_GB2312"/>
          <w:sz w:val="32"/>
          <w:szCs w:val="32"/>
          <w:highlight w:val="none"/>
          <w:lang w:val="en-US" w:eastAsia="zh-CN"/>
        </w:rPr>
        <w:t>所有；二是建立后续管理监管工作领导小组，明确具体的办事机构和工作人员，落实后续管理措施和办法。三是支持制定项目持续发展计划，落实生产、技术服务的具体措施，及时妥善处理项目后续管理中出现的问题。四是全面跟踪项目运行管理和效益情况，每年开展一次项目后续管理评估。</w:t>
      </w:r>
    </w:p>
    <w:p>
      <w:pPr>
        <w:pStyle w:val="9"/>
        <w:keepNext w:val="0"/>
        <w:keepLines w:val="0"/>
        <w:pageBreakBefore w:val="0"/>
        <w:widowControl w:val="0"/>
        <w:numPr>
          <w:ilvl w:val="0"/>
          <w:numId w:val="1"/>
        </w:numPr>
        <w:kinsoku/>
        <w:wordWrap/>
        <w:overflowPunct/>
        <w:topLinePunct w:val="0"/>
        <w:autoSpaceDN/>
        <w:bidi w:val="0"/>
        <w:adjustRightInd/>
        <w:snapToGrid/>
        <w:spacing w:line="560" w:lineRule="exact"/>
        <w:ind w:firstLine="640" w:firstLineChars="200"/>
        <w:rPr>
          <w:rFonts w:hint="eastAsia" w:ascii="Times New Roman" w:hAnsi="Times New Roman" w:eastAsia="黑体" w:cs="Times New Roman"/>
          <w:b w:val="0"/>
          <w:bCs w:val="0"/>
          <w:w w:val="100"/>
          <w:kern w:val="2"/>
          <w:sz w:val="32"/>
          <w:szCs w:val="32"/>
          <w:lang w:val="en-US" w:eastAsia="zh-CN" w:bidi="ar-SA"/>
        </w:rPr>
      </w:pPr>
      <w:r>
        <w:rPr>
          <w:rFonts w:hint="default" w:ascii="Times New Roman" w:hAnsi="Times New Roman" w:eastAsia="黑体" w:cs="Times New Roman"/>
          <w:b w:val="0"/>
          <w:bCs w:val="0"/>
          <w:w w:val="100"/>
          <w:kern w:val="2"/>
          <w:sz w:val="32"/>
          <w:szCs w:val="32"/>
          <w:lang w:val="en-US" w:eastAsia="zh-CN" w:bidi="ar-SA"/>
        </w:rPr>
        <w:t>简要利益机制</w:t>
      </w:r>
    </w:p>
    <w:p>
      <w:pPr>
        <w:pStyle w:val="9"/>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color w:val="000000"/>
          <w:w w:val="100"/>
          <w:kern w:val="2"/>
          <w:sz w:val="32"/>
          <w:szCs w:val="32"/>
          <w:highlight w:val="none"/>
          <w:lang w:val="en-US" w:eastAsia="zh-CN" w:bidi="ar-SA"/>
        </w:rPr>
      </w:pPr>
      <w:r>
        <w:rPr>
          <w:rFonts w:hint="default" w:ascii="Times New Roman" w:hAnsi="Times New Roman" w:eastAsia="仿宋_GB2312" w:cs="Times New Roman"/>
          <w:color w:val="000000"/>
          <w:w w:val="100"/>
          <w:kern w:val="2"/>
          <w:sz w:val="32"/>
          <w:szCs w:val="32"/>
          <w:highlight w:val="none"/>
          <w:lang w:val="en-US" w:eastAsia="zh-CN" w:bidi="ar-SA"/>
        </w:rPr>
        <w:t>通过项目的实施，能够进一步改善阿克塔格村人居环境，缓解环卫工人压力，解决村垃圾乱倒，垃圾、污水清运不便问题，有效提升古勒巴格村环境卫生和综合治理服务能力，加快城乡融合步伐，为乡村振兴建设提供基础条件。</w:t>
      </w:r>
      <w:bookmarkStart w:id="4" w:name="OLE_LINK5"/>
      <w:r>
        <w:rPr>
          <w:rFonts w:hint="default" w:ascii="Times New Roman" w:hAnsi="Times New Roman" w:eastAsia="仿宋_GB2312" w:cs="Times New Roman"/>
          <w:color w:val="000000"/>
          <w:w w:val="100"/>
          <w:kern w:val="2"/>
          <w:sz w:val="32"/>
          <w:szCs w:val="32"/>
          <w:highlight w:val="none"/>
          <w:lang w:val="en-US" w:eastAsia="zh-CN" w:bidi="ar-SA"/>
        </w:rPr>
        <w:t>项目惠及442户1498人。（其中：脱贫户28户80人、监测对象7户26人）</w:t>
      </w:r>
      <w:bookmarkEnd w:id="4"/>
    </w:p>
    <w:p>
      <w:pPr>
        <w:pStyle w:val="9"/>
        <w:keepNext w:val="0"/>
        <w:keepLines w:val="0"/>
        <w:pageBreakBefore w:val="0"/>
        <w:widowControl w:val="0"/>
        <w:kinsoku/>
        <w:wordWrap/>
        <w:overflowPunct/>
        <w:topLinePunct w:val="0"/>
        <w:autoSpaceDN/>
        <w:bidi w:val="0"/>
        <w:adjustRightInd/>
        <w:snapToGrid/>
        <w:spacing w:line="560" w:lineRule="exact"/>
        <w:ind w:left="0" w:leftChars="0" w:firstLine="640" w:firstLineChars="200"/>
        <w:outlineLvl w:val="0"/>
        <w:rPr>
          <w:rFonts w:hint="default" w:ascii="Times New Roman" w:hAnsi="Times New Roman" w:eastAsia="黑体" w:cs="Times New Roman"/>
          <w:b w:val="0"/>
          <w:bCs w:val="0"/>
          <w:w w:val="100"/>
          <w:kern w:val="2"/>
          <w:sz w:val="32"/>
          <w:szCs w:val="32"/>
          <w:lang w:val="en-US" w:eastAsia="zh-CN" w:bidi="ar-SA"/>
        </w:rPr>
      </w:pPr>
      <w:r>
        <w:rPr>
          <w:rFonts w:hint="eastAsia" w:ascii="Times New Roman" w:hAnsi="Times New Roman" w:eastAsia="黑体" w:cs="Times New Roman"/>
          <w:b w:val="0"/>
          <w:bCs w:val="0"/>
          <w:w w:val="100"/>
          <w:kern w:val="2"/>
          <w:sz w:val="32"/>
          <w:szCs w:val="32"/>
          <w:lang w:val="en-US" w:eastAsia="zh-CN" w:bidi="ar-SA"/>
        </w:rPr>
        <w:t>七</w:t>
      </w:r>
      <w:r>
        <w:rPr>
          <w:rFonts w:hint="default" w:ascii="Times New Roman" w:hAnsi="Times New Roman" w:eastAsia="黑体" w:cs="Times New Roman"/>
          <w:b w:val="0"/>
          <w:bCs w:val="0"/>
          <w:w w:val="100"/>
          <w:kern w:val="2"/>
          <w:sz w:val="32"/>
          <w:szCs w:val="32"/>
          <w:lang w:val="en-US" w:eastAsia="zh-CN" w:bidi="ar-SA"/>
        </w:rPr>
        <w:t>、项目绩效目标及效益分析</w:t>
      </w:r>
    </w:p>
    <w:p>
      <w:pPr>
        <w:pStyle w:val="9"/>
        <w:keepNext w:val="0"/>
        <w:keepLines w:val="0"/>
        <w:pageBreakBefore w:val="0"/>
        <w:widowControl w:val="0"/>
        <w:kinsoku/>
        <w:wordWrap/>
        <w:overflowPunct/>
        <w:topLinePunct w:val="0"/>
        <w:autoSpaceDN/>
        <w:bidi w:val="0"/>
        <w:adjustRightInd/>
        <w:snapToGrid/>
        <w:spacing w:line="560" w:lineRule="exact"/>
        <w:ind w:firstLine="643" w:firstLineChars="200"/>
        <w:rPr>
          <w:rFonts w:hint="default" w:ascii="Times New Roman" w:hAnsi="Times New Roman" w:eastAsia="仿宋_GB2312" w:cs="Times New Roman"/>
          <w:w w:val="100"/>
          <w:sz w:val="32"/>
          <w:szCs w:val="32"/>
          <w:highlight w:val="none"/>
          <w:lang w:val="en-US" w:eastAsia="zh-CN"/>
        </w:rPr>
      </w:pPr>
      <w:r>
        <w:rPr>
          <w:rFonts w:hint="eastAsia" w:ascii="楷体_GB2312" w:hAnsi="楷体_GB2312" w:eastAsia="楷体_GB2312" w:cs="楷体_GB2312"/>
          <w:b/>
          <w:bCs/>
          <w:w w:val="100"/>
          <w:kern w:val="2"/>
          <w:sz w:val="32"/>
          <w:szCs w:val="32"/>
          <w:lang w:val="en-US" w:eastAsia="zh-CN" w:bidi="ar-SA"/>
        </w:rPr>
        <w:t>（一）</w:t>
      </w:r>
      <w:r>
        <w:rPr>
          <w:rFonts w:hint="default" w:ascii="楷体_GB2312" w:hAnsi="楷体_GB2312" w:eastAsia="楷体_GB2312" w:cs="楷体_GB2312"/>
          <w:b/>
          <w:bCs/>
          <w:w w:val="100"/>
          <w:kern w:val="2"/>
          <w:sz w:val="32"/>
          <w:szCs w:val="32"/>
          <w:lang w:val="en-US" w:eastAsia="zh-CN" w:bidi="ar-SA"/>
        </w:rPr>
        <w:t>年度目标</w:t>
      </w:r>
      <w:r>
        <w:rPr>
          <w:rFonts w:hint="eastAsia" w:ascii="楷体_GB2312" w:hAnsi="楷体_GB2312" w:eastAsia="楷体_GB2312" w:cs="楷体_GB2312"/>
          <w:b/>
          <w:bCs/>
          <w:w w:val="100"/>
          <w:kern w:val="2"/>
          <w:sz w:val="32"/>
          <w:szCs w:val="32"/>
          <w:lang w:val="en-US" w:eastAsia="zh-CN" w:bidi="ar-SA"/>
        </w:rPr>
        <w:t>：</w:t>
      </w:r>
      <w:r>
        <w:rPr>
          <w:rFonts w:hint="default" w:ascii="Times New Roman" w:hAnsi="Times New Roman" w:eastAsia="仿宋_GB2312" w:cs="Times New Roman"/>
          <w:w w:val="100"/>
          <w:sz w:val="32"/>
          <w:szCs w:val="32"/>
          <w:highlight w:val="none"/>
          <w:lang w:val="en-US" w:eastAsia="zh-CN"/>
        </w:rPr>
        <w:t>计划为阿克塔格村购置80个垃圾箱</w:t>
      </w:r>
      <w:r>
        <w:rPr>
          <w:rFonts w:hint="eastAsia" w:ascii="Times New Roman" w:hAnsi="Times New Roman" w:eastAsia="仿宋_GB2312" w:cs="Times New Roman"/>
          <w:w w:val="100"/>
          <w:sz w:val="32"/>
          <w:szCs w:val="32"/>
          <w:highlight w:val="none"/>
          <w:lang w:val="en-US" w:eastAsia="zh-CN"/>
        </w:rPr>
        <w:t>。</w:t>
      </w:r>
      <w:r>
        <w:rPr>
          <w:rFonts w:hint="default" w:ascii="Times New Roman" w:hAnsi="Times New Roman" w:eastAsia="仿宋_GB2312" w:cs="Times New Roman"/>
          <w:w w:val="100"/>
          <w:sz w:val="32"/>
          <w:szCs w:val="32"/>
          <w:highlight w:val="none"/>
          <w:lang w:val="en-US" w:eastAsia="zh-CN"/>
        </w:rPr>
        <w:t>通过项目的实施，能够进一步改善阿克塔格村人居环境，缓解环卫工人压力，解决村垃圾乱倒，垃圾、污水清运不便问题，有效提升古勒巴格村环境卫生和综合治理服务能力，加快城乡融合步伐，为乡村振兴建设提供基础条件。</w:t>
      </w:r>
    </w:p>
    <w:p>
      <w:pPr>
        <w:pStyle w:val="9"/>
        <w:keepNext w:val="0"/>
        <w:keepLines w:val="0"/>
        <w:pageBreakBefore w:val="0"/>
        <w:widowControl w:val="0"/>
        <w:kinsoku/>
        <w:wordWrap/>
        <w:overflowPunct/>
        <w:topLinePunct w:val="0"/>
        <w:autoSpaceDN/>
        <w:bidi w:val="0"/>
        <w:adjustRightInd/>
        <w:snapToGrid/>
        <w:spacing w:line="560" w:lineRule="exact"/>
        <w:ind w:firstLine="643" w:firstLineChars="200"/>
        <w:rPr>
          <w:rFonts w:hint="default" w:ascii="Times New Roman" w:hAnsi="Times New Roman" w:eastAsia="仿宋_GB2312" w:cs="Times New Roman"/>
          <w:w w:val="100"/>
          <w:sz w:val="32"/>
          <w:szCs w:val="32"/>
          <w:highlight w:val="none"/>
          <w:lang w:val="en-US" w:eastAsia="zh-CN"/>
        </w:rPr>
      </w:pPr>
      <w:r>
        <w:rPr>
          <w:rFonts w:hint="eastAsia" w:ascii="楷体_GB2312" w:hAnsi="楷体_GB2312" w:eastAsia="楷体_GB2312" w:cs="楷体_GB2312"/>
          <w:b/>
          <w:bCs/>
          <w:w w:val="100"/>
          <w:kern w:val="2"/>
          <w:sz w:val="32"/>
          <w:szCs w:val="32"/>
          <w:lang w:val="en-US" w:eastAsia="zh-CN" w:bidi="ar-SA"/>
        </w:rPr>
        <w:t>（二）</w:t>
      </w:r>
      <w:r>
        <w:rPr>
          <w:rFonts w:hint="default" w:ascii="楷体_GB2312" w:hAnsi="楷体_GB2312" w:eastAsia="楷体_GB2312" w:cs="楷体_GB2312"/>
          <w:b/>
          <w:bCs/>
          <w:w w:val="100"/>
          <w:kern w:val="2"/>
          <w:sz w:val="32"/>
          <w:szCs w:val="32"/>
          <w:lang w:val="en-US" w:eastAsia="zh-CN" w:bidi="ar-SA"/>
        </w:rPr>
        <w:t>项目覆盖情况</w:t>
      </w:r>
      <w:r>
        <w:rPr>
          <w:rFonts w:hint="eastAsia" w:ascii="楷体_GB2312" w:hAnsi="楷体_GB2312" w:eastAsia="楷体_GB2312" w:cs="楷体_GB2312"/>
          <w:b/>
          <w:bCs/>
          <w:w w:val="100"/>
          <w:kern w:val="2"/>
          <w:sz w:val="32"/>
          <w:szCs w:val="32"/>
          <w:lang w:val="en-US" w:eastAsia="zh-CN" w:bidi="ar-SA"/>
        </w:rPr>
        <w:t>：</w:t>
      </w:r>
      <w:r>
        <w:rPr>
          <w:rFonts w:hint="default" w:ascii="Times New Roman" w:hAnsi="Times New Roman" w:eastAsia="仿宋_GB2312" w:cs="Times New Roman"/>
          <w:color w:val="000000"/>
          <w:w w:val="100"/>
          <w:kern w:val="2"/>
          <w:sz w:val="32"/>
          <w:szCs w:val="32"/>
          <w:highlight w:val="none"/>
          <w:lang w:val="en-US" w:eastAsia="zh-CN" w:bidi="ar-SA"/>
        </w:rPr>
        <w:t>项目惠及442户1498人。（其中：脱贫户28户80人、监测对象7户26人）</w:t>
      </w:r>
    </w:p>
    <w:p>
      <w:pPr>
        <w:pStyle w:val="9"/>
        <w:keepNext w:val="0"/>
        <w:keepLines w:val="0"/>
        <w:pageBreakBefore w:val="0"/>
        <w:widowControl w:val="0"/>
        <w:kinsoku/>
        <w:wordWrap/>
        <w:overflowPunct/>
        <w:topLinePunct w:val="0"/>
        <w:autoSpaceDN/>
        <w:bidi w:val="0"/>
        <w:adjustRightInd/>
        <w:snapToGrid/>
        <w:spacing w:line="560" w:lineRule="exact"/>
        <w:ind w:firstLine="643" w:firstLineChars="200"/>
        <w:rPr>
          <w:rFonts w:hint="default" w:ascii="Times New Roman" w:hAnsi="Times New Roman" w:eastAsia="仿宋_GB2312" w:cs="Times New Roman"/>
          <w:b w:val="0"/>
          <w:bCs w:val="0"/>
          <w:w w:val="100"/>
          <w:sz w:val="32"/>
          <w:szCs w:val="32"/>
          <w:highlight w:val="none"/>
          <w:lang w:val="en-US" w:eastAsia="zh-CN"/>
        </w:rPr>
      </w:pPr>
      <w:r>
        <w:rPr>
          <w:rFonts w:hint="eastAsia" w:ascii="楷体_GB2312" w:hAnsi="楷体_GB2312" w:eastAsia="楷体_GB2312" w:cs="楷体_GB2312"/>
          <w:b/>
          <w:bCs/>
          <w:w w:val="100"/>
          <w:kern w:val="2"/>
          <w:sz w:val="32"/>
          <w:szCs w:val="32"/>
          <w:lang w:val="en-US" w:eastAsia="zh-CN" w:bidi="ar-SA"/>
        </w:rPr>
        <w:t>（三）直接</w:t>
      </w:r>
      <w:r>
        <w:rPr>
          <w:rFonts w:hint="default" w:ascii="楷体_GB2312" w:hAnsi="楷体_GB2312" w:eastAsia="楷体_GB2312" w:cs="楷体_GB2312"/>
          <w:b/>
          <w:bCs/>
          <w:w w:val="100"/>
          <w:kern w:val="2"/>
          <w:sz w:val="32"/>
          <w:szCs w:val="32"/>
          <w:lang w:val="en-US" w:eastAsia="zh-CN" w:bidi="ar-SA"/>
        </w:rPr>
        <w:t>效益</w:t>
      </w:r>
      <w:r>
        <w:rPr>
          <w:rFonts w:hint="eastAsia" w:ascii="楷体_GB2312" w:hAnsi="楷体_GB2312" w:eastAsia="楷体_GB2312" w:cs="楷体_GB2312"/>
          <w:b/>
          <w:bCs/>
          <w:w w:val="100"/>
          <w:kern w:val="2"/>
          <w:sz w:val="32"/>
          <w:szCs w:val="32"/>
          <w:lang w:val="en-US" w:eastAsia="zh-CN" w:bidi="ar-SA"/>
        </w:rPr>
        <w:t>：</w:t>
      </w:r>
      <w:r>
        <w:rPr>
          <w:rFonts w:hint="default" w:ascii="Times New Roman" w:hAnsi="Times New Roman" w:eastAsia="仿宋_GB2312" w:cs="Times New Roman"/>
          <w:b w:val="0"/>
          <w:bCs w:val="0"/>
          <w:w w:val="100"/>
          <w:sz w:val="32"/>
          <w:szCs w:val="32"/>
          <w:highlight w:val="none"/>
          <w:lang w:val="en-US" w:eastAsia="zh-CN"/>
        </w:rPr>
        <w:t>项目的</w:t>
      </w:r>
      <w:r>
        <w:rPr>
          <w:rFonts w:hint="eastAsia" w:ascii="Times New Roman" w:hAnsi="Times New Roman" w:eastAsia="仿宋_GB2312" w:cs="Times New Roman"/>
          <w:b w:val="0"/>
          <w:bCs w:val="0"/>
          <w:w w:val="100"/>
          <w:sz w:val="32"/>
          <w:szCs w:val="32"/>
          <w:highlight w:val="none"/>
          <w:lang w:val="en-US" w:eastAsia="zh-CN"/>
        </w:rPr>
        <w:t>实施</w:t>
      </w:r>
      <w:r>
        <w:rPr>
          <w:rFonts w:hint="default" w:ascii="Times New Roman" w:hAnsi="Times New Roman" w:eastAsia="仿宋_GB2312" w:cs="Times New Roman"/>
          <w:b w:val="0"/>
          <w:bCs w:val="0"/>
          <w:w w:val="100"/>
          <w:sz w:val="32"/>
          <w:szCs w:val="32"/>
          <w:highlight w:val="none"/>
          <w:lang w:val="en-US" w:eastAsia="zh-CN"/>
        </w:rPr>
        <w:t>，快速实现农村人居环境综合整治</w:t>
      </w:r>
      <w:r>
        <w:rPr>
          <w:rFonts w:hint="eastAsia" w:ascii="Times New Roman" w:hAnsi="Times New Roman" w:eastAsia="仿宋_GB2312" w:cs="Times New Roman"/>
          <w:b w:val="0"/>
          <w:bCs w:val="0"/>
          <w:w w:val="100"/>
          <w:sz w:val="32"/>
          <w:szCs w:val="32"/>
          <w:highlight w:val="none"/>
          <w:lang w:val="en-US" w:eastAsia="zh-CN"/>
        </w:rPr>
        <w:t>工作推进</w:t>
      </w:r>
      <w:r>
        <w:rPr>
          <w:rFonts w:hint="default" w:ascii="Times New Roman" w:hAnsi="Times New Roman" w:eastAsia="仿宋_GB2312" w:cs="Times New Roman"/>
          <w:b w:val="0"/>
          <w:bCs w:val="0"/>
          <w:w w:val="100"/>
          <w:sz w:val="32"/>
          <w:szCs w:val="32"/>
          <w:highlight w:val="none"/>
          <w:lang w:val="en-US" w:eastAsia="zh-CN"/>
        </w:rPr>
        <w:t>，落实大力推广“收集、转运”的垃圾一体化处理要求,有效处置我村生活垃圾</w:t>
      </w:r>
      <w:r>
        <w:rPr>
          <w:rFonts w:hint="eastAsia" w:ascii="Times New Roman" w:hAnsi="Times New Roman" w:eastAsia="仿宋_GB2312" w:cs="Times New Roman"/>
          <w:b w:val="0"/>
          <w:bCs w:val="0"/>
          <w:w w:val="100"/>
          <w:sz w:val="32"/>
          <w:szCs w:val="32"/>
          <w:highlight w:val="none"/>
          <w:lang w:val="en-US" w:eastAsia="zh-CN"/>
        </w:rPr>
        <w:t>，</w:t>
      </w:r>
      <w:r>
        <w:rPr>
          <w:rFonts w:hint="default" w:ascii="Times New Roman" w:hAnsi="Times New Roman" w:eastAsia="仿宋_GB2312" w:cs="Times New Roman"/>
          <w:b w:val="0"/>
          <w:bCs w:val="0"/>
          <w:w w:val="100"/>
          <w:sz w:val="32"/>
          <w:szCs w:val="32"/>
          <w:highlight w:val="none"/>
          <w:lang w:val="en-US" w:eastAsia="zh-CN"/>
        </w:rPr>
        <w:t>宣传和普及农村环保知识</w:t>
      </w:r>
      <w:r>
        <w:rPr>
          <w:rFonts w:hint="eastAsia" w:ascii="Times New Roman" w:hAnsi="Times New Roman" w:eastAsia="仿宋_GB2312" w:cs="Times New Roman"/>
          <w:b w:val="0"/>
          <w:bCs w:val="0"/>
          <w:w w:val="100"/>
          <w:sz w:val="32"/>
          <w:szCs w:val="32"/>
          <w:highlight w:val="none"/>
          <w:lang w:val="en-US" w:eastAsia="zh-CN"/>
        </w:rPr>
        <w:t>，</w:t>
      </w:r>
      <w:r>
        <w:rPr>
          <w:rFonts w:hint="default" w:ascii="Times New Roman" w:hAnsi="Times New Roman" w:eastAsia="仿宋_GB2312" w:cs="Times New Roman"/>
          <w:b w:val="0"/>
          <w:bCs w:val="0"/>
          <w:w w:val="100"/>
          <w:sz w:val="32"/>
          <w:szCs w:val="32"/>
          <w:highlight w:val="none"/>
          <w:lang w:val="en-US" w:eastAsia="zh-CN"/>
        </w:rPr>
        <w:t>提高广大农民的环境意识和监督意识</w:t>
      </w:r>
      <w:r>
        <w:rPr>
          <w:rFonts w:hint="eastAsia" w:ascii="Times New Roman" w:hAnsi="Times New Roman" w:eastAsia="仿宋_GB2312" w:cs="Times New Roman"/>
          <w:b w:val="0"/>
          <w:bCs w:val="0"/>
          <w:w w:val="100"/>
          <w:sz w:val="32"/>
          <w:szCs w:val="32"/>
          <w:highlight w:val="none"/>
          <w:lang w:val="en-US" w:eastAsia="zh-CN"/>
        </w:rPr>
        <w:t>，</w:t>
      </w:r>
      <w:r>
        <w:rPr>
          <w:rFonts w:hint="default" w:ascii="Times New Roman" w:hAnsi="Times New Roman" w:eastAsia="仿宋_GB2312" w:cs="Times New Roman"/>
          <w:b w:val="0"/>
          <w:bCs w:val="0"/>
          <w:w w:val="100"/>
          <w:sz w:val="32"/>
          <w:szCs w:val="32"/>
          <w:highlight w:val="none"/>
          <w:lang w:val="en-US" w:eastAsia="zh-CN"/>
        </w:rPr>
        <w:t>使我村环境污染问题得到</w:t>
      </w:r>
      <w:r>
        <w:rPr>
          <w:rFonts w:hint="eastAsia" w:ascii="Times New Roman" w:hAnsi="Times New Roman" w:eastAsia="仿宋_GB2312" w:cs="Times New Roman"/>
          <w:b w:val="0"/>
          <w:bCs w:val="0"/>
          <w:w w:val="100"/>
          <w:sz w:val="32"/>
          <w:szCs w:val="32"/>
          <w:highlight w:val="none"/>
          <w:lang w:val="en-US" w:eastAsia="zh-CN"/>
        </w:rPr>
        <w:t>有效地</w:t>
      </w:r>
      <w:r>
        <w:rPr>
          <w:rFonts w:hint="default" w:ascii="Times New Roman" w:hAnsi="Times New Roman" w:eastAsia="仿宋_GB2312" w:cs="Times New Roman"/>
          <w:b w:val="0"/>
          <w:bCs w:val="0"/>
          <w:w w:val="100"/>
          <w:sz w:val="32"/>
          <w:szCs w:val="32"/>
          <w:highlight w:val="none"/>
          <w:lang w:val="en-US" w:eastAsia="zh-CN"/>
        </w:rPr>
        <w:t>遏制。</w:t>
      </w:r>
    </w:p>
    <w:p>
      <w:pPr>
        <w:keepNext w:val="0"/>
        <w:keepLines w:val="0"/>
        <w:pageBreakBefore w:val="0"/>
        <w:widowControl w:val="0"/>
        <w:kinsoku/>
        <w:wordWrap/>
        <w:overflowPunct/>
        <w:topLinePunct w:val="0"/>
        <w:autoSpaceDN/>
        <w:bidi w:val="0"/>
        <w:adjustRightInd/>
        <w:snapToGrid/>
        <w:spacing w:line="560" w:lineRule="exact"/>
        <w:ind w:firstLine="643" w:firstLineChars="200"/>
        <w:jc w:val="both"/>
        <w:textAlignment w:val="auto"/>
        <w:rPr>
          <w:rFonts w:hint="default" w:ascii="Times New Roman" w:hAnsi="Times New Roman" w:eastAsia="仿宋_GB2312" w:cs="Times New Roman"/>
          <w:b w:val="0"/>
          <w:bCs w:val="0"/>
          <w:w w:val="100"/>
          <w:kern w:val="2"/>
          <w:sz w:val="32"/>
          <w:szCs w:val="32"/>
          <w:highlight w:val="none"/>
          <w:lang w:val="en-US" w:eastAsia="zh-CN" w:bidi="ar-SA"/>
        </w:rPr>
      </w:pPr>
      <w:r>
        <w:rPr>
          <w:rFonts w:hint="eastAsia" w:ascii="楷体_GB2312" w:hAnsi="楷体_GB2312" w:eastAsia="楷体_GB2312" w:cs="楷体_GB2312"/>
          <w:b/>
          <w:bCs/>
          <w:w w:val="100"/>
          <w:kern w:val="2"/>
          <w:sz w:val="32"/>
          <w:szCs w:val="32"/>
          <w:lang w:val="en-US" w:eastAsia="zh-CN" w:bidi="ar-SA"/>
        </w:rPr>
        <w:t>（四）生态环境</w:t>
      </w:r>
      <w:r>
        <w:rPr>
          <w:rFonts w:hint="default" w:ascii="楷体_GB2312" w:hAnsi="楷体_GB2312" w:eastAsia="楷体_GB2312" w:cs="楷体_GB2312"/>
          <w:b/>
          <w:bCs/>
          <w:w w:val="100"/>
          <w:kern w:val="2"/>
          <w:sz w:val="32"/>
          <w:szCs w:val="32"/>
          <w:lang w:val="en-US" w:eastAsia="zh-CN" w:bidi="ar-SA"/>
        </w:rPr>
        <w:t>效益</w:t>
      </w:r>
      <w:r>
        <w:rPr>
          <w:rFonts w:hint="eastAsia" w:ascii="楷体_GB2312" w:hAnsi="楷体_GB2312" w:eastAsia="楷体_GB2312" w:cs="楷体_GB2312"/>
          <w:b/>
          <w:bCs/>
          <w:w w:val="100"/>
          <w:kern w:val="2"/>
          <w:sz w:val="32"/>
          <w:szCs w:val="32"/>
          <w:lang w:val="en-US" w:eastAsia="zh-CN" w:bidi="ar-SA"/>
        </w:rPr>
        <w:t>：</w:t>
      </w:r>
      <w:r>
        <w:rPr>
          <w:rFonts w:hint="default" w:ascii="Times New Roman" w:hAnsi="Times New Roman" w:eastAsia="仿宋_GB2312" w:cs="Times New Roman"/>
          <w:b w:val="0"/>
          <w:bCs w:val="0"/>
          <w:w w:val="100"/>
          <w:kern w:val="2"/>
          <w:sz w:val="32"/>
          <w:szCs w:val="32"/>
          <w:highlight w:val="none"/>
          <w:lang w:val="en-US" w:eastAsia="zh-CN" w:bidi="ar-SA"/>
        </w:rPr>
        <w:t>一是项目实施后，全村垃圾箱配备率显著提升，将改善全村垃圾收运处置能力，生活垃圾定点存放清运率</w:t>
      </w:r>
      <w:r>
        <w:rPr>
          <w:rFonts w:hint="eastAsia" w:ascii="仿宋_GB2312" w:hAnsi="仿宋_GB2312" w:eastAsia="仿宋_GB2312" w:cs="仿宋_GB2312"/>
          <w:b w:val="0"/>
          <w:bCs w:val="0"/>
          <w:w w:val="100"/>
          <w:kern w:val="2"/>
          <w:sz w:val="32"/>
          <w:szCs w:val="32"/>
          <w:highlight w:val="none"/>
          <w:lang w:val="en-US" w:eastAsia="zh-CN" w:bidi="ar-SA"/>
        </w:rPr>
        <w:t>可达到100%，有效改</w:t>
      </w:r>
      <w:r>
        <w:rPr>
          <w:rFonts w:hint="default" w:ascii="Times New Roman" w:hAnsi="Times New Roman" w:eastAsia="仿宋_GB2312" w:cs="Times New Roman"/>
          <w:b w:val="0"/>
          <w:bCs w:val="0"/>
          <w:w w:val="100"/>
          <w:kern w:val="2"/>
          <w:sz w:val="32"/>
          <w:szCs w:val="32"/>
          <w:highlight w:val="none"/>
          <w:lang w:val="en-US" w:eastAsia="zh-CN" w:bidi="ar-SA"/>
        </w:rPr>
        <w:t>善人居环境，提高污染治理。二是进一步改善村庄人居环境，缓解环卫工人压力，也解决村垃圾乱倒，垃圾、污水清运不便问题，有效提升村庄环境卫生和综合治理服务能力，加快城乡融合步伐，为乡村振兴建设提供基础条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w w:val="100"/>
          <w:kern w:val="2"/>
          <w:sz w:val="32"/>
          <w:szCs w:val="32"/>
          <w:highlight w:val="none"/>
          <w:lang w:val="en-US" w:eastAsia="zh-CN" w:bidi="ar-SA"/>
        </w:rPr>
      </w:pPr>
      <w:r>
        <w:rPr>
          <w:rFonts w:hint="eastAsia" w:ascii="楷体_GB2312" w:hAnsi="楷体_GB2312" w:eastAsia="楷体_GB2312" w:cs="楷体_GB2312"/>
          <w:b/>
          <w:bCs/>
          <w:w w:val="100"/>
          <w:kern w:val="2"/>
          <w:sz w:val="32"/>
          <w:szCs w:val="32"/>
          <w:lang w:val="en-US" w:eastAsia="zh-CN" w:bidi="ar-SA"/>
        </w:rPr>
        <w:t>（五）</w:t>
      </w:r>
      <w:r>
        <w:rPr>
          <w:rFonts w:hint="default" w:ascii="楷体_GB2312" w:hAnsi="楷体_GB2312" w:eastAsia="楷体_GB2312" w:cs="楷体_GB2312"/>
          <w:b/>
          <w:bCs/>
          <w:w w:val="100"/>
          <w:kern w:val="2"/>
          <w:sz w:val="32"/>
          <w:szCs w:val="32"/>
          <w:lang w:val="en-US" w:eastAsia="zh-CN" w:bidi="ar-SA"/>
        </w:rPr>
        <w:t>社会效益</w:t>
      </w:r>
      <w:r>
        <w:rPr>
          <w:rFonts w:hint="eastAsia" w:ascii="楷体_GB2312" w:hAnsi="楷体_GB2312" w:eastAsia="楷体_GB2312" w:cs="楷体_GB2312"/>
          <w:b/>
          <w:bCs/>
          <w:w w:val="100"/>
          <w:kern w:val="2"/>
          <w:sz w:val="32"/>
          <w:szCs w:val="32"/>
          <w:lang w:val="en-US" w:eastAsia="zh-CN" w:bidi="ar-SA"/>
        </w:rPr>
        <w:t>：</w:t>
      </w:r>
      <w:r>
        <w:rPr>
          <w:rFonts w:hint="eastAsia" w:ascii="Times New Roman" w:hAnsi="Times New Roman" w:eastAsia="仿宋_GB2312" w:cs="Times New Roman"/>
          <w:b w:val="0"/>
          <w:bCs w:val="0"/>
          <w:w w:val="100"/>
          <w:kern w:val="2"/>
          <w:sz w:val="32"/>
          <w:szCs w:val="32"/>
          <w:highlight w:val="none"/>
          <w:lang w:val="en-US" w:eastAsia="zh-CN" w:bidi="ar-SA"/>
        </w:rPr>
        <w:t>该项目的实施，改善郭若村农村生产生活环境，解决当前农村突出的环境问题，提高群众生活质量，倡导文明村风和良好的生产生活方式，进一步改善村容村貌；增强干部和群众的生态环境保护意识，推动城乡一体化建设，促进农村物质文明、精神文明、政治文明和生态文明的协调发展</w:t>
      </w:r>
      <w:r>
        <w:rPr>
          <w:rFonts w:hint="default" w:ascii="Times New Roman" w:hAnsi="Times New Roman" w:eastAsia="仿宋_GB2312" w:cs="Times New Roman"/>
          <w:b w:val="0"/>
          <w:bCs w:val="0"/>
          <w:w w:val="10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w w:val="100"/>
          <w:kern w:val="2"/>
          <w:sz w:val="32"/>
          <w:szCs w:val="32"/>
          <w:lang w:val="en-US" w:eastAsia="zh-CN" w:bidi="ar-SA"/>
        </w:rPr>
        <w:t>（六）可持续性影响：</w:t>
      </w:r>
      <w:r>
        <w:rPr>
          <w:rFonts w:hint="eastAsia" w:ascii="仿宋_GB2312" w:hAnsi="仿宋_GB2312" w:eastAsia="仿宋_GB2312" w:cs="仿宋_GB2312"/>
          <w:b w:val="0"/>
          <w:bCs w:val="0"/>
          <w:kern w:val="2"/>
          <w:sz w:val="32"/>
          <w:szCs w:val="32"/>
          <w:lang w:val="en-US" w:eastAsia="zh-CN" w:bidi="ar-SA"/>
        </w:rPr>
        <w:t>有利于改善环境卫生，减少疾病的发生和流行。垃圾箱使用年限可达到5年及以上，有助于群众养成良好卫生习惯，能够有效提升群众环保意识，为打造良好卫生环境的乡村提供基础保障。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w w:val="100"/>
          <w:kern w:val="2"/>
          <w:sz w:val="32"/>
          <w:szCs w:val="32"/>
          <w:lang w:val="en-US" w:eastAsia="zh-CN" w:bidi="ar-SA"/>
        </w:rPr>
        <w:t>（七）服务对象满意度：</w:t>
      </w:r>
      <w:r>
        <w:rPr>
          <w:rFonts w:hint="eastAsia" w:ascii="仿宋_GB2312" w:hAnsi="仿宋_GB2312" w:eastAsia="仿宋_GB2312" w:cs="仿宋_GB2312"/>
          <w:b w:val="0"/>
          <w:bCs w:val="0"/>
          <w:kern w:val="2"/>
          <w:sz w:val="32"/>
          <w:szCs w:val="32"/>
          <w:lang w:val="en-US" w:eastAsia="zh-CN" w:bidi="ar-SA"/>
        </w:rPr>
        <w:t>该项目实施后预计受益脱贫户及监测户人口满意度达到95%以上，项目区受益村民满意度可达到90%以上。</w:t>
      </w:r>
    </w:p>
    <w:p>
      <w:pPr>
        <w:pStyle w:val="9"/>
        <w:keepNext w:val="0"/>
        <w:keepLines w:val="0"/>
        <w:pageBreakBefore w:val="0"/>
        <w:widowControl w:val="0"/>
        <w:kinsoku/>
        <w:wordWrap/>
        <w:overflowPunct/>
        <w:topLinePunct w:val="0"/>
        <w:autoSpaceDN/>
        <w:bidi w:val="0"/>
        <w:adjustRightInd/>
        <w:snapToGrid/>
        <w:spacing w:line="560" w:lineRule="exact"/>
        <w:ind w:left="0" w:leftChars="0" w:firstLine="640" w:firstLineChars="200"/>
        <w:outlineLvl w:val="0"/>
        <w:rPr>
          <w:rFonts w:hint="eastAsia" w:ascii="Times New Roman" w:hAnsi="Times New Roman" w:eastAsia="黑体" w:cs="Times New Roman"/>
          <w:b w:val="0"/>
          <w:bCs w:val="0"/>
          <w:w w:val="100"/>
          <w:kern w:val="2"/>
          <w:sz w:val="32"/>
          <w:szCs w:val="32"/>
          <w:lang w:val="en-US" w:eastAsia="zh-CN" w:bidi="ar-SA"/>
        </w:rPr>
      </w:pPr>
      <w:r>
        <w:rPr>
          <w:rFonts w:hint="eastAsia" w:ascii="Times New Roman" w:hAnsi="Times New Roman" w:eastAsia="黑体" w:cs="Times New Roman"/>
          <w:b w:val="0"/>
          <w:bCs w:val="0"/>
          <w:w w:val="100"/>
          <w:kern w:val="2"/>
          <w:sz w:val="32"/>
          <w:szCs w:val="32"/>
          <w:lang w:val="en-US" w:eastAsia="zh-CN" w:bidi="ar-SA"/>
        </w:rPr>
        <w:t>八、风险分析</w:t>
      </w:r>
    </w:p>
    <w:p>
      <w:pPr>
        <w:pStyle w:val="9"/>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kern w:val="2"/>
          <w:sz w:val="32"/>
          <w:szCs w:val="32"/>
          <w:lang w:val="en-US" w:eastAsia="zh-CN" w:bidi="ar-SA"/>
        </w:rPr>
      </w:pPr>
      <w:r>
        <w:rPr>
          <w:rFonts w:hint="eastAsia" w:ascii="仿宋_GB2312" w:hAnsi="仿宋_GB2312" w:eastAsia="仿宋_GB2312" w:cs="仿宋_GB2312"/>
          <w:b/>
          <w:bCs w:val="0"/>
          <w:kern w:val="2"/>
          <w:sz w:val="32"/>
          <w:szCs w:val="32"/>
          <w:lang w:val="en-US" w:eastAsia="zh-CN" w:bidi="ar-SA"/>
        </w:rPr>
        <w:t>（一）主要风险因素：</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val="0"/>
          <w:kern w:val="2"/>
          <w:sz w:val="32"/>
          <w:szCs w:val="32"/>
          <w:lang w:val="en-US" w:eastAsia="zh-CN" w:bidi="ar-SA"/>
        </w:rPr>
        <w:t>质量风险：</w:t>
      </w:r>
      <w:r>
        <w:rPr>
          <w:rFonts w:hint="eastAsia" w:ascii="仿宋_GB2312" w:hAnsi="仿宋_GB2312" w:eastAsia="仿宋_GB2312" w:cs="仿宋_GB2312"/>
          <w:kern w:val="2"/>
          <w:sz w:val="32"/>
          <w:szCs w:val="32"/>
          <w:lang w:val="en-US" w:eastAsia="zh-CN" w:bidi="ar-SA"/>
        </w:rPr>
        <w:t>采购的垃圾箱应严格把控验收质量，以防质量不合格，造成资金浪费。</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市场价格风险：</w:t>
      </w:r>
      <w:r>
        <w:rPr>
          <w:rFonts w:hint="eastAsia" w:ascii="仿宋_GB2312" w:hAnsi="仿宋_GB2312" w:eastAsia="仿宋_GB2312" w:cs="仿宋_GB2312"/>
          <w:kern w:val="2"/>
          <w:sz w:val="32"/>
          <w:szCs w:val="32"/>
          <w:lang w:val="en-US" w:eastAsia="zh-CN" w:bidi="ar-SA"/>
        </w:rPr>
        <w:t>实际采购垃圾箱时，可能存在市场价格变动风险，导致实际价格与预算不符。</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后期管护风险：</w:t>
      </w:r>
      <w:r>
        <w:rPr>
          <w:rFonts w:hint="eastAsia" w:ascii="仿宋_GB2312" w:hAnsi="仿宋_GB2312" w:eastAsia="仿宋_GB2312" w:cs="仿宋_GB2312"/>
          <w:kern w:val="2"/>
          <w:sz w:val="32"/>
          <w:szCs w:val="32"/>
          <w:lang w:val="en-US" w:eastAsia="zh-CN" w:bidi="ar-SA"/>
        </w:rPr>
        <w:t>如果不制定有效的后期管理制度和维修保养规定，可能导致垃圾箱损坏的可能性，减少正常使用寿命。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kern w:val="2"/>
          <w:sz w:val="32"/>
          <w:szCs w:val="32"/>
          <w:highlight w:val="none"/>
          <w:lang w:val="en-US" w:eastAsia="zh-CN" w:bidi="ar-SA"/>
        </w:rPr>
      </w:pPr>
      <w:r>
        <w:rPr>
          <w:rFonts w:hint="eastAsia" w:ascii="仿宋_GB2312" w:hAnsi="仿宋_GB2312" w:eastAsia="仿宋_GB2312" w:cs="仿宋_GB2312"/>
          <w:b/>
          <w:bCs w:val="0"/>
          <w:kern w:val="2"/>
          <w:sz w:val="32"/>
          <w:szCs w:val="32"/>
          <w:highlight w:val="none"/>
          <w:lang w:val="en-US" w:eastAsia="zh-CN" w:bidi="ar-SA"/>
        </w:rPr>
        <w:t>（二）防范化解措施：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一是严格按照要求采取政府采购，对厂家资质进行仔细核对，购买正规垃圾箱。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二是对市场进行调研，通过询价、招标等方式选择质量合格，服务有保障的采购方，降低采购成本，确保项目产品质量和服务质量。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sectPr>
          <w:pgSz w:w="11906" w:h="16838"/>
          <w:pgMar w:top="2098" w:right="1474" w:bottom="2098" w:left="1531" w:header="851" w:footer="992" w:gutter="0"/>
          <w:pgBorders>
            <w:top w:val="none" w:sz="0" w:space="0"/>
            <w:left w:val="none" w:sz="0" w:space="0"/>
            <w:bottom w:val="none" w:sz="0" w:space="0"/>
            <w:right w:val="none" w:sz="0" w:space="0"/>
          </w:pgBorders>
          <w:cols w:space="720" w:num="1"/>
          <w:docGrid w:linePitch="286" w:charSpace="0"/>
        </w:sectPr>
      </w:pPr>
      <w:r>
        <w:rPr>
          <w:rFonts w:hint="eastAsia" w:ascii="仿宋_GB2312" w:hAnsi="仿宋_GB2312" w:eastAsia="仿宋_GB2312" w:cs="仿宋_GB2312"/>
          <w:sz w:val="32"/>
          <w:szCs w:val="32"/>
          <w:highlight w:val="none"/>
          <w:lang w:val="en-US" w:eastAsia="zh-CN"/>
        </w:rPr>
        <w:t>三是</w:t>
      </w:r>
      <w:r>
        <w:rPr>
          <w:rFonts w:hint="eastAsia" w:ascii="仿宋_GB2312" w:hAnsi="仿宋_GB2312" w:eastAsia="仿宋_GB2312" w:cs="仿宋_GB2312"/>
          <w:kern w:val="2"/>
          <w:sz w:val="32"/>
          <w:szCs w:val="32"/>
          <w:lang w:val="en-US" w:eastAsia="zh-CN" w:bidi="ar-SA"/>
        </w:rPr>
        <w:t>制定项目后期管理制度，安排专人</w:t>
      </w:r>
      <w:r>
        <w:rPr>
          <w:rFonts w:hint="eastAsia" w:ascii="仿宋_GB2312" w:hAnsi="仿宋_GB2312" w:eastAsia="仿宋_GB2312" w:cs="仿宋_GB2312"/>
          <w:sz w:val="32"/>
          <w:szCs w:val="32"/>
          <w:highlight w:val="none"/>
          <w:lang w:val="en-US" w:eastAsia="zh-CN"/>
        </w:rPr>
        <w:t>定期对垃圾箱进行检验及时进行维修。</w:t>
      </w:r>
    </w:p>
    <w:p>
      <w:pPr>
        <w:pageBreakBefore w:val="0"/>
        <w:kinsoku/>
        <w:wordWrap/>
        <w:overflowPunct/>
        <w:topLinePunct w:val="0"/>
        <w:bidi w:val="0"/>
        <w:snapToGrid/>
        <w:spacing w:line="560" w:lineRule="exact"/>
      </w:pPr>
    </w:p>
    <w:sectPr>
      <w:pgSz w:w="11906" w:h="16838"/>
      <w:pgMar w:top="2098" w:right="1474" w:bottom="2098" w:left="1531" w:header="851" w:footer="992" w:gutter="0"/>
      <w:pgBorders>
        <w:top w:val="none" w:sz="0" w:space="0"/>
        <w:left w:val="none" w:sz="0" w:space="0"/>
        <w:bottom w:val="none" w:sz="0" w:space="0"/>
        <w:right w:val="none" w:sz="0" w:space="0"/>
      </w:pgBorders>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0" w:usb1="00000000" w:usb2="00000000" w:usb3="00000000" w:csb0="00000000" w:csb1="00000000"/>
  </w:font>
  <w:font w:name="HYb2gj">
    <w:altName w:val="宋体"/>
    <w:panose1 w:val="00000000000000000000"/>
    <w:charset w:val="86"/>
    <w:family w:val="modern"/>
    <w:pitch w:val="default"/>
    <w:sig w:usb0="00000000" w:usb1="00000000" w:usb2="00000010" w:usb3="00000000" w:csb0="00040000" w:csb1="00000000"/>
  </w:font>
  <w:font w:name="方正小标宋简体">
    <w:panose1 w:val="02010600010101010101"/>
    <w:charset w:val="86"/>
    <w:family w:val="script"/>
    <w:pitch w:val="default"/>
    <w:sig w:usb0="00000000" w:usb1="00000000" w:usb2="00000000" w:usb3="00000000" w:csb0="00000000" w:csb1="00000000"/>
  </w:font>
  <w:font w:name="方正黑体简体">
    <w:altName w:val="微软雅黑"/>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FED5F2"/>
    <w:multiLevelType w:val="singleLevel"/>
    <w:tmpl w:val="FEFED5F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YjFjMmIwMDJjMWYwZTEyYTM2YTY5OTY1ZThiNWIifQ=="/>
  </w:docVars>
  <w:rsids>
    <w:rsidRoot w:val="00000000"/>
    <w:rsid w:val="00F30A41"/>
    <w:rsid w:val="02D067F3"/>
    <w:rsid w:val="03685798"/>
    <w:rsid w:val="03AB4FE2"/>
    <w:rsid w:val="044A2B96"/>
    <w:rsid w:val="048F0DA5"/>
    <w:rsid w:val="04D0161E"/>
    <w:rsid w:val="05965AB5"/>
    <w:rsid w:val="05B70E3B"/>
    <w:rsid w:val="077D3AC3"/>
    <w:rsid w:val="07CD7BA8"/>
    <w:rsid w:val="085F76C0"/>
    <w:rsid w:val="09744F4B"/>
    <w:rsid w:val="09CF1FCF"/>
    <w:rsid w:val="0A527C34"/>
    <w:rsid w:val="0A755D1B"/>
    <w:rsid w:val="0D20362A"/>
    <w:rsid w:val="0DE13180"/>
    <w:rsid w:val="0E8B4793"/>
    <w:rsid w:val="0F613696"/>
    <w:rsid w:val="0FBF7778"/>
    <w:rsid w:val="0FD7617F"/>
    <w:rsid w:val="10175BDA"/>
    <w:rsid w:val="1068327B"/>
    <w:rsid w:val="11924D4D"/>
    <w:rsid w:val="12B66520"/>
    <w:rsid w:val="13FAA8EC"/>
    <w:rsid w:val="152362B5"/>
    <w:rsid w:val="15B31BC3"/>
    <w:rsid w:val="163B64AB"/>
    <w:rsid w:val="16E24FBD"/>
    <w:rsid w:val="1808190A"/>
    <w:rsid w:val="182801FE"/>
    <w:rsid w:val="18E64F81"/>
    <w:rsid w:val="191159E2"/>
    <w:rsid w:val="1AFA2E21"/>
    <w:rsid w:val="1B586298"/>
    <w:rsid w:val="1CF30371"/>
    <w:rsid w:val="1D301BA6"/>
    <w:rsid w:val="1D6201D8"/>
    <w:rsid w:val="223C06B0"/>
    <w:rsid w:val="22F8672B"/>
    <w:rsid w:val="23D22653"/>
    <w:rsid w:val="25C01902"/>
    <w:rsid w:val="26921717"/>
    <w:rsid w:val="27B77BB8"/>
    <w:rsid w:val="28515E0F"/>
    <w:rsid w:val="289C555E"/>
    <w:rsid w:val="289F315B"/>
    <w:rsid w:val="293B7327"/>
    <w:rsid w:val="298C6935"/>
    <w:rsid w:val="2B354093"/>
    <w:rsid w:val="2C47164E"/>
    <w:rsid w:val="2EE67D66"/>
    <w:rsid w:val="2F704202"/>
    <w:rsid w:val="309E778F"/>
    <w:rsid w:val="32432CB5"/>
    <w:rsid w:val="34F65DF3"/>
    <w:rsid w:val="35487054"/>
    <w:rsid w:val="35A20500"/>
    <w:rsid w:val="36BB8B39"/>
    <w:rsid w:val="373F3E8E"/>
    <w:rsid w:val="377914D3"/>
    <w:rsid w:val="398F659F"/>
    <w:rsid w:val="3AAF6ADE"/>
    <w:rsid w:val="3AF251A4"/>
    <w:rsid w:val="3AFC7952"/>
    <w:rsid w:val="3B6A71B6"/>
    <w:rsid w:val="3BBB4735"/>
    <w:rsid w:val="3CD1672D"/>
    <w:rsid w:val="3CF52BB9"/>
    <w:rsid w:val="3DAD675C"/>
    <w:rsid w:val="3DD86B6F"/>
    <w:rsid w:val="3E191201"/>
    <w:rsid w:val="3EA82C2C"/>
    <w:rsid w:val="3FFE87F3"/>
    <w:rsid w:val="403E236B"/>
    <w:rsid w:val="40C162A4"/>
    <w:rsid w:val="417E72C3"/>
    <w:rsid w:val="418251FE"/>
    <w:rsid w:val="4280198D"/>
    <w:rsid w:val="456740FF"/>
    <w:rsid w:val="45717F01"/>
    <w:rsid w:val="496F6108"/>
    <w:rsid w:val="49876D89"/>
    <w:rsid w:val="4A2117CA"/>
    <w:rsid w:val="4C1C446C"/>
    <w:rsid w:val="4C2E4A77"/>
    <w:rsid w:val="4C41755E"/>
    <w:rsid w:val="4C5916EF"/>
    <w:rsid w:val="4CDF7E46"/>
    <w:rsid w:val="4DA54D53"/>
    <w:rsid w:val="4E3046D1"/>
    <w:rsid w:val="4E5F59D7"/>
    <w:rsid w:val="4E7D7917"/>
    <w:rsid w:val="4EDA2BA7"/>
    <w:rsid w:val="4F394B33"/>
    <w:rsid w:val="4F527947"/>
    <w:rsid w:val="4FB50E29"/>
    <w:rsid w:val="50AD3DB7"/>
    <w:rsid w:val="50D901F8"/>
    <w:rsid w:val="522405ED"/>
    <w:rsid w:val="52252DDB"/>
    <w:rsid w:val="523539AD"/>
    <w:rsid w:val="52E515DD"/>
    <w:rsid w:val="55176696"/>
    <w:rsid w:val="567417DC"/>
    <w:rsid w:val="587B1C6E"/>
    <w:rsid w:val="597D61A1"/>
    <w:rsid w:val="5AB641F7"/>
    <w:rsid w:val="5BBF226B"/>
    <w:rsid w:val="5BDE0567"/>
    <w:rsid w:val="5C3653CF"/>
    <w:rsid w:val="5C976FAB"/>
    <w:rsid w:val="5CB02F91"/>
    <w:rsid w:val="5E492713"/>
    <w:rsid w:val="5EA41556"/>
    <w:rsid w:val="5FC90AA0"/>
    <w:rsid w:val="5FCF5DBB"/>
    <w:rsid w:val="60521876"/>
    <w:rsid w:val="606F0F8E"/>
    <w:rsid w:val="60871400"/>
    <w:rsid w:val="608B4F4E"/>
    <w:rsid w:val="627F77AB"/>
    <w:rsid w:val="63EB2FAD"/>
    <w:rsid w:val="65992FA1"/>
    <w:rsid w:val="662A288A"/>
    <w:rsid w:val="665101B3"/>
    <w:rsid w:val="671147D2"/>
    <w:rsid w:val="673E84A9"/>
    <w:rsid w:val="682E0A9A"/>
    <w:rsid w:val="6842457B"/>
    <w:rsid w:val="69BB44B7"/>
    <w:rsid w:val="69DC778F"/>
    <w:rsid w:val="6A3B4560"/>
    <w:rsid w:val="6B06528F"/>
    <w:rsid w:val="6C2A2FA1"/>
    <w:rsid w:val="6CBE7250"/>
    <w:rsid w:val="6CD71FBD"/>
    <w:rsid w:val="6D13298D"/>
    <w:rsid w:val="6D5CE97E"/>
    <w:rsid w:val="6E3D256D"/>
    <w:rsid w:val="6EF57DDE"/>
    <w:rsid w:val="6F6D0167"/>
    <w:rsid w:val="6FAFE255"/>
    <w:rsid w:val="6FBC6D5A"/>
    <w:rsid w:val="6FFDA57A"/>
    <w:rsid w:val="70242AAA"/>
    <w:rsid w:val="72FD6685"/>
    <w:rsid w:val="73BF1CD3"/>
    <w:rsid w:val="748F2C25"/>
    <w:rsid w:val="74AC4E76"/>
    <w:rsid w:val="750E8BFA"/>
    <w:rsid w:val="759C147E"/>
    <w:rsid w:val="767A5BAB"/>
    <w:rsid w:val="76CC9137"/>
    <w:rsid w:val="774E334F"/>
    <w:rsid w:val="777571D4"/>
    <w:rsid w:val="77E02312"/>
    <w:rsid w:val="77EEC7F1"/>
    <w:rsid w:val="78D672D9"/>
    <w:rsid w:val="79FC024F"/>
    <w:rsid w:val="7AFC6BB9"/>
    <w:rsid w:val="7B095B20"/>
    <w:rsid w:val="7BD4BA76"/>
    <w:rsid w:val="7BFAF968"/>
    <w:rsid w:val="7D6EE07F"/>
    <w:rsid w:val="7DA62864"/>
    <w:rsid w:val="7E2651BE"/>
    <w:rsid w:val="7E2B6198"/>
    <w:rsid w:val="7EAA2BA5"/>
    <w:rsid w:val="7F3E356F"/>
    <w:rsid w:val="7F6F4124"/>
    <w:rsid w:val="7F756D6A"/>
    <w:rsid w:val="7F7764D7"/>
    <w:rsid w:val="7FBE2EE7"/>
    <w:rsid w:val="9E7D9658"/>
    <w:rsid w:val="AF3E2A82"/>
    <w:rsid w:val="B7FFDB30"/>
    <w:rsid w:val="BFA5772D"/>
    <w:rsid w:val="D1F7F7FE"/>
    <w:rsid w:val="DBFE5F59"/>
    <w:rsid w:val="E57F33E1"/>
    <w:rsid w:val="E7ABA509"/>
    <w:rsid w:val="E7F38115"/>
    <w:rsid w:val="EAC42B0E"/>
    <w:rsid w:val="EBFF9020"/>
    <w:rsid w:val="ED7A4836"/>
    <w:rsid w:val="EEF75357"/>
    <w:rsid w:val="EFDFA3A1"/>
    <w:rsid w:val="EFEFFA96"/>
    <w:rsid w:val="F3BF10FD"/>
    <w:rsid w:val="F79FAF81"/>
    <w:rsid w:val="F7FFCE5A"/>
    <w:rsid w:val="F97F4AB8"/>
    <w:rsid w:val="F9FAD8C9"/>
    <w:rsid w:val="FD670A35"/>
    <w:rsid w:val="FF6DBA29"/>
    <w:rsid w:val="FFED14B2"/>
    <w:rsid w:val="FFFFF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styleId="4">
    <w:name w:val="Normal (Web)"/>
    <w:basedOn w:val="1"/>
    <w:qFormat/>
    <w:uiPriority w:val="0"/>
    <w:rPr>
      <w:sz w:val="24"/>
    </w:rPr>
  </w:style>
  <w:style w:type="paragraph" w:styleId="5">
    <w:name w:val="Title"/>
    <w:basedOn w:val="1"/>
    <w:next w:val="1"/>
    <w:qFormat/>
    <w:uiPriority w:val="0"/>
    <w:pPr>
      <w:spacing w:before="240" w:after="60"/>
      <w:jc w:val="center"/>
      <w:outlineLvl w:val="0"/>
    </w:pPr>
    <w:rPr>
      <w:rFonts w:ascii="Arial" w:hAnsi="Arial" w:cs="Arial"/>
      <w:b/>
      <w:bCs/>
      <w:sz w:val="32"/>
      <w:szCs w:val="32"/>
    </w:rPr>
  </w:style>
  <w:style w:type="paragraph" w:customStyle="1" w:styleId="8">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9">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3774</Words>
  <Characters>3876</Characters>
  <Lines>0</Lines>
  <Paragraphs>0</Paragraphs>
  <TotalTime>5</TotalTime>
  <ScaleCrop>false</ScaleCrop>
  <LinksUpToDate>false</LinksUpToDate>
  <CharactersWithSpaces>3885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2023-12-07T17:54:00Z</dcterms:created>
  <dc:creator>荣耀x15</dc:creator>
  <cp:lastModifiedBy>Administrator</cp:lastModifiedBy>
  <dcterms:modified xsi:type="dcterms:W3CDTF">2025-07-02T02:03:38Z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CE72520CBD00478BBF5534403603F105_12</vt:lpwstr>
  </property>
  <property fmtid="{D5CDD505-2E9C-101B-9397-08002B2CF9AE}" pid="4" name="KSOTemplateDocerSaveRecord">
    <vt:lpwstr>eyJoZGlkIjoiMGViYjFjMmIwMDJjMWYwZTEyYTM2YTY5OTY1ZThiNWIiLCJ1c2VySWQiOiI0MDgzNTQxMjQifQ==</vt:lpwstr>
  </property>
</Properties>
</file>