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spacing w:line="560" w:lineRule="exact"/>
        <w:jc w:val="center"/>
        <w:rPr>
          <w:rFonts w:hint="eastAsia" w:ascii="宋体" w:hAnsi="宋体" w:cs="宋体"/>
          <w:kern w:val="0"/>
          <w:sz w:val="44"/>
          <w:szCs w:val="44"/>
        </w:rPr>
      </w:pPr>
      <w:r>
        <w:rPr>
          <w:rFonts w:hint="eastAsia"/>
        </w:rPr>
        <w:tab/>
      </w:r>
    </w:p>
    <w:p>
      <w:pPr>
        <w:spacing w:line="56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郭勒布依乡开斯克尔村产业道路硬化项目</w:t>
      </w:r>
    </w:p>
    <w:p>
      <w:pPr>
        <w:spacing w:line="560" w:lineRule="exact"/>
        <w:jc w:val="center"/>
        <w:rPr>
          <w:rFonts w:hint="eastAsia" w:ascii="方正小标宋简体" w:hAnsi="方正小标宋简体" w:eastAsia="方正小标宋简体" w:cs="方正小标宋简体"/>
        </w:rPr>
      </w:pPr>
      <w:r>
        <w:rPr>
          <w:rFonts w:hint="eastAsia" w:ascii="方正小标宋简体" w:hAnsi="方正小标宋简体" w:eastAsia="方正小标宋简体" w:cs="方正小标宋简体"/>
          <w:sz w:val="44"/>
          <w:szCs w:val="44"/>
        </w:rPr>
        <w:t>实施方案</w:t>
      </w:r>
    </w:p>
    <w:p>
      <w:pPr>
        <w:pStyle w:val="12"/>
        <w:keepNext/>
        <w:spacing w:line="560" w:lineRule="exact"/>
        <w:ind w:firstLine="880"/>
        <w:rPr>
          <w:rFonts w:hint="eastAsia" w:ascii="方正小标宋简体" w:hAnsi="方正小标宋简体" w:eastAsia="方正小标宋简体" w:cs="方正小标宋简体"/>
          <w:sz w:val="44"/>
          <w:szCs w:val="44"/>
        </w:rPr>
      </w:pPr>
    </w:p>
    <w:p>
      <w:pPr>
        <w:pStyle w:val="12"/>
        <w:keepNext/>
        <w:spacing w:line="560" w:lineRule="exact"/>
        <w:ind w:firstLine="880"/>
        <w:rPr>
          <w:rFonts w:hint="eastAsia" w:ascii="方正小标宋简体" w:hAnsi="方正小标宋简体" w:eastAsia="方正小标宋简体" w:cs="方正小标宋简体"/>
          <w:sz w:val="44"/>
          <w:szCs w:val="44"/>
        </w:rPr>
      </w:pPr>
    </w:p>
    <w:p>
      <w:pPr>
        <w:pStyle w:val="12"/>
        <w:keepNext/>
        <w:spacing w:line="560" w:lineRule="exact"/>
        <w:ind w:firstLine="880"/>
        <w:rPr>
          <w:rFonts w:hint="eastAsia" w:ascii="方正小标宋简体" w:hAnsi="方正小标宋简体" w:eastAsia="方正小标宋简体" w:cs="方正小标宋简体"/>
          <w:sz w:val="44"/>
          <w:szCs w:val="44"/>
        </w:rPr>
      </w:pPr>
    </w:p>
    <w:p>
      <w:pPr>
        <w:pStyle w:val="12"/>
        <w:keepNext/>
        <w:spacing w:line="560" w:lineRule="exact"/>
        <w:ind w:firstLine="880"/>
        <w:rPr>
          <w:rFonts w:hint="eastAsia" w:ascii="方正小标宋简体" w:hAnsi="方正小标宋简体" w:eastAsia="方正小标宋简体" w:cs="方正小标宋简体"/>
          <w:sz w:val="44"/>
          <w:szCs w:val="44"/>
        </w:rPr>
      </w:pPr>
    </w:p>
    <w:p>
      <w:pPr>
        <w:pStyle w:val="12"/>
        <w:keepNext/>
        <w:spacing w:line="560" w:lineRule="exact"/>
        <w:ind w:firstLine="880"/>
        <w:rPr>
          <w:rFonts w:hint="eastAsia" w:ascii="方正小标宋简体" w:hAnsi="方正小标宋简体" w:eastAsia="方正小标宋简体" w:cs="方正小标宋简体"/>
          <w:sz w:val="44"/>
          <w:szCs w:val="44"/>
        </w:rPr>
      </w:pPr>
    </w:p>
    <w:p>
      <w:pPr>
        <w:pStyle w:val="12"/>
        <w:keepNext/>
        <w:spacing w:line="560" w:lineRule="exact"/>
        <w:ind w:firstLine="880"/>
        <w:rPr>
          <w:rFonts w:hint="eastAsia" w:ascii="方正小标宋简体" w:hAnsi="方正小标宋简体" w:eastAsia="方正小标宋简体" w:cs="方正小标宋简体"/>
          <w:sz w:val="44"/>
          <w:szCs w:val="44"/>
        </w:rPr>
      </w:pPr>
    </w:p>
    <w:p>
      <w:pPr>
        <w:pStyle w:val="12"/>
        <w:keepNext/>
        <w:spacing w:line="560" w:lineRule="exact"/>
        <w:ind w:firstLine="880"/>
        <w:rPr>
          <w:rFonts w:hint="eastAsia" w:ascii="方正小标宋简体" w:hAnsi="方正小标宋简体" w:eastAsia="方正小标宋简体" w:cs="方正小标宋简体"/>
          <w:sz w:val="44"/>
          <w:szCs w:val="44"/>
        </w:rPr>
      </w:pPr>
    </w:p>
    <w:p>
      <w:pPr>
        <w:pStyle w:val="12"/>
        <w:keepNext/>
        <w:spacing w:line="560" w:lineRule="exact"/>
        <w:ind w:firstLine="880"/>
        <w:rPr>
          <w:rFonts w:hint="eastAsia" w:ascii="方正小标宋简体" w:hAnsi="方正小标宋简体" w:eastAsia="方正小标宋简体" w:cs="方正小标宋简体"/>
          <w:sz w:val="44"/>
          <w:szCs w:val="44"/>
        </w:rPr>
      </w:pPr>
    </w:p>
    <w:p>
      <w:pPr>
        <w:pStyle w:val="12"/>
        <w:keepNext/>
        <w:spacing w:line="560" w:lineRule="exact"/>
        <w:ind w:firstLine="880"/>
        <w:rPr>
          <w:rFonts w:hint="eastAsia" w:ascii="方正小标宋简体" w:hAnsi="方正小标宋简体" w:eastAsia="方正小标宋简体" w:cs="方正小标宋简体"/>
          <w:sz w:val="44"/>
          <w:szCs w:val="44"/>
        </w:rPr>
      </w:pPr>
    </w:p>
    <w:p>
      <w:pPr>
        <w:pStyle w:val="12"/>
        <w:keepNext/>
        <w:spacing w:line="560" w:lineRule="exact"/>
        <w:ind w:firstLine="880"/>
        <w:rPr>
          <w:rFonts w:hint="eastAsia" w:ascii="方正小标宋简体" w:hAnsi="方正小标宋简体" w:eastAsia="方正小标宋简体" w:cs="方正小标宋简体"/>
          <w:sz w:val="44"/>
          <w:szCs w:val="44"/>
        </w:rPr>
      </w:pPr>
    </w:p>
    <w:p>
      <w:pPr>
        <w:pStyle w:val="12"/>
        <w:keepNext/>
        <w:spacing w:line="560" w:lineRule="exact"/>
        <w:ind w:firstLine="880"/>
        <w:rPr>
          <w:rFonts w:hint="eastAsia" w:ascii="方正小标宋简体" w:hAnsi="方正小标宋简体" w:eastAsia="方正小标宋简体" w:cs="方正小标宋简体"/>
          <w:sz w:val="44"/>
          <w:szCs w:val="44"/>
        </w:rPr>
      </w:pPr>
    </w:p>
    <w:p>
      <w:pPr>
        <w:pStyle w:val="12"/>
        <w:keepNext/>
        <w:spacing w:line="560" w:lineRule="exact"/>
        <w:ind w:firstLine="0" w:firstLineChars="0"/>
        <w:rPr>
          <w:rFonts w:hint="eastAsia" w:ascii="方正小标宋简体" w:hAnsi="方正小标宋简体" w:eastAsia="方正小标宋简体" w:cs="方正小标宋简体"/>
          <w:sz w:val="44"/>
          <w:szCs w:val="44"/>
        </w:rPr>
      </w:pPr>
    </w:p>
    <w:p>
      <w:pPr>
        <w:pStyle w:val="12"/>
        <w:keepNext/>
        <w:spacing w:line="560" w:lineRule="exact"/>
        <w:ind w:firstLine="0" w:firstLineChars="0"/>
        <w:rPr>
          <w:rFonts w:hint="eastAsia" w:ascii="方正小标宋简体" w:hAnsi="方正小标宋简体" w:eastAsia="方正小标宋简体" w:cs="方正小标宋简体"/>
          <w:sz w:val="44"/>
          <w:szCs w:val="44"/>
        </w:rPr>
      </w:pPr>
    </w:p>
    <w:p>
      <w:pPr>
        <w:keepNext/>
        <w:spacing w:line="560" w:lineRule="exact"/>
        <w:ind w:firstLine="1280" w:firstLineChars="400"/>
        <w:rPr>
          <w:rFonts w:hint="eastAsia" w:ascii="黑体" w:hAnsi="黑体" w:eastAsia="黑体" w:cs="黑体"/>
          <w:sz w:val="32"/>
          <w:szCs w:val="32"/>
        </w:rPr>
      </w:pPr>
      <w:r>
        <w:rPr>
          <w:rFonts w:hint="eastAsia" w:ascii="黑体" w:hAnsi="黑体" w:eastAsia="黑体" w:cs="黑体"/>
          <w:sz w:val="32"/>
          <w:szCs w:val="32"/>
        </w:rPr>
        <w:t>项目名称：郭勒布依乡开斯克尔村产业道路硬化项目</w:t>
      </w:r>
    </w:p>
    <w:p>
      <w:pPr>
        <w:keepNext/>
        <w:spacing w:line="560" w:lineRule="exact"/>
        <w:ind w:firstLine="1280" w:firstLineChars="400"/>
        <w:rPr>
          <w:rFonts w:hint="eastAsia" w:ascii="黑体" w:hAnsi="黑体" w:eastAsia="黑体" w:cs="黑体"/>
          <w:sz w:val="32"/>
          <w:szCs w:val="32"/>
        </w:rPr>
      </w:pPr>
      <w:r>
        <w:rPr>
          <w:rFonts w:hint="eastAsia" w:ascii="黑体" w:hAnsi="黑体" w:eastAsia="黑体" w:cs="黑体"/>
          <w:sz w:val="32"/>
          <w:szCs w:val="32"/>
        </w:rPr>
        <w:t>项目主管单位：托克逊县委统战部（民宗局）</w:t>
      </w:r>
    </w:p>
    <w:p>
      <w:pPr>
        <w:keepNext/>
        <w:spacing w:line="560" w:lineRule="exact"/>
        <w:ind w:firstLine="1280" w:firstLineChars="400"/>
        <w:rPr>
          <w:rFonts w:hint="eastAsia" w:ascii="黑体" w:hAnsi="黑体" w:eastAsia="黑体" w:cs="黑体"/>
          <w:sz w:val="32"/>
          <w:szCs w:val="32"/>
        </w:rPr>
      </w:pPr>
      <w:r>
        <w:rPr>
          <w:rFonts w:hint="eastAsia" w:ascii="黑体" w:hAnsi="黑体" w:eastAsia="黑体" w:cs="黑体"/>
          <w:sz w:val="32"/>
          <w:szCs w:val="32"/>
        </w:rPr>
        <w:t>项目实施单位：托克逊县郭勒布依乡人民政府</w:t>
      </w:r>
    </w:p>
    <w:p>
      <w:pPr>
        <w:keepNext/>
        <w:spacing w:line="560" w:lineRule="exact"/>
        <w:ind w:firstLine="1280" w:firstLineChars="400"/>
        <w:rPr>
          <w:rFonts w:hint="eastAsia" w:ascii="黑体" w:hAnsi="黑体" w:eastAsia="黑体" w:cs="黑体"/>
          <w:sz w:val="32"/>
          <w:szCs w:val="32"/>
        </w:rPr>
      </w:pPr>
      <w:r>
        <w:rPr>
          <w:rFonts w:hint="eastAsia" w:ascii="黑体" w:hAnsi="黑体" w:eastAsia="黑体" w:cs="黑体"/>
          <w:sz w:val="32"/>
          <w:szCs w:val="32"/>
        </w:rPr>
        <w:t>编制时间：2024年12月21日</w:t>
      </w:r>
    </w:p>
    <w:p>
      <w:pPr>
        <w:keepNext/>
        <w:spacing w:line="560" w:lineRule="exact"/>
        <w:ind w:firstLine="1280" w:firstLineChars="400"/>
        <w:rPr>
          <w:rFonts w:hint="eastAsia" w:ascii="黑体" w:hAnsi="黑体" w:eastAsia="黑体" w:cs="黑体"/>
          <w:sz w:val="32"/>
          <w:szCs w:val="32"/>
        </w:rPr>
        <w:sectPr>
          <w:pgSz w:w="11906" w:h="16838"/>
          <w:pgMar w:top="2098" w:right="1531" w:bottom="1984" w:left="1531" w:header="851" w:footer="992" w:gutter="0"/>
          <w:pgNumType w:fmt="numberInDash" w:start="1"/>
          <w:cols w:space="425" w:num="1"/>
          <w:docGrid w:type="lines" w:linePitch="312" w:charSpace="0"/>
        </w:sectPr>
      </w:pPr>
    </w:p>
    <w:p>
      <w:pPr>
        <w:keepNext/>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郭勒布依乡开斯克尔村产业道路硬化项目</w:t>
      </w:r>
    </w:p>
    <w:p>
      <w:pPr>
        <w:keepNext/>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实施方案</w:t>
      </w:r>
    </w:p>
    <w:p>
      <w:pPr>
        <w:pStyle w:val="12"/>
        <w:spacing w:line="560" w:lineRule="exact"/>
        <w:ind w:firstLine="480"/>
      </w:pPr>
    </w:p>
    <w:p>
      <w:pPr>
        <w:widowControl/>
        <w:autoSpaceDE w:val="0"/>
        <w:spacing w:line="54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一、项目概况</w:t>
      </w:r>
    </w:p>
    <w:p>
      <w:pPr>
        <w:widowControl/>
        <w:autoSpaceDE w:val="0"/>
        <w:spacing w:line="540" w:lineRule="exact"/>
        <w:ind w:firstLine="643" w:firstLineChars="200"/>
        <w:rPr>
          <w:rFonts w:ascii="仿宋_GB2312" w:eastAsia="仿宋_GB2312"/>
          <w:sz w:val="32"/>
          <w:szCs w:val="32"/>
        </w:rPr>
      </w:pPr>
      <w:r>
        <w:rPr>
          <w:rFonts w:hint="eastAsia" w:ascii="仿宋_GB2312" w:hAnsi="仿宋_GB2312" w:eastAsia="仿宋_GB2312" w:cs="仿宋_GB2312"/>
          <w:b/>
          <w:bCs/>
          <w:sz w:val="32"/>
          <w:szCs w:val="32"/>
        </w:rPr>
        <w:t>1、项目名称：</w:t>
      </w:r>
      <w:r>
        <w:rPr>
          <w:rFonts w:hint="eastAsia" w:ascii="仿宋_GB2312" w:hAnsi="仿宋_GB2312" w:eastAsia="仿宋_GB2312" w:cs="仿宋_GB2312"/>
          <w:w w:val="90"/>
          <w:sz w:val="32"/>
          <w:szCs w:val="32"/>
        </w:rPr>
        <w:t>郭勒布依乡开斯克尔村产业道路硬化项目</w:t>
      </w:r>
    </w:p>
    <w:p>
      <w:pPr>
        <w:widowControl/>
        <w:autoSpaceDE w:val="0"/>
        <w:spacing w:line="540" w:lineRule="exact"/>
        <w:ind w:firstLine="643" w:firstLineChars="200"/>
        <w:rPr>
          <w:rFonts w:ascii="仿宋_GB2312" w:eastAsia="仿宋_GB2312"/>
          <w:sz w:val="32"/>
          <w:szCs w:val="32"/>
        </w:rPr>
      </w:pPr>
      <w:r>
        <w:rPr>
          <w:rFonts w:hint="eastAsia" w:ascii="仿宋_GB2312" w:hAnsi="仿宋_GB2312" w:eastAsia="仿宋_GB2312" w:cs="仿宋_GB2312"/>
          <w:b/>
          <w:bCs/>
          <w:sz w:val="32"/>
          <w:szCs w:val="32"/>
        </w:rPr>
        <w:t>2、项目库编号：</w:t>
      </w:r>
      <w:r>
        <w:rPr>
          <w:rFonts w:hint="eastAsia" w:ascii="仿宋_GB2312" w:eastAsia="仿宋_GB2312"/>
          <w:sz w:val="32"/>
          <w:szCs w:val="32"/>
        </w:rPr>
        <w:t>TKX0127</w:t>
      </w:r>
    </w:p>
    <w:p>
      <w:pPr>
        <w:widowControl/>
        <w:spacing w:line="54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3、项目建设单位及单位负责人：</w:t>
      </w:r>
      <w:r>
        <w:rPr>
          <w:rFonts w:ascii="Times New Roman" w:hAnsi="Times New Roman" w:eastAsia="仿宋_GB2312"/>
          <w:sz w:val="32"/>
          <w:szCs w:val="32"/>
        </w:rPr>
        <w:t>托克逊郭勒布依乡人民政府</w:t>
      </w:r>
      <w:r>
        <w:rPr>
          <w:rFonts w:hint="eastAsia" w:ascii="仿宋_GB2312" w:hAnsi="仿宋_GB2312" w:eastAsia="仿宋_GB2312" w:cs="仿宋_GB2312"/>
          <w:sz w:val="32"/>
          <w:szCs w:val="32"/>
        </w:rPr>
        <w:t>（郭勒布依乡党委副书记、乡长 哈里瓦尔·阿不拉克）</w:t>
      </w:r>
    </w:p>
    <w:p>
      <w:pPr>
        <w:pStyle w:val="8"/>
        <w:widowControl/>
        <w:spacing w:after="0" w:line="540" w:lineRule="exact"/>
        <w:ind w:left="0" w:leftChars="0" w:firstLine="640"/>
        <w:rPr>
          <w:rFonts w:ascii="Times New Roman" w:hAnsi="Times New Roman" w:eastAsia="仿宋_GB2312"/>
          <w:sz w:val="32"/>
          <w:szCs w:val="32"/>
        </w:rPr>
      </w:pPr>
      <w:r>
        <w:rPr>
          <w:rFonts w:hint="eastAsia" w:ascii="仿宋_GB2312" w:hAnsi="仿宋_GB2312" w:eastAsia="仿宋_GB2312" w:cs="仿宋_GB2312"/>
          <w:b/>
          <w:bCs/>
          <w:sz w:val="32"/>
          <w:szCs w:val="32"/>
        </w:rPr>
        <w:t>项目负责人：</w:t>
      </w:r>
      <w:r>
        <w:rPr>
          <w:rFonts w:hint="eastAsia" w:ascii="仿宋_GB2312" w:hAnsi="仿宋_GB2312" w:eastAsia="仿宋_GB2312" w:cs="仿宋_GB2312"/>
          <w:w w:val="90"/>
          <w:sz w:val="32"/>
          <w:szCs w:val="32"/>
        </w:rPr>
        <w:t>哈里瓦尔·阿不拉克</w:t>
      </w:r>
      <w:r>
        <w:rPr>
          <w:rFonts w:hint="eastAsia" w:ascii="仿宋_GB2312" w:hAnsi="仿宋_GB2312" w:eastAsia="仿宋_GB2312" w:cs="仿宋_GB2312"/>
          <w:b/>
          <w:bCs/>
          <w:sz w:val="32"/>
          <w:szCs w:val="32"/>
        </w:rPr>
        <w:t>4、</w:t>
      </w:r>
      <w:r>
        <w:rPr>
          <w:rFonts w:ascii="仿宋_GB2312" w:hAnsi="仿宋_GB2312" w:eastAsia="仿宋_GB2312" w:cs="仿宋_GB2312"/>
          <w:b/>
          <w:bCs/>
          <w:sz w:val="32"/>
          <w:szCs w:val="32"/>
        </w:rPr>
        <w:t>项目</w:t>
      </w:r>
      <w:r>
        <w:rPr>
          <w:rFonts w:hint="eastAsia" w:ascii="仿宋_GB2312" w:hAnsi="仿宋_GB2312" w:eastAsia="仿宋_GB2312" w:cs="仿宋_GB2312"/>
          <w:b/>
          <w:bCs/>
          <w:sz w:val="32"/>
          <w:szCs w:val="32"/>
        </w:rPr>
        <w:t>行政</w:t>
      </w:r>
      <w:r>
        <w:rPr>
          <w:rFonts w:ascii="仿宋_GB2312" w:hAnsi="仿宋_GB2312" w:eastAsia="仿宋_GB2312" w:cs="仿宋_GB2312"/>
          <w:b/>
          <w:bCs/>
          <w:sz w:val="32"/>
          <w:szCs w:val="32"/>
        </w:rPr>
        <w:t>主管单位</w:t>
      </w:r>
      <w:r>
        <w:rPr>
          <w:rFonts w:hint="eastAsia" w:ascii="仿宋_GB2312" w:hAnsi="仿宋_GB2312" w:eastAsia="仿宋_GB2312" w:cs="仿宋_GB2312"/>
          <w:b/>
          <w:bCs/>
          <w:sz w:val="32"/>
          <w:szCs w:val="32"/>
        </w:rPr>
        <w:t>：</w:t>
      </w:r>
      <w:r>
        <w:rPr>
          <w:rFonts w:ascii="Times New Roman" w:hAnsi="Times New Roman" w:eastAsia="仿宋_GB2312"/>
          <w:sz w:val="32"/>
          <w:szCs w:val="32"/>
        </w:rPr>
        <w:t>托克逊</w:t>
      </w:r>
      <w:r>
        <w:rPr>
          <w:rFonts w:hint="eastAsia" w:ascii="Times New Roman" w:hAnsi="Times New Roman" w:eastAsia="仿宋_GB2312"/>
          <w:sz w:val="32"/>
          <w:szCs w:val="32"/>
        </w:rPr>
        <w:t>县委统战部（民宗局）</w:t>
      </w:r>
    </w:p>
    <w:p>
      <w:pPr>
        <w:pStyle w:val="8"/>
        <w:widowControl/>
        <w:spacing w:after="0" w:line="540" w:lineRule="exact"/>
        <w:ind w:left="0" w:leftChars="0" w:firstLine="64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项目行业主管单位：</w:t>
      </w:r>
      <w:r>
        <w:rPr>
          <w:rFonts w:hint="eastAsia" w:ascii="仿宋_GB2312" w:hAnsi="仿宋_GB2312" w:eastAsia="仿宋_GB2312" w:cs="仿宋_GB2312"/>
          <w:sz w:val="32"/>
          <w:szCs w:val="32"/>
        </w:rPr>
        <w:t>托克逊县交通局</w:t>
      </w:r>
    </w:p>
    <w:p>
      <w:pPr>
        <w:widowControl/>
        <w:autoSpaceDE w:val="0"/>
        <w:spacing w:line="54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5、项目建设性质：</w:t>
      </w:r>
      <w:r>
        <w:rPr>
          <w:rFonts w:hint="eastAsia" w:ascii="仿宋_GB2312" w:hAnsi="仿宋_GB2312" w:eastAsia="仿宋_GB2312" w:cs="仿宋_GB2312"/>
          <w:sz w:val="32"/>
          <w:szCs w:val="32"/>
        </w:rPr>
        <w:t>新建</w:t>
      </w:r>
      <w:bookmarkStart w:id="0" w:name="_GoBack"/>
      <w:bookmarkEnd w:id="0"/>
    </w:p>
    <w:p>
      <w:pPr>
        <w:widowControl/>
        <w:autoSpaceDE w:val="0"/>
        <w:spacing w:line="540" w:lineRule="exact"/>
        <w:ind w:firstLine="643" w:firstLineChars="200"/>
        <w:rPr>
          <w:rFonts w:ascii="仿宋_GB2312" w:eastAsia="仿宋_GB2312"/>
          <w:sz w:val="32"/>
          <w:szCs w:val="32"/>
        </w:rPr>
      </w:pPr>
      <w:r>
        <w:rPr>
          <w:rFonts w:hint="eastAsia" w:ascii="仿宋_GB2312" w:hAnsi="仿宋_GB2312" w:eastAsia="仿宋_GB2312" w:cs="仿宋_GB2312"/>
          <w:b/>
          <w:bCs/>
          <w:sz w:val="32"/>
          <w:szCs w:val="32"/>
        </w:rPr>
        <w:t>6、项目类别：</w:t>
      </w:r>
      <w:r>
        <w:rPr>
          <w:rFonts w:hint="eastAsia" w:ascii="仿宋_GB2312" w:eastAsia="仿宋_GB2312"/>
          <w:sz w:val="32"/>
          <w:szCs w:val="32"/>
        </w:rPr>
        <w:t>道路等基础设施建设</w:t>
      </w:r>
    </w:p>
    <w:p>
      <w:pPr>
        <w:widowControl/>
        <w:spacing w:line="540" w:lineRule="exact"/>
        <w:ind w:firstLine="643" w:firstLineChars="200"/>
        <w:rPr>
          <w:rFonts w:ascii="仿宋_GB2312" w:eastAsia="仿宋_GB2312"/>
          <w:sz w:val="32"/>
          <w:szCs w:val="32"/>
        </w:rPr>
      </w:pPr>
      <w:r>
        <w:rPr>
          <w:rFonts w:hint="eastAsia" w:ascii="仿宋_GB2312" w:hAnsi="仿宋_GB2312" w:eastAsia="仿宋_GB2312" w:cs="仿宋_GB2312"/>
          <w:b/>
          <w:bCs/>
          <w:sz w:val="32"/>
          <w:szCs w:val="32"/>
        </w:rPr>
        <w:t>7、建设地点：</w:t>
      </w:r>
      <w:r>
        <w:rPr>
          <w:rFonts w:hint="eastAsia" w:ascii="仿宋_GB2312" w:hAnsi="仿宋_GB2312" w:eastAsia="仿宋_GB2312" w:cs="仿宋_GB2312"/>
          <w:sz w:val="32"/>
          <w:szCs w:val="32"/>
        </w:rPr>
        <w:t>郭勒布依乡</w:t>
      </w:r>
      <w:r>
        <w:rPr>
          <w:rFonts w:hint="eastAsia" w:ascii="仿宋_GB2312" w:hAnsi="仿宋_GB2312" w:eastAsia="仿宋_GB2312" w:cs="仿宋_GB2312"/>
          <w:w w:val="90"/>
          <w:sz w:val="32"/>
          <w:szCs w:val="32"/>
        </w:rPr>
        <w:t>开斯克尔村</w:t>
      </w:r>
    </w:p>
    <w:p>
      <w:pPr>
        <w:widowControl/>
        <w:autoSpaceDE w:val="0"/>
        <w:spacing w:line="54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8、项目总投资：</w:t>
      </w:r>
      <w:r>
        <w:rPr>
          <w:rFonts w:hint="eastAsia" w:ascii="仿宋_GB2312" w:hAnsi="仿宋_GB2312" w:eastAsia="仿宋_GB2312" w:cs="仿宋_GB2312"/>
          <w:sz w:val="32"/>
          <w:szCs w:val="32"/>
        </w:rPr>
        <w:t>196万元</w:t>
      </w:r>
    </w:p>
    <w:p>
      <w:pPr>
        <w:widowControl/>
        <w:autoSpaceDE w:val="0"/>
        <w:spacing w:line="54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9、主要建设内容与规模：</w:t>
      </w:r>
      <w:r>
        <w:rPr>
          <w:rFonts w:hint="eastAsia" w:ascii="仿宋_GB2312" w:hAnsi="仿宋_GB2312" w:eastAsia="仿宋_GB2312" w:cs="仿宋_GB2312"/>
          <w:sz w:val="32"/>
          <w:szCs w:val="32"/>
        </w:rPr>
        <w:t>计划对开斯克尔村4组、5组长3.3公里、宽5米的道路进行沥青硬化，共需约181.5万元，其他费</w:t>
      </w:r>
      <w:r>
        <w:rPr>
          <w:rFonts w:hint="eastAsia" w:ascii="仿宋_GB2312" w:hAnsi="仿宋_GB2312" w:eastAsia="仿宋_GB2312" w:cs="仿宋_GB2312"/>
          <w:sz w:val="32"/>
          <w:szCs w:val="32"/>
          <w:lang w:val="en-US" w:eastAsia="zh-CN"/>
        </w:rPr>
        <w:t>用</w:t>
      </w:r>
      <w:r>
        <w:rPr>
          <w:rFonts w:hint="eastAsia" w:ascii="仿宋_GB2312" w:hAnsi="仿宋_GB2312" w:eastAsia="仿宋_GB2312" w:cs="仿宋_GB2312"/>
          <w:sz w:val="32"/>
          <w:szCs w:val="32"/>
        </w:rPr>
        <w:t>约14.5万元；项目总投资约196万元。</w:t>
      </w:r>
    </w:p>
    <w:p>
      <w:pPr>
        <w:widowControl/>
        <w:autoSpaceDE w:val="0"/>
        <w:spacing w:line="54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二、项目基本情况及建设的必要性、可行性</w:t>
      </w:r>
    </w:p>
    <w:p>
      <w:pPr>
        <w:kinsoku w:val="0"/>
        <w:overflowPunct w:val="0"/>
        <w:autoSpaceDE w:val="0"/>
        <w:autoSpaceDN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1、项目基本情况：</w:t>
      </w:r>
      <w:r>
        <w:rPr>
          <w:rFonts w:hint="eastAsia" w:ascii="仿宋_GB2312" w:hAnsi="仿宋_GB2312" w:eastAsia="仿宋_GB2312" w:cs="仿宋_GB2312"/>
          <w:sz w:val="32"/>
          <w:szCs w:val="32"/>
        </w:rPr>
        <w:t>郭勒布依乡开斯克尔村地处托克逊县城西部，与托克逊县主城区仅3km左右。是郭勒布依乡至托克逊县的重要的交通枢纽，开斯克尔村全村1267户3428人，其中脱贫户21户63人、监测对象2户3人，开斯克尔村居民生产收入主要来源于种植花生、红枣、高粱、杏子、葡萄、甜瓜、棉花等。随着乡村经济的发展，郭勒布依乡开斯克尔村的村民生活环境有了显著改善，基础设施相对落后，部分道路还未硬化，为了学校道路能够达到美化效果以及改善村民绿色出行、夜间漫步环境，需对村组道路进行沥青硬化。</w:t>
      </w:r>
    </w:p>
    <w:p>
      <w:pPr>
        <w:kinsoku w:val="0"/>
        <w:overflowPunct w:val="0"/>
        <w:autoSpaceDE w:val="0"/>
        <w:autoSpaceDN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2、建设的必要性：</w:t>
      </w:r>
      <w:r>
        <w:rPr>
          <w:rFonts w:hint="eastAsia" w:ascii="仿宋_GB2312" w:hAnsi="仿宋_GB2312" w:eastAsia="仿宋_GB2312" w:cs="仿宋_GB2312"/>
          <w:sz w:val="32"/>
          <w:szCs w:val="32"/>
        </w:rPr>
        <w:t>郭勒布依乡开斯克尔村地处托克逊县城西部，与托克逊县主城区仅3km左右，是郭勒布依乡至托克逊县的重要的交通枢纽，近年来，随着乡村经济的发展，郭勒布依乡开斯克尔村的村民生活环境有了显著改善，但基础设施建设仍落后，为进一步推动农村经济与社会的发展，消除安全隐患，减少交通事故的发生，提高行车的安全性和舒适性，道路铺设沥青工程是十分必要的。</w:t>
      </w:r>
    </w:p>
    <w:p>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3、建设的可行性：</w:t>
      </w:r>
      <w:r>
        <w:rPr>
          <w:rFonts w:hint="eastAsia" w:ascii="仿宋_GB2312" w:hAnsi="仿宋_GB2312" w:eastAsia="仿宋_GB2312" w:cs="仿宋_GB2312"/>
          <w:sz w:val="32"/>
          <w:szCs w:val="32"/>
        </w:rPr>
        <w:t>郭勒布依乡开斯克尔村地处十分重</w:t>
      </w:r>
      <w:r>
        <w:rPr>
          <w:rFonts w:hint="eastAsia" w:ascii="仿宋_GB2312" w:hAnsi="仿宋_GB2312" w:eastAsia="仿宋_GB2312" w:cs="仿宋_GB2312"/>
          <w:sz w:val="32"/>
          <w:szCs w:val="32"/>
          <w:lang w:eastAsia="zh-CN"/>
        </w:rPr>
        <w:t>要的</w:t>
      </w:r>
      <w:r>
        <w:rPr>
          <w:rFonts w:hint="eastAsia" w:ascii="仿宋_GB2312" w:hAnsi="仿宋_GB2312" w:eastAsia="仿宋_GB2312" w:cs="仿宋_GB2312"/>
          <w:sz w:val="32"/>
          <w:szCs w:val="32"/>
        </w:rPr>
        <w:t>地理位置，为了减少交通事故的发生，提高行车的安全性和舒适性，进一步加快乡村振兴建设行动以及促进农村的经济发展和社会进步，实施道路沥青铺设工程是干部和群众共同愿望。</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三、资金筹措及投资概算</w:t>
      </w:r>
    </w:p>
    <w:p>
      <w:pPr>
        <w:pStyle w:val="18"/>
        <w:ind w:firstLine="64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1、资金来源：</w:t>
      </w:r>
      <w:r>
        <w:rPr>
          <w:rFonts w:hint="eastAsia" w:ascii="仿宋_GB2312" w:hAnsi="仿宋_GB2312" w:eastAsia="仿宋_GB2312" w:cs="仿宋_GB2312"/>
          <w:sz w:val="32"/>
          <w:szCs w:val="32"/>
        </w:rPr>
        <w:t>财政衔接推进乡村振兴资金196万元，其中中央衔接资金183万元，县级配套资金13万元。</w:t>
      </w:r>
    </w:p>
    <w:p>
      <w:pPr>
        <w:spacing w:line="55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2、投资概算：</w:t>
      </w:r>
      <w:r>
        <w:rPr>
          <w:rFonts w:hint="eastAsia" w:ascii="仿宋_GB2312" w:hAnsi="仿宋_GB2312" w:eastAsia="仿宋_GB2312" w:cs="仿宋_GB2312"/>
          <w:sz w:val="32"/>
          <w:szCs w:val="32"/>
        </w:rPr>
        <w:t>对开斯克尔村4组、5组长3.3公里、宽5米的道路进行沥青硬化，共需约181.5万元，</w:t>
      </w:r>
      <w:r>
        <w:rPr>
          <w:rFonts w:hint="eastAsia" w:ascii="仿宋_GB2312" w:hAnsi="仿宋_GB2312" w:eastAsia="仿宋_GB2312" w:cs="仿宋_GB2312"/>
          <w:sz w:val="32"/>
          <w:szCs w:val="32"/>
          <w:lang w:eastAsia="zh-CN"/>
        </w:rPr>
        <w:t>其他费用</w:t>
      </w:r>
      <w:r>
        <w:rPr>
          <w:rFonts w:hint="eastAsia" w:ascii="仿宋_GB2312" w:hAnsi="仿宋_GB2312" w:eastAsia="仿宋_GB2312" w:cs="仿宋_GB2312"/>
          <w:sz w:val="32"/>
          <w:szCs w:val="32"/>
        </w:rPr>
        <w:t>约14.5万元；项目总投资约196万元。</w:t>
      </w:r>
    </w:p>
    <w:p>
      <w:pPr>
        <w:spacing w:line="550" w:lineRule="exact"/>
        <w:ind w:firstLine="640" w:firstLineChars="200"/>
        <w:rPr>
          <w:rFonts w:hint="eastAsia" w:ascii="黑体" w:hAnsi="黑体" w:eastAsia="黑体" w:cs="黑体"/>
          <w:sz w:val="32"/>
        </w:rPr>
      </w:pPr>
      <w:r>
        <w:rPr>
          <w:rFonts w:hint="eastAsia" w:ascii="黑体" w:hAnsi="黑体" w:eastAsia="黑体" w:cs="黑体"/>
          <w:sz w:val="32"/>
        </w:rPr>
        <w:t>四、项目实施进度计划</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2025年2月底前，完成项目各项前期手续；</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2025年3月底前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开工；</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2025年1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月底前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项目完工</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2025年11月底前，</w:t>
      </w:r>
      <w:r>
        <w:rPr>
          <w:rFonts w:hint="eastAsia" w:ascii="仿宋_GB2312" w:hAnsi="仿宋_GB2312" w:eastAsia="仿宋_GB2312" w:cs="仿宋_GB2312"/>
          <w:sz w:val="32"/>
          <w:szCs w:val="32"/>
        </w:rPr>
        <w:t>组织相关部门验收。</w:t>
      </w:r>
    </w:p>
    <w:p>
      <w:pPr>
        <w:pStyle w:val="12"/>
        <w:widowControl/>
        <w:numPr>
          <w:ilvl w:val="0"/>
          <w:numId w:val="1"/>
        </w:numPr>
        <w:spacing w:line="540" w:lineRule="exact"/>
        <w:ind w:firstLine="640"/>
        <w:rPr>
          <w:rFonts w:hint="eastAsia" w:ascii="黑体" w:hAnsi="黑体" w:eastAsia="黑体" w:cs="黑体"/>
          <w:sz w:val="32"/>
          <w:szCs w:val="32"/>
        </w:rPr>
      </w:pPr>
      <w:r>
        <w:rPr>
          <w:rFonts w:hint="eastAsia" w:ascii="黑体" w:hAnsi="黑体" w:eastAsia="黑体" w:cs="黑体"/>
          <w:sz w:val="32"/>
          <w:szCs w:val="32"/>
        </w:rPr>
        <w:t>项目组织实施</w:t>
      </w:r>
    </w:p>
    <w:p>
      <w:pPr>
        <w:widowControl/>
        <w:autoSpaceDE w:val="0"/>
        <w:spacing w:line="54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（一）组织领导机构及职责分工</w:t>
      </w:r>
    </w:p>
    <w:p>
      <w:pPr>
        <w:widowControl/>
        <w:spacing w:line="54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为加强项目监督和技术指导，按期完成建设任务，根据</w:t>
      </w:r>
      <w:r>
        <w:rPr>
          <w:rFonts w:hint="eastAsia" w:ascii="仿宋_GB2312" w:eastAsia="仿宋_GB2312"/>
          <w:sz w:val="32"/>
          <w:szCs w:val="32"/>
        </w:rPr>
        <w:t>《托克逊县郭勒布依乡财政衔接推进乡村振兴补助金(巩固拓展脱贫攻坚成果和乡村振兴任务)项目管理办法（暂行）》</w:t>
      </w:r>
      <w:r>
        <w:rPr>
          <w:rFonts w:hint="eastAsia" w:ascii="仿宋_GB2312" w:hAnsi="仿宋_GB2312" w:eastAsia="仿宋_GB2312" w:cs="仿宋_GB2312"/>
          <w:bCs/>
          <w:sz w:val="32"/>
          <w:szCs w:val="32"/>
        </w:rPr>
        <w:t>规定成立项目管理组织机构，</w:t>
      </w:r>
      <w:r>
        <w:rPr>
          <w:rFonts w:hint="eastAsia" w:ascii="仿宋_GB2312" w:eastAsia="仿宋_GB2312"/>
          <w:sz w:val="32"/>
          <w:szCs w:val="32"/>
        </w:rPr>
        <w:t>项目管理工作实行分级负责制</w:t>
      </w:r>
      <w:r>
        <w:rPr>
          <w:rFonts w:hint="eastAsia" w:ascii="仿宋_GB2312" w:hAnsi="仿宋_GB2312" w:eastAsia="仿宋_GB2312" w:cs="仿宋_GB2312"/>
          <w:bCs/>
          <w:sz w:val="32"/>
          <w:szCs w:val="32"/>
        </w:rPr>
        <w:t>。项目组相关领导机构</w:t>
      </w:r>
      <w:r>
        <w:rPr>
          <w:rFonts w:ascii="仿宋_GB2312" w:hAnsi="仿宋_GB2312" w:eastAsia="仿宋_GB2312" w:cs="仿宋_GB2312"/>
          <w:bCs/>
          <w:sz w:val="32"/>
          <w:szCs w:val="32"/>
        </w:rPr>
        <w:t>如下：</w:t>
      </w:r>
    </w:p>
    <w:p>
      <w:pPr>
        <w:pStyle w:val="13"/>
        <w:widowControl/>
        <w:spacing w:line="54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组  长:哈里瓦尔·阿不拉克   乡党委副书记、乡长 </w:t>
      </w:r>
    </w:p>
    <w:p>
      <w:pPr>
        <w:pStyle w:val="13"/>
        <w:widowControl/>
        <w:spacing w:line="54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副组长:苏涛                 乡党委委员、常务副乡长 </w:t>
      </w:r>
    </w:p>
    <w:p>
      <w:pPr>
        <w:pStyle w:val="13"/>
        <w:widowControl/>
        <w:spacing w:line="54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成  员:郭理                 乡项目办主任</w:t>
      </w:r>
    </w:p>
    <w:p>
      <w:pPr>
        <w:pStyle w:val="13"/>
        <w:widowControl/>
        <w:spacing w:line="54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阿迪拉古丽·吾曼尔          乡检办干部 </w:t>
      </w:r>
    </w:p>
    <w:p>
      <w:pPr>
        <w:pStyle w:val="13"/>
        <w:widowControl/>
        <w:spacing w:line="54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热孜亚·阿不来提            乡村振兴办主任</w:t>
      </w:r>
    </w:p>
    <w:p>
      <w:pPr>
        <w:pStyle w:val="13"/>
        <w:widowControl/>
        <w:spacing w:line="54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木阿热木·买合木提          乡财政所所长 </w:t>
      </w:r>
    </w:p>
    <w:p>
      <w:pPr>
        <w:pStyle w:val="13"/>
        <w:widowControl/>
        <w:spacing w:line="54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麦尔哈巴·肉孜              乡项目办干部 </w:t>
      </w:r>
    </w:p>
    <w:p>
      <w:pPr>
        <w:pStyle w:val="13"/>
        <w:widowControl/>
        <w:spacing w:line="54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郭勒布依乡13个村(社区 )    第一书记、党支部书记</w:t>
      </w:r>
    </w:p>
    <w:p>
      <w:pPr>
        <w:pStyle w:val="13"/>
        <w:widowControl/>
        <w:spacing w:line="54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（1）成立以村第一书记为组长，村党支部书记为副组长、各职能小组负责人为成员的领导小组，负责项目的领导、协调、实施、督促、指导等工作，为项目建设提供组织保障。</w:t>
      </w:r>
    </w:p>
    <w:p>
      <w:pPr>
        <w:pStyle w:val="12"/>
        <w:widowControl/>
        <w:spacing w:line="540" w:lineRule="exact"/>
        <w:ind w:firstLine="640"/>
        <w:rPr>
          <w:rFonts w:hint="eastAsia" w:ascii="仿宋_GB2312" w:hAnsi="仿宋_GB2312" w:cs="仿宋_GB2312"/>
          <w:sz w:val="32"/>
          <w:szCs w:val="32"/>
        </w:rPr>
      </w:pPr>
      <w:r>
        <w:rPr>
          <w:rFonts w:hint="eastAsia" w:ascii="仿宋_GB2312" w:hAnsi="仿宋_GB2312" w:cs="仿宋_GB2312"/>
          <w:sz w:val="32"/>
          <w:szCs w:val="32"/>
        </w:rPr>
        <w:t>（2）乡村振兴、纪检、财政所等部门为项目实施的监督单位。负责项目实施全过程中的监督、检查，资金审批及管理。</w:t>
      </w:r>
    </w:p>
    <w:p>
      <w:pPr>
        <w:pStyle w:val="8"/>
        <w:spacing w:after="0" w:line="520" w:lineRule="exact"/>
        <w:ind w:left="0" w:leftChars="0" w:firstLine="640"/>
      </w:pPr>
      <w:r>
        <w:rPr>
          <w:rFonts w:hint="eastAsia" w:ascii="仿宋_GB2312" w:hAnsi="仿宋_GB2312" w:eastAsia="仿宋_GB2312" w:cs="仿宋_GB2312"/>
          <w:sz w:val="32"/>
          <w:szCs w:val="32"/>
        </w:rPr>
        <w:t>（3）郭勒布依乡为项目实施主体。乡和行政村分别成立项目实施领导小组，明确1名副科级领导专抓此项工作，主要负责宣传发动、组织实施和协助村里并进行指导，帮助落实任务；负责组织开展验收、项目档案的归档等工作。</w:t>
      </w:r>
    </w:p>
    <w:p>
      <w:pPr>
        <w:widowControl/>
        <w:autoSpaceDE w:val="0"/>
        <w:spacing w:line="520" w:lineRule="exact"/>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（二）项目招标</w:t>
      </w:r>
      <w:r>
        <w:rPr>
          <w:rFonts w:hint="eastAsia" w:ascii="仿宋_GB2312" w:hAnsi="仿宋_GB2312" w:eastAsia="仿宋_GB2312" w:cs="仿宋_GB2312"/>
          <w:b/>
          <w:bCs/>
          <w:sz w:val="32"/>
          <w:szCs w:val="32"/>
          <w:lang w:val="en-US" w:eastAsia="zh-CN"/>
        </w:rPr>
        <w:t>采购</w:t>
      </w:r>
    </w:p>
    <w:p>
      <w:pPr>
        <w:spacing w:line="560" w:lineRule="exact"/>
        <w:ind w:firstLine="640" w:firstLineChars="200"/>
        <w:rPr>
          <w:rFonts w:eastAsia="仿宋_GB2312"/>
          <w:sz w:val="32"/>
          <w:szCs w:val="32"/>
        </w:rPr>
      </w:pPr>
      <w:r>
        <w:rPr>
          <w:rFonts w:hint="eastAsia" w:ascii="Times New Roman" w:hAnsi="Times New Roman" w:eastAsia="仿宋_GB2312"/>
          <w:sz w:val="32"/>
          <w:szCs w:val="32"/>
        </w:rPr>
        <w:t> 本项目</w:t>
      </w:r>
      <w:r>
        <w:rPr>
          <w:rFonts w:ascii="Times New Roman" w:hAnsi="Times New Roman" w:eastAsia="仿宋_GB2312"/>
          <w:sz w:val="32"/>
          <w:szCs w:val="32"/>
        </w:rPr>
        <w:t>建设采用投标制，由</w:t>
      </w:r>
      <w:r>
        <w:rPr>
          <w:rFonts w:hint="eastAsia" w:ascii="Times New Roman" w:hAnsi="Times New Roman" w:eastAsia="仿宋_GB2312"/>
          <w:sz w:val="32"/>
          <w:szCs w:val="32"/>
        </w:rPr>
        <w:t>郭勒布依乡人民政府</w:t>
      </w:r>
      <w:r>
        <w:rPr>
          <w:rFonts w:ascii="Times New Roman" w:hAnsi="Times New Roman" w:eastAsia="仿宋_GB2312"/>
          <w:sz w:val="32"/>
          <w:szCs w:val="32"/>
        </w:rPr>
        <w:t>选择有资质的招标代理机构进行招标，依据《中华人民共和国招标投标法</w:t>
      </w:r>
      <w:r>
        <w:rPr>
          <w:rFonts w:hint="eastAsia" w:ascii="Times New Roman" w:hAnsi="Times New Roman" w:eastAsia="仿宋_GB2312"/>
          <w:sz w:val="32"/>
          <w:szCs w:val="32"/>
          <w:lang w:eastAsia="zh-CN"/>
        </w:rPr>
        <w:t>》《</w:t>
      </w:r>
      <w:r>
        <w:rPr>
          <w:rFonts w:ascii="Times New Roman" w:hAnsi="Times New Roman" w:eastAsia="仿宋_GB2312"/>
          <w:sz w:val="32"/>
          <w:szCs w:val="32"/>
        </w:rPr>
        <w:t>中华人民共和国政府采购法》</w:t>
      </w:r>
      <w:r>
        <w:rPr>
          <w:rFonts w:hint="eastAsia" w:ascii="Times New Roman" w:hAnsi="Times New Roman" w:eastAsia="仿宋_GB2312"/>
          <w:sz w:val="32"/>
          <w:szCs w:val="32"/>
        </w:rPr>
        <w:t>以及《郭勒布依乡人民政府招投标采购管理办法》</w:t>
      </w:r>
      <w:r>
        <w:rPr>
          <w:rFonts w:ascii="Times New Roman" w:hAnsi="Times New Roman" w:eastAsia="仿宋_GB2312"/>
          <w:sz w:val="32"/>
          <w:szCs w:val="32"/>
        </w:rPr>
        <w:t>，通过公开招标方式，择优选择承包方，承包方通过竞争中标后依法</w:t>
      </w:r>
      <w:r>
        <w:rPr>
          <w:rFonts w:hint="eastAsia" w:ascii="Times New Roman" w:hAnsi="Times New Roman" w:eastAsia="仿宋_GB2312"/>
          <w:sz w:val="32"/>
          <w:szCs w:val="32"/>
          <w:lang w:eastAsia="zh-CN"/>
        </w:rPr>
        <w:t>签订</w:t>
      </w:r>
      <w:r>
        <w:rPr>
          <w:rFonts w:ascii="Times New Roman" w:hAnsi="Times New Roman" w:eastAsia="仿宋_GB2312"/>
          <w:sz w:val="32"/>
          <w:szCs w:val="32"/>
        </w:rPr>
        <w:t>承包合同，合同中明确规定项目的投资额度，工程规模，技术标准，不能搞“半拉子”工程，不能留投资缺口，不能转包，严格履行合同。</w:t>
      </w:r>
    </w:p>
    <w:p>
      <w:pPr>
        <w:widowControl/>
        <w:autoSpaceDE w:val="0"/>
        <w:spacing w:line="52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（三）项目实施与监督检查</w:t>
      </w:r>
    </w:p>
    <w:p>
      <w:pPr>
        <w:autoSpaceDE w:val="0"/>
        <w:spacing w:line="560" w:lineRule="exact"/>
        <w:ind w:firstLine="640" w:firstLineChars="200"/>
      </w:pPr>
      <w:r>
        <w:rPr>
          <w:rFonts w:hint="eastAsia" w:ascii="仿宋_GB2312" w:hAnsi="仿宋_GB2312" w:eastAsia="仿宋_GB2312" w:cs="仿宋_GB2312"/>
          <w:sz w:val="32"/>
          <w:szCs w:val="32"/>
        </w:rPr>
        <w:t>根据《新疆维吾尔自治区衔接推进乡村振兴补助资金管理办法》文件精神，由县乡村振兴领导小组办公室组合第二章第九条规定：托克逊县委农村工作领导小组是衔接推进乡村振兴补助资金和项目管理的第一责任主体，组长是第一责任人，全面负责衔接推进乡村振兴补助资金和项目管理、绩效评价、监督检查等各项工作。为保质保量按时完成该项目，需实行目标管理责任制，明确领导小组各成员的职责，全面推行项目建设责任制、项目法人责任制，建立健全衔接推进乡村振兴补助资产公开公示、定期巡查、绩效考核、结果反馈等检查机制，对项目经营运行、收益分配、后期管护等环节进行全程监督，保障衔接推进乡村振兴补助资产安全有效。</w:t>
      </w:r>
    </w:p>
    <w:p>
      <w:pPr>
        <w:widowControl/>
        <w:autoSpaceDE w:val="0"/>
        <w:spacing w:line="52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（四）资金使用管理</w:t>
      </w:r>
    </w:p>
    <w:p>
      <w:pPr>
        <w:spacing w:line="540" w:lineRule="exact"/>
        <w:ind w:firstLine="640" w:firstLineChars="200"/>
      </w:pPr>
      <w:r>
        <w:rPr>
          <w:rFonts w:hint="eastAsia" w:ascii="Times New Roman" w:hAnsi="Times New Roman" w:eastAsia="仿宋_GB2312"/>
          <w:sz w:val="32"/>
          <w:szCs w:val="32"/>
        </w:rPr>
        <w:t>根据《关于批复实施2025年中央、自治区财政衔接推进乡村振兴补助资金项目的通知》（托党农领发〔2025〕1号）文件要求，为进一步加强资金管理和使用，依据项目计划和实施进度,提出支付申请并提供相关真实、合规的证明材料，制定资金使用计划，经审核后按照国库集中支付管理制度的规定和程序及时支付资金。从国库直接支付到衔接资金项目施工单位。严格执行专款专用，杜绝挤占、挪用项目资金，严禁虚列支出、以拨代支虚增项目进度。项目资金支付后,在审计或检查中发现资金使用存在违法违规问题的，应及时追回、收回。对资金使用严格监管，防止资金使用不精准、虚报冒领。预付项目的首付款，后续根据项目实施进度，提出支付申请并提供相关合同、项目进度证明材料、经审核后按照国库集中支付管理制度的规定和程序及时向施工方支付资金。</w:t>
      </w:r>
    </w:p>
    <w:p>
      <w:pPr>
        <w:widowControl/>
        <w:autoSpaceDE w:val="0"/>
        <w:spacing w:line="52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（五）项目验收管理</w:t>
      </w:r>
    </w:p>
    <w:p>
      <w:pPr>
        <w:autoSpaceDE w:val="0"/>
        <w:spacing w:line="560" w:lineRule="exact"/>
        <w:ind w:firstLine="640" w:firstLineChars="200"/>
      </w:pPr>
      <w:r>
        <w:rPr>
          <w:rFonts w:hint="eastAsia" w:ascii="仿宋_GB2312" w:hAnsi="仿宋_GB2312" w:eastAsia="仿宋_GB2312" w:cs="仿宋_GB2312"/>
          <w:sz w:val="32"/>
          <w:szCs w:val="32"/>
        </w:rPr>
        <w:t>根据</w:t>
      </w:r>
      <w:r>
        <w:rPr>
          <w:rFonts w:ascii="仿宋_GB2312" w:hAnsi="仿宋_GB2312" w:eastAsia="仿宋_GB2312" w:cs="仿宋_GB2312"/>
          <w:sz w:val="32"/>
          <w:szCs w:val="32"/>
        </w:rPr>
        <w:t>《新疆维吾尔自治区财政衔接推进乡村振兴补助资金（巩固拓展脱贫攻坚成果和乡村振兴任务）项目管理办法（暂行）》（新乡振﹝2021﹞32号）</w:t>
      </w:r>
      <w:r>
        <w:rPr>
          <w:rFonts w:hint="eastAsia" w:ascii="仿宋_GB2312" w:hAnsi="仿宋_GB2312" w:eastAsia="仿宋_GB2312" w:cs="仿宋_GB2312"/>
          <w:sz w:val="32"/>
          <w:szCs w:val="32"/>
        </w:rPr>
        <w:t>规定,遵照属地管理、按照“谁审批、谁验收”的原则，按照村、乡、县三个级别逐级开展验收工作。村级由村第一书记组织村党支部书记、经济发展组成员组织验收。乡级由常务副乡长组织项目办、财政所、安全生产办验收。乡、村两级验收合格后，报县乡村振兴局、托克逊县委统战部（民宗局）和行业部门申请县级验收。</w:t>
      </w:r>
    </w:p>
    <w:p>
      <w:pPr>
        <w:widowControl/>
        <w:autoSpaceDE w:val="0"/>
        <w:spacing w:line="52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（六）项目公告公示</w:t>
      </w:r>
    </w:p>
    <w:p>
      <w:pPr>
        <w:pStyle w:val="3"/>
        <w:spacing w:before="0" w:after="0" w:line="560" w:lineRule="exact"/>
        <w:ind w:firstLine="640" w:firstLineChars="200"/>
      </w:pPr>
      <w:r>
        <w:rPr>
          <w:rFonts w:hint="eastAsia" w:ascii="仿宋_GB2312" w:hAnsi="仿宋_GB2312" w:eastAsia="仿宋_GB2312" w:cs="仿宋_GB2312"/>
          <w:b w:val="0"/>
          <w:bCs w:val="0"/>
        </w:rPr>
        <w:t>项目实施需按《新疆维吾尔自治区衔接推进乡村振兴补助资金管理办法》文件精神，县级通过政府网站对项目建设内容、受益情况等进行公告公示，乡、村两级通过</w:t>
      </w:r>
      <w:r>
        <w:rPr>
          <w:rFonts w:hint="eastAsia" w:ascii="仿宋_GB2312" w:hAnsi="仿宋_GB2312" w:eastAsia="仿宋_GB2312" w:cs="仿宋_GB2312"/>
          <w:b w:val="0"/>
          <w:bCs w:val="0"/>
          <w:lang w:eastAsia="zh-CN"/>
        </w:rPr>
        <w:t>公示栏</w:t>
      </w:r>
      <w:r>
        <w:rPr>
          <w:rFonts w:hint="eastAsia" w:ascii="仿宋_GB2312" w:hAnsi="仿宋_GB2312" w:eastAsia="仿宋_GB2312" w:cs="仿宋_GB2312"/>
          <w:b w:val="0"/>
          <w:bCs w:val="0"/>
        </w:rPr>
        <w:t>、入户宣讲等形式对项目事前、事中、事后全过程进行公告公示。</w:t>
      </w:r>
    </w:p>
    <w:p>
      <w:pPr>
        <w:widowControl/>
        <w:autoSpaceDE w:val="0"/>
        <w:spacing w:line="52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（七）项目后期管护及运营管理</w:t>
      </w:r>
    </w:p>
    <w:p>
      <w:pPr>
        <w:pStyle w:val="3"/>
        <w:spacing w:before="0" w:after="0" w:line="560" w:lineRule="exact"/>
        <w:ind w:firstLine="640" w:firstLineChars="200"/>
        <w:rPr>
          <w:rFonts w:hint="eastAsia" w:ascii="仿宋_GB2312" w:hAnsi="仿宋_GB2312" w:eastAsia="仿宋_GB2312" w:cs="仿宋_GB2312"/>
          <w:b w:val="0"/>
          <w:bCs w:val="0"/>
        </w:rPr>
      </w:pPr>
      <w:r>
        <w:rPr>
          <w:rFonts w:hint="eastAsia" w:ascii="仿宋_GB2312" w:hAnsi="仿宋_GB2312" w:eastAsia="仿宋_GB2312" w:cs="仿宋_GB2312"/>
          <w:b w:val="0"/>
          <w:bCs w:val="0"/>
        </w:rPr>
        <w:t>按照“谁使用、谁管理、谁负责”的原则，做好产权移交工作。县级有关部门要牵头制定项目后期管护制度，明确项目后期管护主体和工作责任。需根据相关政策文件明确政府在项目经营过程中的责任等内容。</w:t>
      </w:r>
    </w:p>
    <w:p>
      <w:pPr>
        <w:pStyle w:val="8"/>
        <w:numPr>
          <w:ilvl w:val="0"/>
          <w:numId w:val="1"/>
        </w:numPr>
        <w:spacing w:after="0" w:line="520" w:lineRule="exact"/>
        <w:ind w:left="0" w:leftChars="0" w:firstLine="640"/>
        <w:rPr>
          <w:rFonts w:hint="eastAsia" w:ascii="黑体" w:hAnsi="黑体" w:eastAsia="黑体" w:cs="黑体"/>
          <w:sz w:val="32"/>
        </w:rPr>
      </w:pPr>
      <w:r>
        <w:rPr>
          <w:rFonts w:hint="eastAsia" w:ascii="黑体" w:hAnsi="黑体" w:eastAsia="黑体" w:cs="黑体"/>
          <w:sz w:val="32"/>
        </w:rPr>
        <w:t>利益联结机制</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覆盖群众1267户3428人，其中脱贫户21户63人、监测对象2户3人。项目建设后，37户130人农户房屋前硬化，改善人居环境和方便群众出行，进一步加快开斯克尔村基础设施建设，提高行政综合治理服务能力，为农户出行和农业生产带来便利。</w:t>
      </w:r>
    </w:p>
    <w:p>
      <w:pPr>
        <w:spacing w:line="560" w:lineRule="exact"/>
        <w:ind w:firstLine="640" w:firstLineChars="200"/>
        <w:rPr>
          <w:rFonts w:hint="eastAsia" w:ascii="黑体" w:hAnsi="黑体" w:eastAsia="黑体" w:cs="黑体"/>
          <w:sz w:val="32"/>
        </w:rPr>
      </w:pPr>
      <w:r>
        <w:rPr>
          <w:rFonts w:hint="eastAsia" w:ascii="黑体" w:hAnsi="黑体" w:eastAsia="黑体" w:cs="黑体"/>
          <w:sz w:val="32"/>
        </w:rPr>
        <w:t>七、项目绩效目标及效益分析</w:t>
      </w:r>
    </w:p>
    <w:p>
      <w:pPr>
        <w:kinsoku w:val="0"/>
        <w:overflowPunct w:val="0"/>
        <w:autoSpaceDE w:val="0"/>
        <w:autoSpaceDN w:val="0"/>
        <w:spacing w:line="560" w:lineRule="exact"/>
        <w:ind w:firstLine="643" w:firstLineChars="200"/>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1、年度目标：</w:t>
      </w:r>
      <w:r>
        <w:rPr>
          <w:rFonts w:hint="eastAsia" w:ascii="仿宋_GB2312" w:hAnsi="仿宋_GB2312" w:eastAsia="仿宋_GB2312" w:cs="仿宋_GB2312"/>
          <w:sz w:val="32"/>
          <w:szCs w:val="32"/>
        </w:rPr>
        <w:t>计划对开斯克尔村4组、5组长3.3公里、宽5米的道路进行沥青硬化，该项目实施后可覆盖群众预计达1267户3428人，其中脱贫户21户63人、监测对象2户3人。项目建设后，37户130人农户房屋前硬化直接受益，改善人居环境和方便群众出行，进一步加快开斯克尔村基础设施建设，提高行政综合治理服务能力，为农户出行和农业生产带来便利。</w:t>
      </w:r>
    </w:p>
    <w:p>
      <w:pPr>
        <w:spacing w:line="560" w:lineRule="exact"/>
        <w:ind w:firstLine="643" w:firstLineChars="200"/>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val="en-US" w:eastAsia="zh-CN"/>
        </w:rPr>
        <w:t>2</w:t>
      </w:r>
      <w:r>
        <w:rPr>
          <w:rFonts w:hint="eastAsia" w:ascii="楷体_GB2312" w:hAnsi="楷体_GB2312" w:eastAsia="楷体_GB2312" w:cs="楷体_GB2312"/>
          <w:b/>
          <w:bCs/>
          <w:sz w:val="32"/>
          <w:szCs w:val="32"/>
        </w:rPr>
        <w:t>、社会效益：</w:t>
      </w:r>
      <w:r>
        <w:rPr>
          <w:rFonts w:hint="eastAsia" w:ascii="仿宋_GB2312" w:hAnsi="仿宋_GB2312" w:eastAsia="仿宋_GB2312" w:cs="仿宋_GB2312"/>
          <w:sz w:val="32"/>
          <w:szCs w:val="32"/>
        </w:rPr>
        <w:t>改善生态环境状况，减少交通安全、突发事件的发生频率，改善村容村貌、提升了村民的生活品质；提升辖区形象，为后续发展和招商引资奠定基础。</w:t>
      </w:r>
    </w:p>
    <w:p>
      <w:pPr>
        <w:spacing w:line="560" w:lineRule="exact"/>
        <w:ind w:firstLine="643" w:firstLineChars="200"/>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val="en-US" w:eastAsia="zh-CN"/>
        </w:rPr>
        <w:t>3</w:t>
      </w:r>
      <w:r>
        <w:rPr>
          <w:rFonts w:hint="eastAsia" w:ascii="楷体_GB2312" w:hAnsi="楷体_GB2312" w:eastAsia="楷体_GB2312" w:cs="楷体_GB2312"/>
          <w:b/>
          <w:bCs/>
          <w:sz w:val="32"/>
          <w:szCs w:val="32"/>
        </w:rPr>
        <w:t>、可持续性影响</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项目的建成能够为开斯克尔村及全乡群众安全出行提供了安全保障，提升本村综合服务能力，进一步改善群众生活品质特别是人居环境，项目建</w:t>
      </w:r>
      <w:r>
        <w:rPr>
          <w:rFonts w:hint="eastAsia" w:ascii="仿宋_GB2312" w:hAnsi="仿宋_GB2312" w:eastAsia="仿宋_GB2312" w:cs="仿宋_GB2312"/>
          <w:sz w:val="32"/>
          <w:szCs w:val="32"/>
          <w:lang w:val="en-US" w:eastAsia="zh-CN"/>
        </w:rPr>
        <w:t>成后持续</w:t>
      </w:r>
      <w:r>
        <w:rPr>
          <w:rFonts w:hint="eastAsia" w:ascii="仿宋_GB2312" w:hAnsi="仿宋_GB2312" w:eastAsia="仿宋_GB2312" w:cs="仿宋_GB2312"/>
          <w:sz w:val="32"/>
          <w:szCs w:val="32"/>
        </w:rPr>
        <w:t>使用年限</w:t>
      </w:r>
      <w:r>
        <w:rPr>
          <w:rFonts w:hint="eastAsia" w:ascii="仿宋_GB2312" w:hAnsi="仿宋_GB2312" w:eastAsia="仿宋_GB2312" w:cs="仿宋_GB2312"/>
          <w:sz w:val="32"/>
          <w:szCs w:val="32"/>
          <w:lang w:val="en-US" w:eastAsia="zh-CN"/>
        </w:rPr>
        <w:t>可达到</w:t>
      </w:r>
      <w:r>
        <w:rPr>
          <w:rFonts w:hint="eastAsia" w:ascii="仿宋_GB2312" w:hAnsi="仿宋_GB2312" w:eastAsia="仿宋_GB2312" w:cs="仿宋_GB2312"/>
          <w:sz w:val="32"/>
          <w:szCs w:val="32"/>
        </w:rPr>
        <w:t xml:space="preserve">15年。 </w:t>
      </w:r>
    </w:p>
    <w:p>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4、服务对象满意度：</w:t>
      </w:r>
      <w:r>
        <w:rPr>
          <w:rFonts w:hint="eastAsia" w:ascii="仿宋_GB2312" w:hAnsi="仿宋_GB2312" w:eastAsia="仿宋_GB2312" w:cs="仿宋_GB2312"/>
          <w:sz w:val="32"/>
          <w:szCs w:val="32"/>
          <w:lang w:val="en-US" w:eastAsia="zh-CN"/>
        </w:rPr>
        <w:t>项目建成投入使用后，预计直接受益农户满意度可达到95%以上，受益脱贫户及监测对象人口满意度可达到95%以上。</w:t>
      </w:r>
    </w:p>
    <w:p>
      <w:pPr>
        <w:pStyle w:val="13"/>
        <w:spacing w:line="560" w:lineRule="exact"/>
        <w:ind w:firstLine="640"/>
        <w:rPr>
          <w:rFonts w:hint="eastAsia" w:ascii="黑体" w:hAnsi="黑体" w:eastAsia="黑体" w:cs="黑体"/>
          <w:sz w:val="32"/>
        </w:rPr>
      </w:pPr>
      <w:r>
        <w:rPr>
          <w:rFonts w:hint="eastAsia" w:ascii="黑体" w:hAnsi="黑体" w:eastAsia="黑体" w:cs="黑体"/>
          <w:sz w:val="32"/>
        </w:rPr>
        <w:t>八、风险分析</w:t>
      </w:r>
    </w:p>
    <w:p>
      <w:pPr>
        <w:pStyle w:val="13"/>
        <w:spacing w:line="560" w:lineRule="exact"/>
        <w:ind w:firstLine="640"/>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（一）主要风险因素</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本项目施工风险，其中包含施工人员素质、装备能力、施工期间的成本控制及质量管理等。</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主要危害为工程质量不合格、工期拖延、工程造价突破预算、出现大的安全事故等，造成工程不能按期投入使用，导致项目不能正常运行，造成经济损失和负面影响。</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后期管护风险：如果不制定有效的后期管理制度和维修保养规定，可能导致路面损坏的可能性，减少正常使用年限。</w:t>
      </w:r>
    </w:p>
    <w:p>
      <w:pPr>
        <w:spacing w:line="560" w:lineRule="exact"/>
        <w:ind w:firstLine="643" w:firstLineChars="200"/>
        <w:rPr>
          <w:sz w:val="40"/>
          <w:szCs w:val="40"/>
        </w:rPr>
      </w:pPr>
      <w:r>
        <w:rPr>
          <w:rFonts w:hint="eastAsia" w:ascii="楷体_GB2312" w:hAnsi="楷体_GB2312" w:eastAsia="楷体_GB2312" w:cs="楷体_GB2312"/>
          <w:b/>
          <w:bCs/>
          <w:sz w:val="32"/>
          <w:szCs w:val="32"/>
        </w:rPr>
        <w:t>（二）防范化解措施</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做好工程招标工作。实行公开招标，选择资质等级高、社会信誉好，同时投标技术方案成熟、施工组织设计完善、工程报价合理的施工、监理企业参与本项目的工程建设。从源头堵住由于施工企业能力不足可能造成的风险因素。</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在施工过程中，按照预期制定的总进度计划，实施阶段落实。要求施工企业建立质量保证和进度控制体系，要求施工现场实现标准化、规范化、制度化，对工程进度、质量、安全实行全过</w:t>
      </w:r>
      <w:r>
        <w:rPr>
          <w:rFonts w:hint="eastAsia" w:ascii="仿宋_GB2312" w:hAnsi="仿宋_GB2312" w:eastAsia="仿宋_GB2312" w:cs="仿宋_GB2312"/>
          <w:sz w:val="32"/>
          <w:szCs w:val="32"/>
          <w:lang w:eastAsia="zh-CN"/>
        </w:rPr>
        <w:t>程监</w:t>
      </w:r>
      <w:r>
        <w:rPr>
          <w:rFonts w:hint="eastAsia" w:ascii="仿宋_GB2312" w:hAnsi="仿宋_GB2312" w:eastAsia="仿宋_GB2312" w:cs="仿宋_GB2312"/>
          <w:sz w:val="32"/>
          <w:szCs w:val="32"/>
        </w:rPr>
        <w:t>控。</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制定项目后期管理制度，签订项目管护协议书，安排专人定期对路面进行安全检验及时进行维修。</w:t>
      </w:r>
    </w:p>
    <w:p>
      <w:pPr>
        <w:pStyle w:val="12"/>
        <w:ind w:firstLine="480"/>
      </w:pPr>
    </w:p>
    <w:sectPr>
      <w:footerReference r:id="rId3" w:type="default"/>
      <w:pgSz w:w="11906" w:h="16838"/>
      <w:pgMar w:top="2098" w:right="1531" w:bottom="1984"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3F0F660-3F0B-412F-953C-A5BACF2BEB3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0" w:usb1="00000000" w:usb2="00000000" w:usb3="00000000" w:csb0="00000000" w:csb1="00000000"/>
    <w:embedRegular r:id="rId2" w:fontKey="{4C104627-05F7-4917-A53C-D805B73380A1}"/>
  </w:font>
  <w:font w:name="方正小标宋简体">
    <w:panose1 w:val="02010600010101010101"/>
    <w:charset w:val="86"/>
    <w:family w:val="script"/>
    <w:pitch w:val="default"/>
    <w:sig w:usb0="00000000" w:usb1="00000000" w:usb2="00000000" w:usb3="00000000" w:csb0="00000000" w:csb1="00000000"/>
    <w:embedRegular r:id="rId3" w:fontKey="{B65A4777-7C69-4BEE-AFD5-D122A6534256}"/>
  </w:font>
  <w:font w:name="楷体_GB2312">
    <w:altName w:val="楷体"/>
    <w:panose1 w:val="00000000000000000000"/>
    <w:charset w:val="86"/>
    <w:family w:val="auto"/>
    <w:pitch w:val="default"/>
    <w:sig w:usb0="00000000" w:usb1="00000000" w:usb2="00000000" w:usb3="00000000" w:csb0="00040000" w:csb1="00000000"/>
    <w:embedRegular r:id="rId4" w:fontKey="{0EBB6404-E126-4623-82F2-701F7630E0AF}"/>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47F876"/>
    <w:multiLevelType w:val="singleLevel"/>
    <w:tmpl w:val="6447F876"/>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2Y2FmYjQyOWZhZmQ2YjRkNjk5MzJhZGViOTNmZjcifQ=="/>
  </w:docVars>
  <w:rsids>
    <w:rsidRoot w:val="60C10D36"/>
    <w:rsid w:val="001B6C12"/>
    <w:rsid w:val="001E2F46"/>
    <w:rsid w:val="002635DD"/>
    <w:rsid w:val="003669AD"/>
    <w:rsid w:val="003F6B56"/>
    <w:rsid w:val="00493EAA"/>
    <w:rsid w:val="004A3AD3"/>
    <w:rsid w:val="007668FF"/>
    <w:rsid w:val="007D6EBD"/>
    <w:rsid w:val="008141D6"/>
    <w:rsid w:val="00936A13"/>
    <w:rsid w:val="00964EB3"/>
    <w:rsid w:val="00AB7097"/>
    <w:rsid w:val="00B861C6"/>
    <w:rsid w:val="00CC439A"/>
    <w:rsid w:val="00E15697"/>
    <w:rsid w:val="00E273D1"/>
    <w:rsid w:val="00E744EE"/>
    <w:rsid w:val="00F325B9"/>
    <w:rsid w:val="012C2DB6"/>
    <w:rsid w:val="016977CB"/>
    <w:rsid w:val="01D131C0"/>
    <w:rsid w:val="01EB7E66"/>
    <w:rsid w:val="01FB4997"/>
    <w:rsid w:val="033E7E48"/>
    <w:rsid w:val="036F28E1"/>
    <w:rsid w:val="03AB2D93"/>
    <w:rsid w:val="04297B58"/>
    <w:rsid w:val="04816B2E"/>
    <w:rsid w:val="06523ECF"/>
    <w:rsid w:val="065634FA"/>
    <w:rsid w:val="065A0D71"/>
    <w:rsid w:val="06DA4BFF"/>
    <w:rsid w:val="06E25EE6"/>
    <w:rsid w:val="07AB16F1"/>
    <w:rsid w:val="07B0313E"/>
    <w:rsid w:val="07CD07C8"/>
    <w:rsid w:val="08A57FDE"/>
    <w:rsid w:val="08B938A7"/>
    <w:rsid w:val="08DA5698"/>
    <w:rsid w:val="09A46BDD"/>
    <w:rsid w:val="09FB02A3"/>
    <w:rsid w:val="0A594758"/>
    <w:rsid w:val="0AA5305B"/>
    <w:rsid w:val="0C6B2B18"/>
    <w:rsid w:val="0CB3370A"/>
    <w:rsid w:val="0D9F3ABB"/>
    <w:rsid w:val="0DB3482F"/>
    <w:rsid w:val="0EE4486D"/>
    <w:rsid w:val="0F282141"/>
    <w:rsid w:val="0FF22111"/>
    <w:rsid w:val="10EB5D27"/>
    <w:rsid w:val="10F96B45"/>
    <w:rsid w:val="111D6F05"/>
    <w:rsid w:val="114D614E"/>
    <w:rsid w:val="119D1D73"/>
    <w:rsid w:val="12454025"/>
    <w:rsid w:val="12DA1AE3"/>
    <w:rsid w:val="132412C3"/>
    <w:rsid w:val="139B4D01"/>
    <w:rsid w:val="14D10789"/>
    <w:rsid w:val="1568222D"/>
    <w:rsid w:val="15684848"/>
    <w:rsid w:val="15744470"/>
    <w:rsid w:val="16457FC8"/>
    <w:rsid w:val="16B228BC"/>
    <w:rsid w:val="16FC45ED"/>
    <w:rsid w:val="17406A20"/>
    <w:rsid w:val="179E006E"/>
    <w:rsid w:val="17DB6904"/>
    <w:rsid w:val="17F10B21"/>
    <w:rsid w:val="184C5173"/>
    <w:rsid w:val="18F55EF4"/>
    <w:rsid w:val="1A166D3D"/>
    <w:rsid w:val="1B0A4A75"/>
    <w:rsid w:val="1B401413"/>
    <w:rsid w:val="1BBC15FD"/>
    <w:rsid w:val="1C63252F"/>
    <w:rsid w:val="1CE67794"/>
    <w:rsid w:val="1D021900"/>
    <w:rsid w:val="1D241429"/>
    <w:rsid w:val="1E413AA8"/>
    <w:rsid w:val="1F1D540E"/>
    <w:rsid w:val="1F227ABA"/>
    <w:rsid w:val="1F2518ED"/>
    <w:rsid w:val="203A2BC7"/>
    <w:rsid w:val="20C64A3B"/>
    <w:rsid w:val="20E2331D"/>
    <w:rsid w:val="21AF3D24"/>
    <w:rsid w:val="21CC3390"/>
    <w:rsid w:val="21FE397B"/>
    <w:rsid w:val="22CF55BF"/>
    <w:rsid w:val="22F50A90"/>
    <w:rsid w:val="236D42CA"/>
    <w:rsid w:val="24EC0C00"/>
    <w:rsid w:val="250F5F98"/>
    <w:rsid w:val="251D12C3"/>
    <w:rsid w:val="25592D3B"/>
    <w:rsid w:val="25BD718B"/>
    <w:rsid w:val="25EB6CB6"/>
    <w:rsid w:val="25F37899"/>
    <w:rsid w:val="26684113"/>
    <w:rsid w:val="268058FF"/>
    <w:rsid w:val="26C362FF"/>
    <w:rsid w:val="26EB24D2"/>
    <w:rsid w:val="279246BE"/>
    <w:rsid w:val="284125DD"/>
    <w:rsid w:val="28C06646"/>
    <w:rsid w:val="29082338"/>
    <w:rsid w:val="29914D86"/>
    <w:rsid w:val="2A277DA9"/>
    <w:rsid w:val="2A87316E"/>
    <w:rsid w:val="2B1B7696"/>
    <w:rsid w:val="2B3C3E9F"/>
    <w:rsid w:val="2BFF20BC"/>
    <w:rsid w:val="2C5E40AF"/>
    <w:rsid w:val="2D081CF8"/>
    <w:rsid w:val="2D6A3A06"/>
    <w:rsid w:val="2D884E81"/>
    <w:rsid w:val="2DB3345F"/>
    <w:rsid w:val="2E1C3A6A"/>
    <w:rsid w:val="2F2B4F4B"/>
    <w:rsid w:val="2FA87019"/>
    <w:rsid w:val="2FB91D23"/>
    <w:rsid w:val="30717AD3"/>
    <w:rsid w:val="30842BD5"/>
    <w:rsid w:val="30A77050"/>
    <w:rsid w:val="30CB24D5"/>
    <w:rsid w:val="30DF6C3C"/>
    <w:rsid w:val="31551FAD"/>
    <w:rsid w:val="31553607"/>
    <w:rsid w:val="31DC28D2"/>
    <w:rsid w:val="321A144B"/>
    <w:rsid w:val="323B36E6"/>
    <w:rsid w:val="33430705"/>
    <w:rsid w:val="33C93E52"/>
    <w:rsid w:val="33CA1406"/>
    <w:rsid w:val="33F14C62"/>
    <w:rsid w:val="345A3C74"/>
    <w:rsid w:val="34AB7575"/>
    <w:rsid w:val="35096188"/>
    <w:rsid w:val="35CB680C"/>
    <w:rsid w:val="35EF7665"/>
    <w:rsid w:val="36055478"/>
    <w:rsid w:val="361A490F"/>
    <w:rsid w:val="36333E45"/>
    <w:rsid w:val="37076A9B"/>
    <w:rsid w:val="372940CB"/>
    <w:rsid w:val="37790B2E"/>
    <w:rsid w:val="37AC028A"/>
    <w:rsid w:val="37B8325B"/>
    <w:rsid w:val="38463856"/>
    <w:rsid w:val="38B22C7E"/>
    <w:rsid w:val="39056BE7"/>
    <w:rsid w:val="3964150F"/>
    <w:rsid w:val="396D101B"/>
    <w:rsid w:val="3A9D0304"/>
    <w:rsid w:val="3ABE5554"/>
    <w:rsid w:val="3B8B62C6"/>
    <w:rsid w:val="3BDD2E49"/>
    <w:rsid w:val="3C2979CA"/>
    <w:rsid w:val="3C2E3CE6"/>
    <w:rsid w:val="3D65747B"/>
    <w:rsid w:val="3E636658"/>
    <w:rsid w:val="3ED12278"/>
    <w:rsid w:val="3FD00372"/>
    <w:rsid w:val="4008382B"/>
    <w:rsid w:val="41A0674D"/>
    <w:rsid w:val="42016DBE"/>
    <w:rsid w:val="424602BB"/>
    <w:rsid w:val="42617D80"/>
    <w:rsid w:val="429F5143"/>
    <w:rsid w:val="42F70D6D"/>
    <w:rsid w:val="43BA6900"/>
    <w:rsid w:val="43DB608D"/>
    <w:rsid w:val="43F27DA4"/>
    <w:rsid w:val="44520D9C"/>
    <w:rsid w:val="44577BCD"/>
    <w:rsid w:val="447E7AD1"/>
    <w:rsid w:val="44AD2668"/>
    <w:rsid w:val="44DB2261"/>
    <w:rsid w:val="45625610"/>
    <w:rsid w:val="45D04E04"/>
    <w:rsid w:val="46035A03"/>
    <w:rsid w:val="46256F3D"/>
    <w:rsid w:val="47041F68"/>
    <w:rsid w:val="4704723E"/>
    <w:rsid w:val="47317020"/>
    <w:rsid w:val="47E214B2"/>
    <w:rsid w:val="482E3387"/>
    <w:rsid w:val="487C71CA"/>
    <w:rsid w:val="49105624"/>
    <w:rsid w:val="498047E6"/>
    <w:rsid w:val="49A119D5"/>
    <w:rsid w:val="49C47CF6"/>
    <w:rsid w:val="49EF629D"/>
    <w:rsid w:val="4A173105"/>
    <w:rsid w:val="4A326F1E"/>
    <w:rsid w:val="4A7B7F7A"/>
    <w:rsid w:val="4AB213E4"/>
    <w:rsid w:val="4AF12056"/>
    <w:rsid w:val="4BFE2308"/>
    <w:rsid w:val="4C7C6027"/>
    <w:rsid w:val="4C86669B"/>
    <w:rsid w:val="4CDF07FA"/>
    <w:rsid w:val="4CEA7E98"/>
    <w:rsid w:val="4E1B3F2E"/>
    <w:rsid w:val="4E2C2C9B"/>
    <w:rsid w:val="4E665403"/>
    <w:rsid w:val="4EC5306C"/>
    <w:rsid w:val="4EC75837"/>
    <w:rsid w:val="4FC2609E"/>
    <w:rsid w:val="5068617F"/>
    <w:rsid w:val="50EA52AF"/>
    <w:rsid w:val="51D818E2"/>
    <w:rsid w:val="51ED70FA"/>
    <w:rsid w:val="51FE1AEA"/>
    <w:rsid w:val="52C85A03"/>
    <w:rsid w:val="54752FBA"/>
    <w:rsid w:val="54CA6329"/>
    <w:rsid w:val="54FB49C0"/>
    <w:rsid w:val="55047175"/>
    <w:rsid w:val="551D38AE"/>
    <w:rsid w:val="55DE149D"/>
    <w:rsid w:val="565C5748"/>
    <w:rsid w:val="566640AB"/>
    <w:rsid w:val="567714A5"/>
    <w:rsid w:val="56883B24"/>
    <w:rsid w:val="56EA257A"/>
    <w:rsid w:val="57191007"/>
    <w:rsid w:val="578171F2"/>
    <w:rsid w:val="57C03A1B"/>
    <w:rsid w:val="58094BD5"/>
    <w:rsid w:val="585F2A5F"/>
    <w:rsid w:val="58DE7C59"/>
    <w:rsid w:val="590D1897"/>
    <w:rsid w:val="5A25231A"/>
    <w:rsid w:val="5A536F88"/>
    <w:rsid w:val="5B3752F1"/>
    <w:rsid w:val="5B92582C"/>
    <w:rsid w:val="5BF44012"/>
    <w:rsid w:val="5C8C17F2"/>
    <w:rsid w:val="5CA86642"/>
    <w:rsid w:val="5CC26AE4"/>
    <w:rsid w:val="5D970E6F"/>
    <w:rsid w:val="5E82275E"/>
    <w:rsid w:val="5F5A106B"/>
    <w:rsid w:val="5F5F6A99"/>
    <w:rsid w:val="5F8933B2"/>
    <w:rsid w:val="5F8E4191"/>
    <w:rsid w:val="60C10D36"/>
    <w:rsid w:val="61787034"/>
    <w:rsid w:val="61EA3B75"/>
    <w:rsid w:val="62621882"/>
    <w:rsid w:val="62BA6E10"/>
    <w:rsid w:val="634C3904"/>
    <w:rsid w:val="63895A9D"/>
    <w:rsid w:val="64A149B1"/>
    <w:rsid w:val="64B63A8E"/>
    <w:rsid w:val="64D6670D"/>
    <w:rsid w:val="64D90F1E"/>
    <w:rsid w:val="64F70109"/>
    <w:rsid w:val="64FD191B"/>
    <w:rsid w:val="656D628F"/>
    <w:rsid w:val="65782EF2"/>
    <w:rsid w:val="65A065AA"/>
    <w:rsid w:val="65B17C9C"/>
    <w:rsid w:val="65F2204A"/>
    <w:rsid w:val="667159A5"/>
    <w:rsid w:val="66965BD5"/>
    <w:rsid w:val="6748525D"/>
    <w:rsid w:val="675152FA"/>
    <w:rsid w:val="67F11AAD"/>
    <w:rsid w:val="68ED2872"/>
    <w:rsid w:val="68F412E4"/>
    <w:rsid w:val="690667D0"/>
    <w:rsid w:val="694101AE"/>
    <w:rsid w:val="694B27A9"/>
    <w:rsid w:val="69BA211B"/>
    <w:rsid w:val="6A002D52"/>
    <w:rsid w:val="6AB175F8"/>
    <w:rsid w:val="6B1A4247"/>
    <w:rsid w:val="6B261A20"/>
    <w:rsid w:val="6B42016C"/>
    <w:rsid w:val="6B5060CB"/>
    <w:rsid w:val="6B6D1510"/>
    <w:rsid w:val="6BD4448C"/>
    <w:rsid w:val="6CB933EB"/>
    <w:rsid w:val="6D4A1B46"/>
    <w:rsid w:val="6D7A496D"/>
    <w:rsid w:val="6D7B64D3"/>
    <w:rsid w:val="6DC9226C"/>
    <w:rsid w:val="6DE376B5"/>
    <w:rsid w:val="6DE4154D"/>
    <w:rsid w:val="6DF20CDC"/>
    <w:rsid w:val="6E61499F"/>
    <w:rsid w:val="6ED93E70"/>
    <w:rsid w:val="6EDC0E90"/>
    <w:rsid w:val="6EE65F10"/>
    <w:rsid w:val="6F3A1233"/>
    <w:rsid w:val="6FD204FE"/>
    <w:rsid w:val="700C06A3"/>
    <w:rsid w:val="704355A3"/>
    <w:rsid w:val="706340B5"/>
    <w:rsid w:val="707F0E75"/>
    <w:rsid w:val="70AD3C34"/>
    <w:rsid w:val="715B1B8C"/>
    <w:rsid w:val="71B4036C"/>
    <w:rsid w:val="72282418"/>
    <w:rsid w:val="72EF19D5"/>
    <w:rsid w:val="73153133"/>
    <w:rsid w:val="736E2914"/>
    <w:rsid w:val="73E368B1"/>
    <w:rsid w:val="74350F70"/>
    <w:rsid w:val="751F5E45"/>
    <w:rsid w:val="75577778"/>
    <w:rsid w:val="75850BD0"/>
    <w:rsid w:val="76063D69"/>
    <w:rsid w:val="760F6ADA"/>
    <w:rsid w:val="762B39BD"/>
    <w:rsid w:val="763801A9"/>
    <w:rsid w:val="76DA2DDA"/>
    <w:rsid w:val="775A6295"/>
    <w:rsid w:val="776B5D96"/>
    <w:rsid w:val="77F90CC7"/>
    <w:rsid w:val="78921A57"/>
    <w:rsid w:val="78983CAF"/>
    <w:rsid w:val="79A142ED"/>
    <w:rsid w:val="7A01328F"/>
    <w:rsid w:val="7A0A2BF5"/>
    <w:rsid w:val="7A7B1D2E"/>
    <w:rsid w:val="7AE352FD"/>
    <w:rsid w:val="7B8D468A"/>
    <w:rsid w:val="7BAB3CFF"/>
    <w:rsid w:val="7BB3658C"/>
    <w:rsid w:val="7BBF0CBF"/>
    <w:rsid w:val="7BCF4850"/>
    <w:rsid w:val="7C011587"/>
    <w:rsid w:val="7C042B76"/>
    <w:rsid w:val="7C1E3C37"/>
    <w:rsid w:val="7C653614"/>
    <w:rsid w:val="7C6638E9"/>
    <w:rsid w:val="7C8A43B9"/>
    <w:rsid w:val="7CBB7D55"/>
    <w:rsid w:val="7CDD2000"/>
    <w:rsid w:val="7E736732"/>
    <w:rsid w:val="7E835F40"/>
    <w:rsid w:val="7EDD3B0A"/>
    <w:rsid w:val="7EEA5FA2"/>
    <w:rsid w:val="7F207A8E"/>
    <w:rsid w:val="7F840293"/>
    <w:rsid w:val="7FBE371F"/>
    <w:rsid w:val="7FDE4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qFormat/>
    <w:uiPriority w:val="99"/>
    <w:pPr>
      <w:keepNext/>
      <w:keepLines/>
      <w:spacing w:before="260" w:after="260" w:line="416" w:lineRule="auto"/>
      <w:outlineLvl w:val="2"/>
    </w:pPr>
    <w:rPr>
      <w:b/>
      <w:bCs/>
      <w:sz w:val="32"/>
      <w:szCs w:val="32"/>
    </w:rPr>
  </w:style>
  <w:style w:type="character" w:default="1" w:styleId="11">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Arial" w:hAnsi="Arial" w:cs="Arial"/>
      <w:b/>
      <w:bCs/>
      <w:sz w:val="32"/>
      <w:szCs w:val="32"/>
    </w:rPr>
  </w:style>
  <w:style w:type="paragraph" w:styleId="4">
    <w:name w:val="Body Text"/>
    <w:basedOn w:val="1"/>
    <w:next w:val="5"/>
    <w:qFormat/>
    <w:uiPriority w:val="0"/>
    <w:pPr>
      <w:spacing w:after="120"/>
    </w:pPr>
  </w:style>
  <w:style w:type="paragraph" w:styleId="5">
    <w:name w:val="footer"/>
    <w:basedOn w:val="1"/>
    <w:next w:val="1"/>
    <w:qFormat/>
    <w:uiPriority w:val="0"/>
    <w:pPr>
      <w:tabs>
        <w:tab w:val="center" w:pos="4153"/>
        <w:tab w:val="right" w:pos="8306"/>
      </w:tabs>
      <w:snapToGrid w:val="0"/>
      <w:jc w:val="left"/>
    </w:pPr>
    <w:rPr>
      <w:sz w:val="18"/>
    </w:rPr>
  </w:style>
  <w:style w:type="paragraph" w:styleId="6">
    <w:name w:val="Body Text Indent"/>
    <w:basedOn w:val="1"/>
    <w:qFormat/>
    <w:uiPriority w:val="99"/>
    <w:pPr>
      <w:spacing w:after="120"/>
      <w:ind w:left="420" w:leftChars="200"/>
    </w:p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Body Text First Indent 2"/>
    <w:basedOn w:val="6"/>
    <w:qFormat/>
    <w:uiPriority w:val="99"/>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_Style 1"/>
    <w:qFormat/>
    <w:uiPriority w:val="99"/>
    <w:pPr>
      <w:widowControl w:val="0"/>
      <w:ind w:firstLine="200" w:firstLineChars="200"/>
      <w:jc w:val="both"/>
    </w:pPr>
    <w:rPr>
      <w:rFonts w:ascii="Calibri" w:hAnsi="Calibri" w:eastAsia="仿宋_GB2312" w:cs="Times New Roman"/>
      <w:kern w:val="2"/>
      <w:sz w:val="24"/>
      <w:szCs w:val="22"/>
      <w:lang w:val="en-US" w:eastAsia="zh-CN" w:bidi="ar-SA"/>
    </w:rPr>
  </w:style>
  <w:style w:type="paragraph" w:customStyle="1" w:styleId="13">
    <w:name w:val="列表段落1"/>
    <w:basedOn w:val="1"/>
    <w:qFormat/>
    <w:uiPriority w:val="34"/>
    <w:pPr>
      <w:ind w:firstLine="420" w:firstLineChars="200"/>
    </w:pPr>
  </w:style>
  <w:style w:type="character" w:customStyle="1" w:styleId="14">
    <w:name w:val="font21"/>
    <w:basedOn w:val="11"/>
    <w:qFormat/>
    <w:uiPriority w:val="0"/>
    <w:rPr>
      <w:rFonts w:hint="eastAsia" w:ascii="宋体" w:hAnsi="宋体" w:eastAsia="宋体" w:cs="宋体"/>
      <w:color w:val="000000"/>
      <w:sz w:val="20"/>
      <w:szCs w:val="20"/>
      <w:u w:val="none"/>
    </w:rPr>
  </w:style>
  <w:style w:type="character" w:customStyle="1" w:styleId="15">
    <w:name w:val="font31"/>
    <w:basedOn w:val="11"/>
    <w:qFormat/>
    <w:uiPriority w:val="0"/>
    <w:rPr>
      <w:rFonts w:hint="eastAsia" w:ascii="宋体" w:hAnsi="宋体" w:eastAsia="宋体" w:cs="宋体"/>
      <w:b/>
      <w:bCs/>
      <w:color w:val="000000"/>
      <w:sz w:val="22"/>
      <w:szCs w:val="22"/>
      <w:u w:val="none"/>
    </w:rPr>
  </w:style>
  <w:style w:type="character" w:customStyle="1" w:styleId="16">
    <w:name w:val="font01"/>
    <w:basedOn w:val="11"/>
    <w:qFormat/>
    <w:uiPriority w:val="0"/>
    <w:rPr>
      <w:rFonts w:hint="eastAsia" w:ascii="宋体" w:hAnsi="宋体" w:eastAsia="宋体" w:cs="宋体"/>
      <w:color w:val="000000"/>
      <w:sz w:val="20"/>
      <w:szCs w:val="20"/>
      <w:u w:val="none"/>
    </w:rPr>
  </w:style>
  <w:style w:type="paragraph" w:styleId="17">
    <w:name w:val="List Paragraph"/>
    <w:basedOn w:val="1"/>
    <w:qFormat/>
    <w:uiPriority w:val="34"/>
    <w:pPr>
      <w:ind w:firstLine="420" w:firstLineChars="200"/>
    </w:pPr>
  </w:style>
  <w:style w:type="paragraph" w:customStyle="1" w:styleId="18">
    <w:name w:val="Body Text First Indent1"/>
    <w:basedOn w:val="4"/>
    <w:next w:val="1"/>
    <w:qFormat/>
    <w:uiPriority w:val="0"/>
    <w:pPr>
      <w:spacing w:after="0"/>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中华人民共和国国务院</Company>
  <Pages>9</Pages>
  <Words>2801</Words>
  <Characters>2884</Characters>
  <Lines>29</Lines>
  <Paragraphs>8</Paragraphs>
  <TotalTime>7</TotalTime>
  <ScaleCrop>false</ScaleCrop>
  <LinksUpToDate>false</LinksUpToDate>
  <CharactersWithSpaces>2989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2023-08-03T05:32:00Z</dcterms:created>
  <dc:creator>Administrator</dc:creator>
  <cp:lastModifiedBy>Administrator</cp:lastModifiedBy>
  <cp:lastPrinted>2023-12-06T07:49:00Z</cp:lastPrinted>
  <dcterms:modified xsi:type="dcterms:W3CDTF">2025-07-02T01:50:40Z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B0C7085C8DBE4FCB9C194756431056D1_12</vt:lpwstr>
  </property>
  <property fmtid="{D5CDD505-2E9C-101B-9397-08002B2CF9AE}" pid="4" name="KSOTemplateDocerSaveRecord">
    <vt:lpwstr>eyJoZGlkIjoiMGViYjFjMmIwMDJjMWYwZTEyYTM2YTY5OTY1ZThiNWIiLCJ1c2VySWQiOiI0MDgzNTQxMjQifQ==</vt:lpwstr>
  </property>
</Properties>
</file>