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方正小标宋简体"/>
          <w:b/>
          <w:color w:val="auto"/>
          <w:sz w:val="52"/>
          <w:szCs w:val="52"/>
          <w:highlight w:val="none"/>
          <w:lang w:eastAsia="zh-CN" w:bidi="ar"/>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pacing w:val="0"/>
          <w:kern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黑体" w:hAnsi="黑体" w:eastAsia="黑体" w:cs="黑体"/>
          <w:spacing w:val="0"/>
          <w:kern w:val="0"/>
          <w:sz w:val="44"/>
          <w:szCs w:val="44"/>
          <w:lang w:val="en-US" w:eastAsia="zh-CN"/>
        </w:rPr>
      </w:pPr>
      <w:r>
        <w:rPr>
          <w:rFonts w:hint="eastAsia" w:ascii="黑体" w:hAnsi="黑体" w:eastAsia="黑体" w:cs="黑体"/>
          <w:spacing w:val="0"/>
          <w:kern w:val="0"/>
          <w:sz w:val="44"/>
          <w:szCs w:val="44"/>
          <w:lang w:val="en-US" w:eastAsia="zh-CN"/>
        </w:rPr>
        <w:t>夏镇色日克吉勒尕村污水管网及配套附属设施建设项目实施方案</w:t>
      </w:r>
    </w:p>
    <w:p>
      <w:pPr>
        <w:pStyle w:val="5"/>
        <w:widowControl/>
        <w:spacing w:line="500" w:lineRule="exact"/>
        <w:ind w:firstLine="420"/>
        <w:rPr>
          <w:rFonts w:hint="eastAsia" w:ascii="黑体" w:hAnsi="黑体" w:eastAsia="黑体" w:cs="黑体"/>
          <w:color w:val="auto"/>
          <w:highlight w:val="none"/>
        </w:rPr>
      </w:pPr>
    </w:p>
    <w:p>
      <w:pPr>
        <w:spacing w:line="500" w:lineRule="exact"/>
        <w:rPr>
          <w:color w:val="auto"/>
          <w:highlight w:val="none"/>
        </w:rPr>
      </w:pPr>
    </w:p>
    <w:p>
      <w:pPr>
        <w:pStyle w:val="8"/>
        <w:autoSpaceDE w:val="0"/>
        <w:autoSpaceDN w:val="0"/>
        <w:adjustRightInd w:val="0"/>
        <w:spacing w:line="500" w:lineRule="exact"/>
        <w:jc w:val="left"/>
        <w:rPr>
          <w:color w:val="auto"/>
          <w:highlight w:val="none"/>
        </w:rPr>
      </w:pPr>
    </w:p>
    <w:p>
      <w:pPr>
        <w:spacing w:line="500" w:lineRule="exact"/>
        <w:rPr>
          <w:color w:val="auto"/>
          <w:highlight w:val="none"/>
        </w:rPr>
      </w:pPr>
    </w:p>
    <w:p>
      <w:pPr>
        <w:pStyle w:val="8"/>
        <w:autoSpaceDE w:val="0"/>
        <w:autoSpaceDN w:val="0"/>
        <w:adjustRightInd w:val="0"/>
        <w:spacing w:line="500" w:lineRule="exact"/>
        <w:jc w:val="left"/>
        <w:rPr>
          <w:color w:val="auto"/>
          <w:highlight w:val="none"/>
        </w:rPr>
      </w:pPr>
    </w:p>
    <w:p>
      <w:pPr>
        <w:spacing w:line="500" w:lineRule="exact"/>
        <w:rPr>
          <w:color w:val="auto"/>
          <w:highlight w:val="none"/>
        </w:rPr>
      </w:pPr>
    </w:p>
    <w:p>
      <w:pPr>
        <w:pStyle w:val="8"/>
        <w:autoSpaceDE w:val="0"/>
        <w:autoSpaceDN w:val="0"/>
        <w:adjustRightInd w:val="0"/>
        <w:spacing w:line="500" w:lineRule="exact"/>
        <w:jc w:val="left"/>
        <w:rPr>
          <w:color w:val="auto"/>
          <w:highlight w:val="none"/>
        </w:rPr>
      </w:pPr>
    </w:p>
    <w:p>
      <w:pPr>
        <w:pStyle w:val="8"/>
        <w:autoSpaceDE w:val="0"/>
        <w:autoSpaceDN w:val="0"/>
        <w:adjustRightInd w:val="0"/>
        <w:spacing w:line="500" w:lineRule="exact"/>
        <w:jc w:val="left"/>
        <w:rPr>
          <w:color w:val="auto"/>
          <w:highlight w:val="none"/>
        </w:rPr>
      </w:pPr>
    </w:p>
    <w:p>
      <w:pPr>
        <w:keepNext/>
        <w:keepLines w:val="0"/>
        <w:pageBreakBefore w:val="0"/>
        <w:widowControl w:val="0"/>
        <w:kinsoku/>
        <w:wordWrap/>
        <w:overflowPunct/>
        <w:topLinePunct w:val="0"/>
        <w:bidi w:val="0"/>
        <w:snapToGrid/>
        <w:spacing w:beforeAutospacing="0" w:afterAutospacing="0" w:line="600" w:lineRule="exact"/>
        <w:ind w:left="2028" w:leftChars="204" w:hanging="1600" w:hangingChars="500"/>
        <w:jc w:val="left"/>
        <w:textAlignment w:val="auto"/>
        <w:rPr>
          <w:rFonts w:hint="eastAsia" w:ascii="方正黑体简体" w:hAnsi="方正黑体简体" w:eastAsia="方正黑体简体" w:cs="方正黑体简体"/>
          <w:color w:val="auto"/>
          <w:sz w:val="32"/>
          <w:szCs w:val="32"/>
          <w:highlight w:val="none"/>
          <w:lang w:eastAsia="zh-CN" w:bidi="ar"/>
        </w:rPr>
      </w:pPr>
      <w:r>
        <w:rPr>
          <w:rFonts w:hint="eastAsia" w:ascii="黑体" w:hAnsi="宋体" w:eastAsia="黑体" w:cs="黑体"/>
          <w:color w:val="auto"/>
          <w:sz w:val="32"/>
          <w:szCs w:val="32"/>
          <w:highlight w:val="none"/>
          <w:lang w:bidi="ar"/>
        </w:rPr>
        <w:t>项目名称</w:t>
      </w:r>
      <w:r>
        <w:rPr>
          <w:rFonts w:hint="eastAsia" w:ascii="黑体" w:hAnsi="宋体" w:eastAsia="黑体" w:cs="黑体"/>
          <w:color w:val="auto"/>
          <w:sz w:val="32"/>
          <w:szCs w:val="32"/>
          <w:highlight w:val="none"/>
          <w:lang w:val="en-US" w:eastAsia="zh-CN" w:bidi="ar"/>
        </w:rPr>
        <w:t>：夏镇色日克吉勒尕村污水管网及配套附属设施建设项目</w:t>
      </w:r>
    </w:p>
    <w:p>
      <w:pPr>
        <w:keepNext/>
        <w:keepLines w:val="0"/>
        <w:pageBreakBefore w:val="0"/>
        <w:widowControl w:val="0"/>
        <w:kinsoku/>
        <w:wordWrap/>
        <w:overflowPunct/>
        <w:topLinePunct w:val="0"/>
        <w:bidi w:val="0"/>
        <w:snapToGrid/>
        <w:spacing w:beforeAutospacing="0" w:afterAutospacing="0" w:line="600" w:lineRule="exact"/>
        <w:ind w:leftChars="200"/>
        <w:jc w:val="both"/>
        <w:textAlignment w:val="auto"/>
        <w:rPr>
          <w:rFonts w:ascii="仿宋_GB2312" w:hAnsi="仿宋_GB2312" w:eastAsia="仿宋_GB2312" w:cs="仿宋_GB2312"/>
          <w:color w:val="auto"/>
          <w:sz w:val="32"/>
          <w:szCs w:val="32"/>
          <w:highlight w:val="none"/>
        </w:rPr>
      </w:pPr>
      <w:r>
        <w:rPr>
          <w:rFonts w:hint="eastAsia" w:ascii="黑体" w:hAnsi="宋体" w:eastAsia="黑体" w:cs="黑体"/>
          <w:color w:val="auto"/>
          <w:sz w:val="32"/>
          <w:szCs w:val="32"/>
          <w:highlight w:val="none"/>
          <w:lang w:bidi="ar"/>
        </w:rPr>
        <w:t>项目</w:t>
      </w:r>
      <w:r>
        <w:rPr>
          <w:rFonts w:hint="eastAsia" w:ascii="黑体" w:hAnsi="宋体" w:eastAsia="黑体" w:cs="黑体"/>
          <w:color w:val="auto"/>
          <w:sz w:val="32"/>
          <w:szCs w:val="32"/>
          <w:highlight w:val="none"/>
          <w:lang w:val="en-US" w:eastAsia="zh-CN" w:bidi="ar"/>
        </w:rPr>
        <w:t>行政</w:t>
      </w:r>
      <w:r>
        <w:rPr>
          <w:rFonts w:hint="eastAsia" w:ascii="黑体" w:hAnsi="宋体" w:eastAsia="黑体" w:cs="黑体"/>
          <w:color w:val="auto"/>
          <w:sz w:val="32"/>
          <w:szCs w:val="32"/>
          <w:highlight w:val="none"/>
          <w:lang w:bidi="ar"/>
        </w:rPr>
        <w:t>主管单位：</w:t>
      </w:r>
      <w:r>
        <w:rPr>
          <w:rFonts w:hint="eastAsia" w:ascii="黑体" w:hAnsi="宋体" w:eastAsia="黑体" w:cs="黑体"/>
          <w:color w:val="auto"/>
          <w:sz w:val="32"/>
          <w:szCs w:val="32"/>
          <w:highlight w:val="none"/>
          <w:lang w:val="en-US" w:eastAsia="zh-CN" w:bidi="ar"/>
        </w:rPr>
        <w:t>托克逊县委统战部（民宗局）</w:t>
      </w:r>
    </w:p>
    <w:p>
      <w:pPr>
        <w:keepNext/>
        <w:keepLines w:val="0"/>
        <w:pageBreakBefore w:val="0"/>
        <w:widowControl w:val="0"/>
        <w:kinsoku/>
        <w:wordWrap/>
        <w:overflowPunct/>
        <w:topLinePunct w:val="0"/>
        <w:bidi w:val="0"/>
        <w:snapToGrid/>
        <w:spacing w:beforeAutospacing="0" w:afterAutospacing="0" w:line="600" w:lineRule="exact"/>
        <w:ind w:leftChars="200"/>
        <w:jc w:val="both"/>
        <w:textAlignment w:val="auto"/>
        <w:rPr>
          <w:rFonts w:ascii="仿宋_GB2312" w:hAnsi="仿宋_GB2312" w:eastAsia="黑体" w:cs="仿宋_GB2312"/>
          <w:color w:val="auto"/>
          <w:sz w:val="32"/>
          <w:szCs w:val="32"/>
          <w:highlight w:val="none"/>
        </w:rPr>
      </w:pPr>
      <w:r>
        <w:rPr>
          <w:rFonts w:hint="eastAsia" w:ascii="黑体" w:hAnsi="宋体" w:eastAsia="黑体" w:cs="黑体"/>
          <w:color w:val="auto"/>
          <w:sz w:val="32"/>
          <w:szCs w:val="32"/>
          <w:highlight w:val="none"/>
          <w:lang w:bidi="ar"/>
        </w:rPr>
        <w:t>项目实施单位：</w:t>
      </w:r>
      <w:r>
        <w:rPr>
          <w:rFonts w:hint="eastAsia" w:ascii="黑体" w:hAnsi="宋体" w:eastAsia="黑体" w:cs="黑体"/>
          <w:color w:val="auto"/>
          <w:sz w:val="32"/>
          <w:szCs w:val="32"/>
          <w:highlight w:val="none"/>
          <w:lang w:val="en-US" w:eastAsia="zh-CN" w:bidi="ar"/>
        </w:rPr>
        <w:t>托克逊县</w:t>
      </w:r>
      <w:r>
        <w:rPr>
          <w:rFonts w:hint="eastAsia" w:ascii="黑体" w:hAnsi="宋体" w:eastAsia="黑体" w:cs="黑体"/>
          <w:color w:val="auto"/>
          <w:sz w:val="32"/>
          <w:szCs w:val="32"/>
          <w:highlight w:val="none"/>
          <w:lang w:bidi="ar"/>
        </w:rPr>
        <w:t>夏镇人民政府</w:t>
      </w:r>
    </w:p>
    <w:p>
      <w:pPr>
        <w:pStyle w:val="8"/>
        <w:keepLines w:val="0"/>
        <w:pageBreakBefore w:val="0"/>
        <w:widowControl w:val="0"/>
        <w:kinsoku/>
        <w:wordWrap/>
        <w:overflowPunct/>
        <w:topLinePunct w:val="0"/>
        <w:autoSpaceDE w:val="0"/>
        <w:autoSpaceDN w:val="0"/>
        <w:bidi w:val="0"/>
        <w:adjustRightInd w:val="0"/>
        <w:snapToGrid/>
        <w:spacing w:beforeAutospacing="0" w:afterAutospacing="0" w:line="600" w:lineRule="exact"/>
        <w:ind w:leftChars="200"/>
        <w:jc w:val="both"/>
        <w:textAlignment w:val="auto"/>
        <w:rPr>
          <w:rFonts w:eastAsia="黑体"/>
          <w:color w:val="auto"/>
          <w:highlight w:val="none"/>
        </w:rPr>
      </w:pPr>
      <w:r>
        <w:rPr>
          <w:rFonts w:hint="eastAsia" w:ascii="黑体" w:hAnsi="宋体" w:eastAsia="黑体" w:cs="黑体"/>
          <w:color w:val="auto"/>
          <w:kern w:val="0"/>
          <w:sz w:val="32"/>
          <w:szCs w:val="32"/>
          <w:highlight w:val="none"/>
          <w:lang w:bidi="ar"/>
        </w:rPr>
        <w:t>编制时间：202</w:t>
      </w:r>
      <w:r>
        <w:rPr>
          <w:rFonts w:hint="eastAsia" w:ascii="黑体" w:hAnsi="宋体" w:eastAsia="黑体" w:cs="黑体"/>
          <w:color w:val="auto"/>
          <w:kern w:val="0"/>
          <w:sz w:val="32"/>
          <w:szCs w:val="32"/>
          <w:highlight w:val="none"/>
          <w:lang w:val="en-US" w:eastAsia="zh-CN" w:bidi="ar"/>
        </w:rPr>
        <w:t>5</w:t>
      </w:r>
      <w:r>
        <w:rPr>
          <w:rFonts w:hint="eastAsia" w:ascii="黑体" w:hAnsi="宋体" w:eastAsia="黑体" w:cs="黑体"/>
          <w:color w:val="auto"/>
          <w:kern w:val="0"/>
          <w:sz w:val="32"/>
          <w:szCs w:val="32"/>
          <w:highlight w:val="none"/>
          <w:lang w:bidi="ar"/>
        </w:rPr>
        <w:t>年</w:t>
      </w:r>
      <w:r>
        <w:rPr>
          <w:rFonts w:hint="eastAsia" w:ascii="黑体" w:hAnsi="宋体" w:eastAsia="黑体" w:cs="黑体"/>
          <w:color w:val="auto"/>
          <w:kern w:val="0"/>
          <w:sz w:val="32"/>
          <w:szCs w:val="32"/>
          <w:highlight w:val="none"/>
          <w:lang w:val="en-US" w:eastAsia="zh-CN" w:bidi="ar"/>
        </w:rPr>
        <w:t>1</w:t>
      </w:r>
      <w:r>
        <w:rPr>
          <w:rFonts w:hint="eastAsia" w:ascii="黑体" w:hAnsi="宋体" w:eastAsia="黑体" w:cs="黑体"/>
          <w:color w:val="auto"/>
          <w:kern w:val="0"/>
          <w:sz w:val="32"/>
          <w:szCs w:val="32"/>
          <w:highlight w:val="none"/>
          <w:lang w:bidi="ar"/>
        </w:rPr>
        <w:t>月</w:t>
      </w:r>
      <w:r>
        <w:rPr>
          <w:rFonts w:hint="eastAsia" w:ascii="黑体" w:hAnsi="宋体" w:eastAsia="黑体" w:cs="黑体"/>
          <w:color w:val="auto"/>
          <w:kern w:val="0"/>
          <w:sz w:val="32"/>
          <w:szCs w:val="32"/>
          <w:highlight w:val="none"/>
          <w:lang w:val="en-US" w:eastAsia="zh-CN" w:bidi="ar"/>
        </w:rPr>
        <w:t>7</w:t>
      </w:r>
      <w:r>
        <w:rPr>
          <w:rFonts w:hint="eastAsia" w:ascii="黑体" w:hAnsi="宋体" w:eastAsia="黑体" w:cs="黑体"/>
          <w:color w:val="auto"/>
          <w:kern w:val="0"/>
          <w:sz w:val="32"/>
          <w:szCs w:val="32"/>
          <w:highlight w:val="none"/>
          <w:lang w:bidi="ar"/>
        </w:rPr>
        <w:t>日</w:t>
      </w:r>
    </w:p>
    <w:p>
      <w:pPr>
        <w:keepLines w:val="0"/>
        <w:pageBreakBefore w:val="0"/>
        <w:widowControl w:val="0"/>
        <w:kinsoku/>
        <w:wordWrap/>
        <w:overflowPunct/>
        <w:topLinePunct w:val="0"/>
        <w:bidi w:val="0"/>
        <w:snapToGrid/>
        <w:spacing w:beforeAutospacing="0" w:afterAutospacing="0" w:line="660" w:lineRule="exact"/>
        <w:ind w:left="0" w:leftChars="0"/>
        <w:jc w:val="center"/>
        <w:textAlignment w:val="auto"/>
        <w:rPr>
          <w:rFonts w:hint="eastAsia" w:ascii="方正小标宋简体" w:hAnsi="方正黑体简体" w:eastAsia="方正小标宋简体"/>
          <w:color w:val="auto"/>
          <w:sz w:val="44"/>
          <w:szCs w:val="44"/>
          <w:highlight w:val="none"/>
          <w:lang w:val="en-US" w:eastAsia="zh-CN"/>
        </w:rPr>
        <w:sectPr>
          <w:pgSz w:w="11906" w:h="16838"/>
          <w:pgMar w:top="1440" w:right="1797" w:bottom="1440" w:left="1797" w:header="851" w:footer="992" w:gutter="0"/>
          <w:cols w:space="720" w:num="1"/>
          <w:docGrid w:linePitch="286" w:charSpace="0"/>
        </w:sectPr>
      </w:pPr>
    </w:p>
    <w:p>
      <w:pPr>
        <w:keepNext w:val="0"/>
        <w:keepLines w:val="0"/>
        <w:pageBreakBefore w:val="0"/>
        <w:widowControl w:val="0"/>
        <w:kinsoku/>
        <w:wordWrap/>
        <w:overflowPunct/>
        <w:topLinePunct w:val="0"/>
        <w:autoSpaceDE/>
        <w:autoSpaceDN/>
        <w:bidi w:val="0"/>
        <w:adjustRightInd/>
        <w:snapToGrid/>
        <w:spacing w:before="144" w:beforeLines="50" w:after="240" w:afterLines="100" w:line="660" w:lineRule="exact"/>
        <w:jc w:val="center"/>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color w:val="auto"/>
          <w:sz w:val="44"/>
          <w:szCs w:val="44"/>
          <w:highlight w:val="none"/>
          <w:lang w:eastAsia="zh-CN"/>
        </w:rPr>
        <w:t>夏镇色日克吉勒尕村污水管网及配套附属设施建设项目</w:t>
      </w:r>
      <w:r>
        <w:rPr>
          <w:rFonts w:hint="eastAsia" w:ascii="黑体" w:hAnsi="黑体" w:eastAsia="黑体" w:cs="黑体"/>
          <w:color w:val="auto"/>
          <w:sz w:val="44"/>
          <w:szCs w:val="44"/>
          <w:highlight w:val="none"/>
        </w:rPr>
        <w:t>实施方案</w:t>
      </w:r>
    </w:p>
    <w:p>
      <w:pPr>
        <w:pStyle w:val="5"/>
        <w:keepNext w:val="0"/>
        <w:keepLines w:val="0"/>
        <w:pageBreakBefore w:val="0"/>
        <w:widowControl w:val="0"/>
        <w:kinsoku/>
        <w:wordWrap/>
        <w:overflowPunct/>
        <w:topLinePunct w:val="0"/>
        <w:autoSpaceDN/>
        <w:bidi w:val="0"/>
        <w:adjustRightInd/>
        <w:snapToGrid/>
        <w:spacing w:beforeAutospacing="0" w:afterAutospacing="0" w:line="560" w:lineRule="exact"/>
        <w:ind w:firstLine="643" w:firstLineChars="200"/>
        <w:textAlignment w:val="auto"/>
        <w:rPr>
          <w:rFonts w:hint="default"/>
          <w:lang w:val="en-US" w:eastAsia="zh-CN"/>
        </w:rPr>
      </w:pPr>
      <w:r>
        <w:rPr>
          <w:rFonts w:hint="eastAsia" w:ascii="黑体" w:hAnsi="黑体" w:eastAsia="黑体" w:cs="黑体"/>
          <w:b/>
          <w:bCs/>
          <w:color w:val="auto"/>
          <w:sz w:val="32"/>
          <w:szCs w:val="32"/>
          <w:highlight w:val="none"/>
          <w:lang w:val="en-US" w:eastAsia="zh-CN"/>
        </w:rPr>
        <w:t>一、</w:t>
      </w:r>
      <w:r>
        <w:rPr>
          <w:rFonts w:hint="eastAsia" w:ascii="黑体" w:hAnsi="黑体" w:eastAsia="黑体" w:cs="黑体"/>
          <w:b w:val="0"/>
          <w:bCs w:val="0"/>
          <w:color w:val="auto"/>
          <w:sz w:val="32"/>
          <w:szCs w:val="32"/>
          <w:highlight w:val="none"/>
          <w:lang w:val="en-US" w:eastAsia="zh-CN"/>
        </w:rPr>
        <w:t>项目概况</w:t>
      </w:r>
    </w:p>
    <w:p>
      <w:pPr>
        <w:keepNext w:val="0"/>
        <w:keepLines w:val="0"/>
        <w:pageBreakBefore w:val="0"/>
        <w:widowControl w:val="0"/>
        <w:numPr>
          <w:ilvl w:val="0"/>
          <w:numId w:val="0"/>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 w:hAnsi="仿宋" w:eastAsia="仿宋" w:cs="仿宋"/>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项目名称</w:t>
      </w:r>
      <w:r>
        <w:rPr>
          <w:rFonts w:hint="eastAsia" w:ascii="仿宋_GB2312" w:hAnsi="仿宋_GB2312" w:eastAsia="仿宋_GB2312" w:cs="仿宋_GB2312"/>
          <w:color w:val="auto"/>
          <w:sz w:val="32"/>
          <w:szCs w:val="32"/>
          <w:highlight w:val="none"/>
        </w:rPr>
        <w:t>：</w:t>
      </w:r>
      <w:r>
        <w:rPr>
          <w:rFonts w:hint="eastAsia" w:ascii="仿宋" w:hAnsi="仿宋" w:eastAsia="仿宋" w:cs="仿宋"/>
          <w:color w:val="auto"/>
          <w:sz w:val="32"/>
          <w:szCs w:val="32"/>
          <w:highlight w:val="none"/>
          <w:lang w:eastAsia="zh-CN"/>
        </w:rPr>
        <w:t>夏镇色日克吉勒尕村污水管网及配套附属设施建设项目</w:t>
      </w:r>
    </w:p>
    <w:p>
      <w:pPr>
        <w:keepNext w:val="0"/>
        <w:keepLines w:val="0"/>
        <w:pageBreakBefore w:val="0"/>
        <w:widowControl w:val="0"/>
        <w:numPr>
          <w:ilvl w:val="0"/>
          <w:numId w:val="0"/>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2、项目库编号</w:t>
      </w:r>
      <w:r>
        <w:rPr>
          <w:rFonts w:hint="eastAsia" w:ascii="仿宋_GB2312" w:hAnsi="仿宋_GB2312" w:eastAsia="仿宋_GB2312" w:cs="仿宋_GB2312"/>
          <w:color w:val="auto"/>
          <w:sz w:val="32"/>
          <w:szCs w:val="32"/>
          <w:highlight w:val="none"/>
        </w:rPr>
        <w:t>：TKX0102</w:t>
      </w:r>
    </w:p>
    <w:p>
      <w:pPr>
        <w:keepNext w:val="0"/>
        <w:keepLines w:val="0"/>
        <w:pageBreakBefore w:val="0"/>
        <w:widowControl w:val="0"/>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3、项目实施单位</w:t>
      </w:r>
      <w:r>
        <w:rPr>
          <w:rFonts w:hint="eastAsia" w:ascii="仿宋_GB2312" w:hAnsi="仿宋_GB2312" w:eastAsia="仿宋_GB2312" w:cs="仿宋_GB2312"/>
          <w:b/>
          <w:bCs/>
          <w:color w:val="auto"/>
          <w:sz w:val="32"/>
          <w:szCs w:val="32"/>
          <w:highlight w:val="none"/>
          <w:lang w:val="en-US" w:eastAsia="zh-CN"/>
        </w:rPr>
        <w:t>及负责人</w:t>
      </w:r>
      <w:r>
        <w:rPr>
          <w:rFonts w:hint="eastAsia" w:ascii="仿宋_GB2312" w:hAnsi="仿宋_GB2312" w:eastAsia="仿宋_GB2312" w:cs="仿宋_GB2312"/>
          <w:b/>
          <w:bCs/>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托克逊县</w:t>
      </w:r>
      <w:r>
        <w:rPr>
          <w:rFonts w:hint="eastAsia" w:ascii="仿宋_GB2312" w:hAnsi="仿宋_GB2312" w:eastAsia="仿宋_GB2312" w:cs="仿宋_GB2312"/>
          <w:color w:val="auto"/>
          <w:sz w:val="32"/>
          <w:szCs w:val="32"/>
          <w:highlight w:val="none"/>
          <w:lang w:eastAsia="zh-CN"/>
        </w:rPr>
        <w:t>夏镇</w:t>
      </w:r>
      <w:r>
        <w:rPr>
          <w:rFonts w:hint="eastAsia" w:ascii="仿宋_GB2312" w:hAnsi="仿宋_GB2312" w:eastAsia="仿宋_GB2312" w:cs="仿宋_GB2312"/>
          <w:color w:val="auto"/>
          <w:sz w:val="32"/>
          <w:szCs w:val="32"/>
          <w:highlight w:val="none"/>
        </w:rPr>
        <w:t>人民政府（法人：</w:t>
      </w:r>
      <w:r>
        <w:rPr>
          <w:rFonts w:hint="eastAsia" w:ascii="仿宋_GB2312" w:hAnsi="仿宋_GB2312" w:eastAsia="仿宋_GB2312" w:cs="仿宋_GB2312"/>
          <w:color w:val="auto"/>
          <w:sz w:val="32"/>
          <w:szCs w:val="32"/>
          <w:highlight w:val="none"/>
          <w:lang w:eastAsia="zh-CN"/>
        </w:rPr>
        <w:t>夏镇</w:t>
      </w:r>
      <w:r>
        <w:rPr>
          <w:rFonts w:hint="eastAsia" w:ascii="仿宋_GB2312" w:hAnsi="仿宋_GB2312" w:eastAsia="仿宋_GB2312" w:cs="仿宋_GB2312"/>
          <w:color w:val="auto"/>
          <w:sz w:val="32"/>
          <w:szCs w:val="32"/>
          <w:highlight w:val="none"/>
        </w:rPr>
        <w:t>党委副书记、</w:t>
      </w:r>
      <w:r>
        <w:rPr>
          <w:rFonts w:hint="eastAsia" w:ascii="仿宋_GB2312" w:hAnsi="仿宋_GB2312" w:eastAsia="仿宋_GB2312" w:cs="仿宋_GB2312"/>
          <w:color w:val="auto"/>
          <w:sz w:val="32"/>
          <w:szCs w:val="32"/>
          <w:highlight w:val="none"/>
          <w:lang w:eastAsia="zh-CN"/>
        </w:rPr>
        <w:t>镇</w:t>
      </w:r>
      <w:r>
        <w:rPr>
          <w:rFonts w:hint="eastAsia" w:ascii="仿宋_GB2312" w:hAnsi="仿宋_GB2312" w:eastAsia="仿宋_GB2312" w:cs="仿宋_GB2312"/>
          <w:color w:val="auto"/>
          <w:sz w:val="32"/>
          <w:szCs w:val="32"/>
          <w:highlight w:val="none"/>
        </w:rPr>
        <w:t xml:space="preserve">长  </w:t>
      </w:r>
      <w:r>
        <w:rPr>
          <w:rFonts w:hint="eastAsia" w:ascii="仿宋_GB2312" w:hAnsi="仿宋_GB2312" w:eastAsia="仿宋_GB2312" w:cs="仿宋_GB2312"/>
          <w:color w:val="auto"/>
          <w:sz w:val="32"/>
          <w:szCs w:val="32"/>
          <w:highlight w:val="none"/>
          <w:lang w:eastAsia="zh-CN"/>
        </w:rPr>
        <w:t>艾尼瓦尔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尔西丁</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项目责任人：</w:t>
      </w:r>
      <w:r>
        <w:rPr>
          <w:rFonts w:hint="eastAsia" w:ascii="仿宋_GB2312" w:hAnsi="仿宋_GB2312" w:eastAsia="仿宋_GB2312" w:cs="仿宋_GB2312"/>
          <w:color w:val="auto"/>
          <w:sz w:val="32"/>
          <w:szCs w:val="32"/>
          <w:highlight w:val="none"/>
          <w:lang w:eastAsia="zh-CN"/>
        </w:rPr>
        <w:t>马军</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default" w:ascii="仿宋_GB2312" w:hAnsi="仿宋_GB2312" w:eastAsia="仿宋_GB2312" w:cs="仿宋_GB2312"/>
          <w:bCs/>
          <w:color w:val="auto"/>
          <w:kern w:val="0"/>
          <w:sz w:val="32"/>
          <w:szCs w:val="32"/>
          <w:highlight w:val="none"/>
          <w:lang w:val="en-US" w:eastAsia="zh-CN"/>
        </w:rPr>
      </w:pPr>
      <w:bookmarkStart w:id="0" w:name="_GoBack"/>
      <w:bookmarkEnd w:id="0"/>
      <w:r>
        <w:rPr>
          <w:rFonts w:hint="eastAsia" w:ascii="仿宋_GB2312" w:hAnsi="仿宋_GB2312" w:eastAsia="仿宋_GB2312" w:cs="仿宋_GB2312"/>
          <w:b/>
          <w:bCs/>
          <w:color w:val="auto"/>
          <w:sz w:val="32"/>
          <w:szCs w:val="32"/>
          <w:highlight w:val="none"/>
        </w:rPr>
        <w:t>4、</w:t>
      </w:r>
      <w:r>
        <w:rPr>
          <w:rFonts w:hint="eastAsia" w:ascii="仿宋_GB2312" w:hAnsi="仿宋_GB2312" w:eastAsia="仿宋_GB2312" w:cs="仿宋_GB2312"/>
          <w:b/>
          <w:bCs/>
          <w:color w:val="auto"/>
          <w:sz w:val="32"/>
          <w:szCs w:val="32"/>
          <w:highlight w:val="none"/>
          <w:lang w:val="en-US" w:eastAsia="zh-CN"/>
        </w:rPr>
        <w:t>项目行政</w:t>
      </w:r>
      <w:r>
        <w:rPr>
          <w:rFonts w:hint="eastAsia" w:ascii="仿宋_GB2312" w:hAnsi="仿宋_GB2312" w:eastAsia="仿宋_GB2312" w:cs="仿宋_GB2312"/>
          <w:b/>
          <w:bCs/>
          <w:color w:val="auto"/>
          <w:sz w:val="32"/>
          <w:szCs w:val="32"/>
          <w:highlight w:val="none"/>
        </w:rPr>
        <w:t>主管单位：</w:t>
      </w:r>
      <w:r>
        <w:rPr>
          <w:rFonts w:hint="eastAsia" w:ascii="仿宋_GB2312" w:hAnsi="仿宋_GB2312" w:eastAsia="仿宋_GB2312" w:cs="仿宋_GB2312"/>
          <w:bCs/>
          <w:color w:val="auto"/>
          <w:kern w:val="0"/>
          <w:sz w:val="32"/>
          <w:szCs w:val="32"/>
          <w:highlight w:val="none"/>
          <w:lang w:val="en-US" w:eastAsia="zh-CN"/>
        </w:rPr>
        <w:t>托克逊县委统战部（民宗局）</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964" w:firstLineChars="30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项目行业主管单位：</w:t>
      </w:r>
      <w:r>
        <w:rPr>
          <w:rFonts w:hint="eastAsia" w:ascii="仿宋_GB2312" w:hAnsi="仿宋_GB2312" w:eastAsia="仿宋_GB2312" w:cs="仿宋_GB2312"/>
          <w:bCs/>
          <w:color w:val="auto"/>
          <w:kern w:val="0"/>
          <w:sz w:val="32"/>
          <w:szCs w:val="32"/>
          <w:highlight w:val="none"/>
          <w:lang w:val="en-US" w:eastAsia="zh-CN"/>
        </w:rPr>
        <w:t>托克逊县交通运输局</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rPr>
        <w:t>、项目建设性质：</w:t>
      </w:r>
      <w:r>
        <w:rPr>
          <w:rFonts w:hint="eastAsia" w:ascii="仿宋_GB2312" w:hAnsi="仿宋_GB2312" w:eastAsia="仿宋_GB2312" w:cs="仿宋_GB2312"/>
          <w:color w:val="auto"/>
          <w:sz w:val="32"/>
          <w:szCs w:val="32"/>
          <w:highlight w:val="none"/>
          <w:lang w:val="en-US" w:eastAsia="zh-CN"/>
        </w:rPr>
        <w:t>新建</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6</w:t>
      </w:r>
      <w:r>
        <w:rPr>
          <w:rFonts w:hint="eastAsia" w:ascii="仿宋_GB2312" w:hAnsi="仿宋_GB2312" w:eastAsia="仿宋_GB2312" w:cs="仿宋_GB2312"/>
          <w:b/>
          <w:bCs/>
          <w:color w:val="auto"/>
          <w:sz w:val="32"/>
          <w:szCs w:val="32"/>
          <w:highlight w:val="none"/>
        </w:rPr>
        <w:t>、项目类别：</w:t>
      </w:r>
      <w:r>
        <w:rPr>
          <w:rFonts w:hint="eastAsia" w:ascii="仿宋_GB2312" w:hAnsi="仿宋_GB2312" w:eastAsia="仿宋_GB2312" w:cs="仿宋_GB2312"/>
          <w:color w:val="auto"/>
          <w:sz w:val="32"/>
          <w:szCs w:val="32"/>
          <w:highlight w:val="none"/>
          <w:lang w:val="en-US" w:eastAsia="zh-CN"/>
        </w:rPr>
        <w:t>农村环境整治</w:t>
      </w:r>
    </w:p>
    <w:p>
      <w:pPr>
        <w:pStyle w:val="17"/>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 w:hAnsi="仿宋" w:eastAsia="仿宋" w:cs="仿宋"/>
          <w:b w:val="0"/>
          <w:bCs w:val="0"/>
          <w:color w:val="auto"/>
          <w:kern w:val="2"/>
          <w:sz w:val="32"/>
          <w:szCs w:val="32"/>
          <w:highlight w:val="none"/>
          <w:lang w:val="en-US" w:eastAsia="zh-CN" w:bidi="ar-SA"/>
        </w:rPr>
      </w:pPr>
      <w:r>
        <w:rPr>
          <w:rFonts w:hint="eastAsia" w:ascii="仿宋_GB2312" w:hAnsi="Calibri" w:eastAsia="仿宋_GB2312" w:cs="Times New Roman"/>
          <w:b/>
          <w:bCs/>
          <w:color w:val="auto"/>
          <w:kern w:val="2"/>
          <w:sz w:val="32"/>
          <w:szCs w:val="32"/>
          <w:highlight w:val="none"/>
          <w:lang w:val="en-US" w:eastAsia="zh-CN" w:bidi="ar-SA"/>
        </w:rPr>
        <w:t>7、建设地点：</w:t>
      </w:r>
      <w:r>
        <w:rPr>
          <w:rFonts w:hint="eastAsia" w:ascii="仿宋" w:hAnsi="仿宋" w:eastAsia="仿宋" w:cs="仿宋"/>
          <w:b w:val="0"/>
          <w:bCs w:val="0"/>
          <w:color w:val="auto"/>
          <w:kern w:val="2"/>
          <w:sz w:val="32"/>
          <w:szCs w:val="32"/>
          <w:highlight w:val="none"/>
          <w:lang w:val="en-US" w:eastAsia="zh-CN" w:bidi="ar-SA"/>
        </w:rPr>
        <w:t>夏镇色日克吉勒尕村</w:t>
      </w:r>
    </w:p>
    <w:p>
      <w:pPr>
        <w:pStyle w:val="17"/>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default"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8、项目总投资：</w:t>
      </w:r>
      <w:r>
        <w:rPr>
          <w:rFonts w:hint="eastAsia" w:ascii="仿宋" w:hAnsi="仿宋" w:eastAsia="仿宋" w:cs="仿宋"/>
          <w:b w:val="0"/>
          <w:bCs w:val="0"/>
          <w:color w:val="auto"/>
          <w:kern w:val="2"/>
          <w:sz w:val="32"/>
          <w:szCs w:val="32"/>
          <w:highlight w:val="none"/>
          <w:lang w:val="en-US" w:eastAsia="zh-CN" w:bidi="ar-SA"/>
        </w:rPr>
        <w:t>106万元</w:t>
      </w:r>
    </w:p>
    <w:p>
      <w:pPr>
        <w:pStyle w:val="17"/>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_GB2312" w:hAnsi="Calibri" w:eastAsia="仿宋_GB2312" w:cs="Times New Roman"/>
          <w:b/>
          <w:bCs/>
          <w:color w:val="auto"/>
          <w:kern w:val="2"/>
          <w:sz w:val="32"/>
          <w:szCs w:val="32"/>
          <w:lang w:val="en-US" w:eastAsia="zh-CN" w:bidi="ar-SA"/>
        </w:rPr>
        <w:t>9、</w:t>
      </w:r>
      <w:r>
        <w:rPr>
          <w:rFonts w:hint="eastAsia" w:ascii="仿宋_GB2312" w:hAnsi="仿宋_GB2312" w:eastAsia="仿宋_GB2312" w:cs="仿宋_GB2312"/>
          <w:b/>
          <w:bCs/>
          <w:kern w:val="2"/>
          <w:sz w:val="32"/>
          <w:szCs w:val="32"/>
          <w:lang w:val="en-US" w:eastAsia="zh-CN" w:bidi="ar-SA"/>
        </w:rPr>
        <w:t>主要建设内容与规模</w:t>
      </w:r>
      <w:r>
        <w:rPr>
          <w:rFonts w:hint="eastAsia" w:ascii="仿宋_GB2312" w:hAnsi="仿宋_GB2312" w:eastAsia="仿宋_GB2312" w:cs="仿宋_GB2312"/>
          <w:b/>
          <w:bCs/>
          <w:kern w:val="2"/>
          <w:sz w:val="28"/>
          <w:szCs w:val="21"/>
          <w:lang w:val="en-US" w:eastAsia="zh-CN" w:bidi="ar-SA"/>
        </w:rPr>
        <w:t>：</w:t>
      </w:r>
      <w:r>
        <w:rPr>
          <w:rFonts w:hint="eastAsia" w:ascii="仿宋" w:hAnsi="仿宋" w:eastAsia="仿宋" w:cs="仿宋"/>
          <w:b w:val="0"/>
          <w:bCs w:val="0"/>
          <w:kern w:val="2"/>
          <w:sz w:val="32"/>
          <w:szCs w:val="32"/>
          <w:lang w:val="en-US" w:eastAsia="zh-CN" w:bidi="ar-SA"/>
        </w:rPr>
        <w:t>计划为夏镇色日克吉勒尕村铺设800米排水主管道以及其他配套污水处理设施，项目建设费用约96万元、其他费用约10万元，项目总投资约106万元。</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lang w:val="en-US" w:eastAsia="zh-CN"/>
        </w:rPr>
        <w:t>二、</w:t>
      </w:r>
      <w:r>
        <w:rPr>
          <w:rFonts w:hint="eastAsia" w:ascii="黑体" w:hAnsi="黑体" w:eastAsia="黑体" w:cs="黑体"/>
          <w:b w:val="0"/>
          <w:bCs w:val="0"/>
          <w:color w:val="auto"/>
          <w:sz w:val="32"/>
          <w:szCs w:val="32"/>
          <w:highlight w:val="none"/>
        </w:rPr>
        <w:t>项目建设的必要性和可行性</w:t>
      </w:r>
    </w:p>
    <w:p>
      <w:pPr>
        <w:pStyle w:val="17"/>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项目</w:t>
      </w:r>
      <w:r>
        <w:rPr>
          <w:rFonts w:hint="eastAsia" w:ascii="仿宋_GB2312" w:hAnsi="仿宋_GB2312" w:eastAsia="仿宋_GB2312" w:cs="仿宋_GB2312"/>
          <w:b/>
          <w:bCs/>
          <w:sz w:val="32"/>
          <w:szCs w:val="32"/>
        </w:rPr>
        <w:t>基本情况</w:t>
      </w:r>
      <w:r>
        <w:rPr>
          <w:rFonts w:hint="eastAsia" w:ascii="仿宋_GB2312" w:hAnsi="仿宋_GB2312" w:eastAsia="仿宋_GB2312" w:cs="仿宋_GB2312"/>
          <w:b/>
          <w:bCs/>
          <w:sz w:val="32"/>
          <w:szCs w:val="32"/>
          <w:lang w:eastAsia="zh-CN"/>
        </w:rPr>
        <w:t>：</w:t>
      </w:r>
      <w:r>
        <w:rPr>
          <w:rFonts w:hint="eastAsia" w:ascii="仿宋" w:hAnsi="仿宋" w:eastAsia="仿宋" w:cs="仿宋"/>
          <w:b w:val="0"/>
          <w:bCs w:val="0"/>
          <w:color w:val="auto"/>
          <w:sz w:val="32"/>
          <w:szCs w:val="32"/>
          <w:highlight w:val="none"/>
          <w:lang w:eastAsia="zh-CN"/>
        </w:rPr>
        <w:t>夏镇色日克吉勒尕村位于托克逊县东南部，距县城中心7公里。辖6个自然村，总面积10平方公里，耕地面积1.07亩，色日克吉勒尕村所有农户754户2805人：其中一般户556户2103人，脱贫户7户23人，三类户4户7。均已达到“一超过、‘两不愁三保障’”脱贫标准，随着农村城市化进程的加快，农村环境问题日益突出，其中污水问题尤为严重。为贯彻落实乡村振兴战略，推进农村环境治理，提高农村居民生活质量，色日克吉勒尕村决定实施污水管网建设项目</w:t>
      </w:r>
      <w:r>
        <w:rPr>
          <w:rFonts w:hint="eastAsia" w:ascii="仿宋" w:hAnsi="仿宋" w:eastAsia="仿宋" w:cs="仿宋"/>
          <w:bCs/>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2、项目的必要性：</w:t>
      </w:r>
      <w:r>
        <w:rPr>
          <w:rFonts w:hint="eastAsia" w:ascii="仿宋_GB2312" w:hAnsi="仿宋_GB2312" w:eastAsia="仿宋_GB2312" w:cs="仿宋_GB2312"/>
          <w:b/>
          <w:bCs/>
          <w:color w:val="auto"/>
          <w:spacing w:val="-6"/>
          <w:kern w:val="2"/>
          <w:sz w:val="32"/>
          <w:szCs w:val="32"/>
          <w:lang w:val="en-US" w:eastAsia="zh-CN" w:bidi="ar-SA"/>
        </w:rPr>
        <w:t>一是</w:t>
      </w:r>
      <w:r>
        <w:rPr>
          <w:rFonts w:hint="eastAsia" w:ascii="仿宋" w:hAnsi="仿宋" w:eastAsia="仿宋" w:cs="仿宋"/>
          <w:b w:val="0"/>
          <w:bCs w:val="0"/>
          <w:color w:val="auto"/>
          <w:spacing w:val="-6"/>
          <w:kern w:val="2"/>
          <w:sz w:val="32"/>
          <w:szCs w:val="32"/>
          <w:lang w:val="en-US" w:eastAsia="zh-CN" w:bidi="ar-SA"/>
        </w:rPr>
        <w:t>提升农村居住环境，随着生活水平的提高，农民对美好生活环境的期盼也日益增强。色日克吉勒尕村污水管网建设项目将有效改善农村的居住环境，提高农民的生活质量。</w:t>
      </w:r>
      <w:r>
        <w:rPr>
          <w:rFonts w:hint="eastAsia" w:ascii="仿宋" w:hAnsi="仿宋" w:eastAsia="仿宋" w:cs="仿宋"/>
          <w:b/>
          <w:bCs/>
          <w:color w:val="auto"/>
          <w:spacing w:val="-6"/>
          <w:kern w:val="2"/>
          <w:sz w:val="32"/>
          <w:szCs w:val="32"/>
          <w:lang w:val="en-US" w:eastAsia="zh-CN" w:bidi="ar-SA"/>
        </w:rPr>
        <w:t>二是</w:t>
      </w:r>
      <w:r>
        <w:rPr>
          <w:rFonts w:hint="eastAsia" w:ascii="仿宋" w:hAnsi="仿宋" w:eastAsia="仿宋" w:cs="仿宋"/>
          <w:b w:val="0"/>
          <w:bCs w:val="0"/>
          <w:color w:val="auto"/>
          <w:spacing w:val="-6"/>
          <w:kern w:val="2"/>
          <w:sz w:val="32"/>
          <w:szCs w:val="32"/>
          <w:lang w:val="en-US" w:eastAsia="zh-CN" w:bidi="ar-SA"/>
        </w:rPr>
        <w:t>保护水资源，农村污水管网的建设不仅能将污水统一汇总到处理设备或处理厂，还能将污水中的有害物质和污染物进行过滤和净化，避免对地下水资源的污染，保护农村的水资源。</w:t>
      </w:r>
      <w:r>
        <w:rPr>
          <w:rFonts w:hint="eastAsia" w:ascii="仿宋" w:hAnsi="仿宋" w:eastAsia="仿宋" w:cs="仿宋"/>
          <w:b/>
          <w:bCs/>
          <w:color w:val="auto"/>
          <w:spacing w:val="-6"/>
          <w:kern w:val="2"/>
          <w:sz w:val="32"/>
          <w:szCs w:val="32"/>
          <w:lang w:val="en-US" w:eastAsia="zh-CN" w:bidi="ar-SA"/>
        </w:rPr>
        <w:t>三是</w:t>
      </w:r>
      <w:r>
        <w:rPr>
          <w:rFonts w:hint="eastAsia" w:ascii="仿宋" w:hAnsi="仿宋" w:eastAsia="仿宋" w:cs="仿宋"/>
          <w:b w:val="0"/>
          <w:bCs w:val="0"/>
          <w:color w:val="auto"/>
          <w:spacing w:val="-6"/>
          <w:kern w:val="2"/>
          <w:sz w:val="32"/>
          <w:szCs w:val="32"/>
          <w:lang w:val="en-US" w:eastAsia="zh-CN" w:bidi="ar-SA"/>
        </w:rPr>
        <w:t>促进农村现代化，乡村振兴战略是解决“三农”问题的重要途径。通过色日克吉勒尕村污水管网建设项目，可以推动农业等行业的转型升级，构建现代农业体系，完善农业保障制度，使农村走上现代化的道路</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 w:hAnsi="仿宋" w:eastAsia="仿宋" w:cs="仿宋"/>
          <w:color w:val="auto"/>
          <w:kern w:val="2"/>
          <w:sz w:val="32"/>
          <w:szCs w:val="32"/>
          <w:highlight w:val="none"/>
          <w:lang w:val="en-US" w:eastAsia="zh-CN" w:bidi="ar-SA"/>
        </w:rPr>
      </w:pPr>
      <w:r>
        <w:rPr>
          <w:rFonts w:hint="eastAsia" w:ascii="仿宋_GB2312" w:hAnsi="仿宋_GB2312" w:eastAsia="仿宋_GB2312" w:cs="仿宋_GB2312"/>
          <w:b/>
          <w:bCs/>
          <w:sz w:val="32"/>
          <w:szCs w:val="32"/>
          <w:lang w:val="en-US" w:eastAsia="zh-CN"/>
        </w:rPr>
        <w:t>3、项目的可行性：</w:t>
      </w:r>
      <w:r>
        <w:rPr>
          <w:rFonts w:hint="eastAsia" w:ascii="仿宋_GB2312" w:hAnsi="仿宋_GB2312" w:eastAsia="仿宋_GB2312" w:cs="仿宋_GB2312"/>
          <w:bCs/>
          <w:sz w:val="32"/>
          <w:szCs w:val="32"/>
          <w:highlight w:val="none"/>
          <w:lang w:val="en-US" w:eastAsia="zh-CN"/>
        </w:rPr>
        <w:t>（1）</w:t>
      </w:r>
      <w:r>
        <w:rPr>
          <w:rFonts w:hint="eastAsia" w:ascii="仿宋" w:hAnsi="仿宋" w:eastAsia="仿宋" w:cs="仿宋"/>
          <w:bCs/>
          <w:sz w:val="32"/>
          <w:szCs w:val="32"/>
          <w:highlight w:val="none"/>
          <w:lang w:val="en-US" w:eastAsia="zh-CN"/>
        </w:rPr>
        <w:t>本项目符合国家关于新农村建设的有关政策。在改革开放、发展经济的进程中，夏镇经济和社会发展取得显著成效，精神文明建设深入人心，项目按规划建设是顺理成章的，是可行的。（2）夏镇党委、政府对此项目高度重视，已将该工程列入重要议事日程，明确了责任领导，为项目提供坚强组织保证，创造良好的施工环境</w:t>
      </w:r>
      <w:r>
        <w:rPr>
          <w:rFonts w:hint="eastAsia" w:ascii="仿宋" w:hAnsi="仿宋" w:eastAsia="仿宋" w:cs="仿宋"/>
          <w:color w:val="auto"/>
          <w:kern w:val="2"/>
          <w:sz w:val="32"/>
          <w:szCs w:val="32"/>
          <w:highlight w:val="none"/>
          <w:lang w:val="en-US" w:eastAsia="zh-CN" w:bidi="ar-SA"/>
        </w:rPr>
        <w:t>将积极拥护并大力支持项目建设，踊跃为项目建设提供便利条件。</w:t>
      </w:r>
    </w:p>
    <w:p>
      <w:pPr>
        <w:pStyle w:val="17"/>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三、资金筹措及投资概算</w:t>
      </w:r>
    </w:p>
    <w:p>
      <w:pPr>
        <w:pStyle w:val="14"/>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资金来源</w:t>
      </w:r>
      <w:r>
        <w:rPr>
          <w:rFonts w:hint="eastAsia" w:ascii="仿宋_GB2312" w:hAnsi="仿宋_GB2312" w:cs="仿宋_GB2312"/>
          <w:b/>
          <w:bCs/>
          <w:color w:val="auto"/>
          <w:sz w:val="32"/>
          <w:szCs w:val="32"/>
          <w:highlight w:val="none"/>
        </w:rPr>
        <w:t>：</w:t>
      </w:r>
      <w:r>
        <w:rPr>
          <w:rFonts w:hint="eastAsia" w:ascii="仿宋" w:hAnsi="仿宋" w:eastAsia="仿宋" w:cs="仿宋"/>
          <w:w w:val="100"/>
          <w:kern w:val="2"/>
          <w:sz w:val="32"/>
          <w:szCs w:val="32"/>
          <w:lang w:val="en-US" w:eastAsia="zh-CN" w:bidi="ar-SA"/>
        </w:rPr>
        <w:t>财政</w:t>
      </w:r>
      <w:r>
        <w:rPr>
          <w:rFonts w:hint="default" w:ascii="Times New Roman" w:hAnsi="Times New Roman" w:eastAsia="仿宋_GB2312" w:cs="Times New Roman"/>
          <w:color w:val="auto"/>
          <w:w w:val="100"/>
          <w:kern w:val="2"/>
          <w:sz w:val="32"/>
          <w:szCs w:val="32"/>
          <w:lang w:val="en-US" w:eastAsia="zh-CN" w:bidi="ar-SA"/>
        </w:rPr>
        <w:t>衔接推进乡村振兴补助资金</w:t>
      </w:r>
      <w:r>
        <w:rPr>
          <w:rFonts w:hint="eastAsia" w:ascii="Times New Roman" w:hAnsi="Times New Roman" w:cs="Times New Roman"/>
          <w:color w:val="auto"/>
          <w:w w:val="100"/>
          <w:kern w:val="2"/>
          <w:sz w:val="32"/>
          <w:szCs w:val="32"/>
          <w:lang w:val="en-US" w:eastAsia="zh-CN" w:bidi="ar-SA"/>
        </w:rPr>
        <w:t>106</w:t>
      </w:r>
      <w:r>
        <w:rPr>
          <w:rFonts w:hint="eastAsia" w:ascii="Times New Roman" w:hAnsi="Times New Roman" w:eastAsia="仿宋_GB2312" w:cs="Times New Roman"/>
          <w:color w:val="auto"/>
          <w:w w:val="100"/>
          <w:kern w:val="2"/>
          <w:sz w:val="32"/>
          <w:szCs w:val="32"/>
          <w:lang w:val="en-US" w:eastAsia="zh-CN" w:bidi="ar-SA"/>
        </w:rPr>
        <w:t>万元</w:t>
      </w:r>
      <w:r>
        <w:rPr>
          <w:rFonts w:hint="eastAsia" w:ascii="仿宋_GB2312" w:hAnsi="仿宋_GB2312" w:cs="仿宋_GB2312"/>
          <w:color w:val="auto"/>
          <w:kern w:val="2"/>
          <w:sz w:val="32"/>
          <w:szCs w:val="32"/>
          <w:highlight w:val="none"/>
          <w:lang w:val="en-US" w:eastAsia="zh-CN" w:bidi="ar-SA"/>
        </w:rPr>
        <w:t>。</w:t>
      </w:r>
    </w:p>
    <w:p>
      <w:pPr>
        <w:pStyle w:val="17"/>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投资</w:t>
      </w:r>
      <w:r>
        <w:rPr>
          <w:rFonts w:hint="eastAsia" w:ascii="仿宋_GB2312" w:hAnsi="仿宋_GB2312" w:eastAsia="仿宋_GB2312" w:cs="仿宋_GB2312"/>
          <w:b/>
          <w:bCs/>
          <w:sz w:val="32"/>
          <w:szCs w:val="32"/>
          <w:lang w:val="en-US" w:eastAsia="zh-CN"/>
        </w:rPr>
        <w:t>概算</w:t>
      </w:r>
      <w:r>
        <w:rPr>
          <w:rFonts w:hint="eastAsia" w:ascii="仿宋_GB2312" w:hAnsi="仿宋_GB2312" w:eastAsia="仿宋_GB2312" w:cs="仿宋_GB2312"/>
          <w:b/>
          <w:bCs/>
          <w:sz w:val="32"/>
          <w:szCs w:val="32"/>
        </w:rPr>
        <w:t>：</w:t>
      </w:r>
      <w:r>
        <w:rPr>
          <w:rFonts w:hint="eastAsia" w:ascii="仿宋" w:hAnsi="仿宋" w:eastAsia="仿宋" w:cs="仿宋"/>
          <w:b w:val="0"/>
          <w:bCs w:val="0"/>
          <w:kern w:val="2"/>
          <w:sz w:val="32"/>
          <w:szCs w:val="32"/>
          <w:lang w:val="en-US" w:eastAsia="zh-CN" w:bidi="ar-SA"/>
        </w:rPr>
        <w:t>计划为夏镇色日克吉勒尕村铺设800米排水主管道以及其他配套污水处理设施，项目建设费用约96万元、其他费用约10万元，项目总投资约106万元</w:t>
      </w:r>
      <w:r>
        <w:rPr>
          <w:rFonts w:hint="eastAsia" w:ascii="仿宋_GB2312" w:hAnsi="Calibri" w:eastAsia="仿宋_GB2312" w:cs="Times New Roman"/>
          <w:color w:val="auto"/>
          <w:kern w:val="2"/>
          <w:sz w:val="32"/>
          <w:szCs w:val="32"/>
          <w:highlight w:val="none"/>
          <w:lang w:val="en-US" w:eastAsia="zh-CN" w:bidi="ar-SA"/>
        </w:rPr>
        <w:t xml:space="preserve">。    </w:t>
      </w:r>
    </w:p>
    <w:p>
      <w:pPr>
        <w:keepNext w:val="0"/>
        <w:keepLines w:val="0"/>
        <w:pageBreakBefore w:val="0"/>
        <w:widowControl w:val="0"/>
        <w:kinsoku/>
        <w:wordWrap/>
        <w:overflowPunct/>
        <w:topLinePunct w:val="0"/>
        <w:autoSpaceDN/>
        <w:bidi w:val="0"/>
        <w:adjustRightInd/>
        <w:snapToGrid/>
        <w:spacing w:line="560" w:lineRule="exact"/>
        <w:ind w:firstLine="640" w:firstLineChars="200"/>
        <w:rPr>
          <w:color w:val="auto"/>
          <w:highlight w:val="none"/>
        </w:rPr>
      </w:pPr>
      <w:r>
        <w:rPr>
          <w:rFonts w:hint="eastAsia" w:ascii="黑体" w:hAnsi="黑体" w:eastAsia="黑体" w:cs="黑体"/>
          <w:kern w:val="2"/>
          <w:sz w:val="32"/>
          <w:szCs w:val="22"/>
          <w:lang w:val="en-US" w:eastAsia="zh-CN" w:bidi="ar-SA"/>
        </w:rPr>
        <w:t>四、项目实施进度计划</w:t>
      </w:r>
      <w:r>
        <w:rPr>
          <w:rFonts w:hint="eastAsia" w:ascii="仿宋_GB2312" w:hAnsi="仿宋_GB2312" w:eastAsia="仿宋_GB2312" w:cs="仿宋_GB2312"/>
          <w:b/>
          <w:bCs/>
          <w:color w:val="auto"/>
          <w:sz w:val="32"/>
          <w:szCs w:val="32"/>
          <w:highlight w:val="none"/>
        </w:rPr>
        <w:t>：</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sz w:val="32"/>
          <w:szCs w:val="32"/>
          <w:highlight w:val="none"/>
          <w:lang w:val="en-US" w:eastAsia="zh-CN"/>
        </w:rPr>
        <w:t>2025年3月底前，完成项目各项前期手续</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2025年4月</w:t>
      </w:r>
      <w:r>
        <w:rPr>
          <w:rFonts w:hint="eastAsia" w:ascii="仿宋" w:hAnsi="仿宋" w:eastAsia="仿宋" w:cs="仿宋"/>
          <w:b w:val="0"/>
          <w:bCs w:val="0"/>
          <w:sz w:val="32"/>
          <w:szCs w:val="32"/>
          <w:highlight w:val="none"/>
          <w:lang w:val="en-US" w:eastAsia="zh-CN"/>
        </w:rPr>
        <w:t>底前</w:t>
      </w:r>
      <w:r>
        <w:rPr>
          <w:rFonts w:hint="eastAsia" w:ascii="仿宋" w:hAnsi="仿宋" w:eastAsia="仿宋" w:cs="仿宋"/>
          <w:color w:val="auto"/>
          <w:sz w:val="32"/>
          <w:szCs w:val="32"/>
          <w:highlight w:val="none"/>
          <w:lang w:val="en-US" w:eastAsia="zh-CN"/>
        </w:rPr>
        <w:t>，项目开始施工。</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textAlignment w:val="auto"/>
        <w:rPr>
          <w:rFonts w:hint="eastAsia" w:ascii="仿宋_GB2312" w:hAnsi="宋体" w:eastAsia="仿宋_GB2312" w:cs="黑体"/>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2025年10月</w:t>
      </w:r>
      <w:r>
        <w:rPr>
          <w:rFonts w:hint="eastAsia" w:ascii="仿宋" w:hAnsi="仿宋" w:eastAsia="仿宋" w:cs="仿宋"/>
          <w:b w:val="0"/>
          <w:bCs w:val="0"/>
          <w:sz w:val="32"/>
          <w:szCs w:val="32"/>
          <w:highlight w:val="none"/>
          <w:lang w:val="en-US" w:eastAsia="zh-CN"/>
        </w:rPr>
        <w:t>底前</w:t>
      </w:r>
      <w:r>
        <w:rPr>
          <w:rFonts w:hint="eastAsia" w:ascii="仿宋" w:hAnsi="仿宋" w:eastAsia="仿宋" w:cs="仿宋"/>
          <w:color w:val="auto"/>
          <w:sz w:val="32"/>
          <w:szCs w:val="32"/>
          <w:highlight w:val="none"/>
          <w:lang w:val="en-US" w:eastAsia="zh-CN"/>
        </w:rPr>
        <w:t>，完成</w:t>
      </w:r>
      <w:r>
        <w:rPr>
          <w:rFonts w:hint="eastAsia" w:ascii="仿宋" w:hAnsi="仿宋" w:eastAsia="仿宋" w:cs="仿宋"/>
          <w:color w:val="auto"/>
          <w:sz w:val="32"/>
          <w:szCs w:val="32"/>
          <w:highlight w:val="none"/>
        </w:rPr>
        <w:t>项目</w:t>
      </w:r>
      <w:r>
        <w:rPr>
          <w:rFonts w:hint="eastAsia" w:ascii="仿宋" w:hAnsi="仿宋" w:eastAsia="仿宋" w:cs="仿宋"/>
          <w:color w:val="auto"/>
          <w:sz w:val="32"/>
          <w:szCs w:val="32"/>
          <w:highlight w:val="none"/>
          <w:lang w:eastAsia="zh-CN"/>
        </w:rPr>
        <w:t>建设</w:t>
      </w:r>
      <w:r>
        <w:rPr>
          <w:rFonts w:hint="eastAsia" w:ascii="仿宋" w:hAnsi="仿宋" w:eastAsia="仿宋" w:cs="仿宋"/>
          <w:color w:val="auto"/>
          <w:sz w:val="32"/>
          <w:szCs w:val="32"/>
          <w:highlight w:val="none"/>
          <w:lang w:val="en-US" w:eastAsia="zh-CN"/>
        </w:rPr>
        <w:t>并由相关单位进行验收</w:t>
      </w:r>
      <w:r>
        <w:rPr>
          <w:rFonts w:hint="eastAsia" w:ascii="仿宋" w:hAnsi="仿宋" w:eastAsia="仿宋" w:cs="仿宋"/>
          <w:color w:val="auto"/>
          <w:sz w:val="32"/>
          <w:szCs w:val="32"/>
          <w:highlight w:val="none"/>
        </w:rPr>
        <w:t>。</w:t>
      </w:r>
    </w:p>
    <w:p>
      <w:pPr>
        <w:pStyle w:val="17"/>
        <w:keepNext/>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五、项目组织实施能力与内控管理措施</w:t>
      </w:r>
    </w:p>
    <w:p>
      <w:pPr>
        <w:keepNext w:val="0"/>
        <w:keepLines w:val="0"/>
        <w:pageBreakBefore w:val="0"/>
        <w:widowControl w:val="0"/>
        <w:numPr>
          <w:ilvl w:val="0"/>
          <w:numId w:val="1"/>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ascii="仿宋_GB2312" w:hAnsi="仿宋_GB2312" w:eastAsia="仿宋_GB2312" w:cs="仿宋_GB2312"/>
          <w:bCs/>
          <w:sz w:val="32"/>
          <w:szCs w:val="32"/>
          <w:highlight w:val="none"/>
        </w:rPr>
      </w:pPr>
      <w:r>
        <w:rPr>
          <w:rFonts w:hint="eastAsia" w:ascii="仿宋_GB2312" w:hAnsi="仿宋_GB2312" w:eastAsia="仿宋_GB2312" w:cs="仿宋_GB2312"/>
          <w:b/>
          <w:bCs/>
          <w:sz w:val="32"/>
          <w:szCs w:val="32"/>
          <w:lang w:val="en-US" w:eastAsia="zh-CN"/>
        </w:rPr>
        <w:t>组织领导机构及职责分工</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为加强项目监督和技术指导，按期完成建设任务，</w:t>
      </w:r>
      <w:r>
        <w:rPr>
          <w:rFonts w:hint="eastAsia" w:ascii="仿宋" w:hAnsi="仿宋" w:eastAsia="仿宋" w:cs="仿宋"/>
          <w:bCs/>
          <w:sz w:val="32"/>
          <w:szCs w:val="32"/>
          <w:highlight w:val="none"/>
          <w:lang w:val="en-US" w:eastAsia="zh-CN"/>
        </w:rPr>
        <w:t>根据</w:t>
      </w:r>
      <w:r>
        <w:rPr>
          <w:rFonts w:hint="eastAsia" w:ascii="仿宋" w:hAnsi="仿宋" w:eastAsia="仿宋" w:cs="仿宋"/>
          <w:sz w:val="32"/>
          <w:szCs w:val="32"/>
          <w:highlight w:val="none"/>
          <w:lang w:val="en-US" w:eastAsia="zh-CN"/>
        </w:rPr>
        <w:t>《托克逊县夏镇财政衔接推进乡村振兴补助金（巩固拓展脱贫攻坚成果和乡村振兴任务）项目管理办法（暂行）》</w:t>
      </w:r>
      <w:r>
        <w:rPr>
          <w:rFonts w:hint="eastAsia" w:ascii="仿宋" w:hAnsi="仿宋" w:eastAsia="仿宋" w:cs="仿宋"/>
          <w:bCs/>
          <w:sz w:val="32"/>
          <w:szCs w:val="32"/>
          <w:highlight w:val="none"/>
          <w:lang w:val="en-US" w:eastAsia="zh-CN"/>
        </w:rPr>
        <w:t>规定</w:t>
      </w:r>
      <w:r>
        <w:rPr>
          <w:rFonts w:hint="eastAsia" w:ascii="仿宋" w:hAnsi="仿宋" w:eastAsia="仿宋" w:cs="仿宋"/>
          <w:bCs/>
          <w:sz w:val="32"/>
          <w:szCs w:val="32"/>
          <w:highlight w:val="none"/>
        </w:rPr>
        <w:t>成立项目管理组织机构</w:t>
      </w:r>
      <w:r>
        <w:rPr>
          <w:rFonts w:hint="eastAsia" w:ascii="仿宋" w:hAnsi="仿宋" w:eastAsia="仿宋" w:cs="仿宋"/>
          <w:bCs/>
          <w:sz w:val="32"/>
          <w:szCs w:val="32"/>
          <w:highlight w:val="none"/>
          <w:lang w:eastAsia="zh-CN"/>
        </w:rPr>
        <w:t>，</w:t>
      </w:r>
      <w:r>
        <w:rPr>
          <w:rFonts w:hint="eastAsia" w:ascii="仿宋" w:hAnsi="仿宋" w:eastAsia="仿宋" w:cs="仿宋"/>
          <w:sz w:val="32"/>
          <w:szCs w:val="32"/>
          <w:highlight w:val="none"/>
          <w:lang w:val="en-US" w:eastAsia="zh-CN"/>
        </w:rPr>
        <w:t>项目管理工作实行分级负责制</w:t>
      </w:r>
      <w:r>
        <w:rPr>
          <w:rFonts w:hint="eastAsia" w:ascii="仿宋" w:hAnsi="仿宋" w:eastAsia="仿宋" w:cs="仿宋"/>
          <w:bCs/>
          <w:sz w:val="32"/>
          <w:szCs w:val="32"/>
          <w:highlight w:val="none"/>
        </w:rPr>
        <w:t>。</w:t>
      </w:r>
      <w:r>
        <w:rPr>
          <w:rFonts w:hint="eastAsia" w:ascii="仿宋" w:hAnsi="仿宋" w:eastAsia="仿宋" w:cs="仿宋"/>
          <w:bCs/>
          <w:sz w:val="32"/>
          <w:szCs w:val="32"/>
          <w:highlight w:val="none"/>
          <w:lang w:val="en-US" w:eastAsia="zh-CN"/>
        </w:rPr>
        <w:t>项目组相关领导机构</w:t>
      </w:r>
      <w:r>
        <w:rPr>
          <w:rFonts w:hint="eastAsia" w:ascii="仿宋" w:hAnsi="仿宋" w:eastAsia="仿宋" w:cs="仿宋"/>
          <w:bCs/>
          <w:sz w:val="32"/>
          <w:szCs w:val="32"/>
          <w:highlight w:val="none"/>
        </w:rPr>
        <w:t>如下：</w:t>
      </w:r>
    </w:p>
    <w:p>
      <w:pPr>
        <w:pStyle w:val="17"/>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 xml:space="preserve">组 长：艾尼瓦尔·尔西丁       </w:t>
      </w:r>
      <w:r>
        <w:rPr>
          <w:rFonts w:hint="eastAsia" w:ascii="仿宋" w:hAnsi="仿宋" w:eastAsia="仿宋" w:cs="仿宋"/>
          <w:sz w:val="32"/>
          <w:szCs w:val="32"/>
          <w:highlight w:val="none"/>
          <w:lang w:eastAsia="zh-CN"/>
        </w:rPr>
        <w:t>镇</w:t>
      </w:r>
      <w:r>
        <w:rPr>
          <w:rFonts w:hint="eastAsia" w:ascii="仿宋" w:hAnsi="仿宋" w:eastAsia="仿宋" w:cs="仿宋"/>
          <w:sz w:val="32"/>
          <w:szCs w:val="32"/>
          <w:highlight w:val="none"/>
        </w:rPr>
        <w:t>党委副书记、</w:t>
      </w:r>
      <w:r>
        <w:rPr>
          <w:rFonts w:hint="eastAsia" w:ascii="仿宋" w:hAnsi="仿宋" w:eastAsia="仿宋" w:cs="仿宋"/>
          <w:sz w:val="32"/>
          <w:szCs w:val="32"/>
          <w:highlight w:val="none"/>
          <w:lang w:eastAsia="zh-CN"/>
        </w:rPr>
        <w:t>镇</w:t>
      </w:r>
      <w:r>
        <w:rPr>
          <w:rFonts w:hint="eastAsia" w:ascii="仿宋" w:hAnsi="仿宋" w:eastAsia="仿宋" w:cs="仿宋"/>
          <w:sz w:val="32"/>
          <w:szCs w:val="32"/>
          <w:highlight w:val="none"/>
        </w:rPr>
        <w:t>长</w:t>
      </w:r>
      <w:r>
        <w:rPr>
          <w:rFonts w:hint="eastAsia" w:ascii="仿宋" w:hAnsi="仿宋" w:eastAsia="仿宋" w:cs="仿宋"/>
          <w:b w:val="0"/>
          <w:bCs w:val="0"/>
          <w:sz w:val="32"/>
          <w:szCs w:val="32"/>
          <w:highlight w:val="none"/>
          <w:lang w:val="en-US" w:eastAsia="zh-CN"/>
        </w:rPr>
        <w:t xml:space="preserve"> </w:t>
      </w:r>
    </w:p>
    <w:p>
      <w:pPr>
        <w:pStyle w:val="17"/>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 xml:space="preserve">副组长：马军                  镇党委委员、常务副镇长 </w:t>
      </w:r>
    </w:p>
    <w:p>
      <w:pPr>
        <w:pStyle w:val="17"/>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成 员：</w:t>
      </w:r>
      <w:r>
        <w:rPr>
          <w:rFonts w:hint="eastAsia" w:ascii="仿宋" w:hAnsi="仿宋" w:eastAsia="仿宋" w:cs="仿宋"/>
          <w:sz w:val="32"/>
          <w:szCs w:val="32"/>
          <w:lang w:eastAsia="zh-CN"/>
        </w:rPr>
        <w:t>武永强</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镇</w:t>
      </w:r>
      <w:r>
        <w:rPr>
          <w:rFonts w:hint="eastAsia" w:ascii="仿宋" w:hAnsi="仿宋" w:eastAsia="仿宋" w:cs="仿宋"/>
          <w:sz w:val="32"/>
          <w:szCs w:val="32"/>
          <w:lang w:eastAsia="zh-CN"/>
        </w:rPr>
        <w:t>项目</w:t>
      </w:r>
      <w:r>
        <w:rPr>
          <w:rFonts w:hint="eastAsia" w:ascii="仿宋" w:hAnsi="仿宋" w:eastAsia="仿宋" w:cs="仿宋"/>
          <w:sz w:val="32"/>
          <w:szCs w:val="32"/>
        </w:rPr>
        <w:t>办主任</w:t>
      </w:r>
    </w:p>
    <w:p>
      <w:pPr>
        <w:pStyle w:val="17"/>
        <w:keepNext w:val="0"/>
        <w:keepLines w:val="0"/>
        <w:pageBreakBefore w:val="0"/>
        <w:widowControl w:val="0"/>
        <w:kinsoku/>
        <w:wordWrap/>
        <w:overflowPunct/>
        <w:topLinePunct w:val="0"/>
        <w:autoSpaceDE/>
        <w:autoSpaceDN/>
        <w:bidi w:val="0"/>
        <w:adjustRightInd/>
        <w:snapToGrid/>
        <w:spacing w:line="540" w:lineRule="exact"/>
        <w:ind w:firstLine="960" w:firstLineChars="3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 xml:space="preserve">木克热木·热合曼       镇纪检办主任 </w:t>
      </w:r>
    </w:p>
    <w:p>
      <w:pPr>
        <w:pStyle w:val="17"/>
        <w:keepNext w:val="0"/>
        <w:keepLines w:val="0"/>
        <w:pageBreakBefore w:val="0"/>
        <w:widowControl w:val="0"/>
        <w:kinsoku/>
        <w:wordWrap/>
        <w:overflowPunct/>
        <w:topLinePunct w:val="0"/>
        <w:autoSpaceDE/>
        <w:autoSpaceDN/>
        <w:bidi w:val="0"/>
        <w:adjustRightInd/>
        <w:snapToGrid/>
        <w:spacing w:line="540" w:lineRule="exact"/>
        <w:ind w:left="0" w:leftChars="0" w:firstLine="960" w:firstLineChars="3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古丽博斯坦·艾尼       镇乡村振兴办主任</w:t>
      </w:r>
    </w:p>
    <w:p>
      <w:pPr>
        <w:pStyle w:val="17"/>
        <w:keepNext w:val="0"/>
        <w:keepLines w:val="0"/>
        <w:pageBreakBefore w:val="0"/>
        <w:widowControl w:val="0"/>
        <w:kinsoku/>
        <w:wordWrap/>
        <w:overflowPunct/>
        <w:topLinePunct w:val="0"/>
        <w:autoSpaceDE/>
        <w:autoSpaceDN/>
        <w:bidi w:val="0"/>
        <w:adjustRightInd/>
        <w:snapToGrid/>
        <w:spacing w:line="540" w:lineRule="exact"/>
        <w:ind w:left="0" w:leftChars="0" w:firstLine="960" w:firstLineChars="3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 xml:space="preserve">吐尔尼亚孜汗·玉苏甫   镇财政所干部 </w:t>
      </w:r>
    </w:p>
    <w:p>
      <w:pPr>
        <w:pStyle w:val="17"/>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960" w:firstLineChars="3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 xml:space="preserve">魏  育                 镇项目办干部 </w:t>
      </w:r>
    </w:p>
    <w:p>
      <w:pPr>
        <w:pStyle w:val="17"/>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960" w:firstLineChars="300"/>
        <w:jc w:val="both"/>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 xml:space="preserve">阿不来提·艾合买提     色日克吉勒尕村第一书记 </w:t>
      </w:r>
    </w:p>
    <w:p>
      <w:pPr>
        <w:pStyle w:val="17"/>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960" w:firstLineChars="300"/>
        <w:jc w:val="both"/>
        <w:textAlignment w:val="auto"/>
        <w:rPr>
          <w:rFonts w:hint="eastAsia" w:ascii="仿宋" w:hAnsi="仿宋" w:eastAsia="仿宋" w:cs="仿宋"/>
          <w:b w:val="0"/>
          <w:bCs w:val="0"/>
          <w:kern w:val="2"/>
          <w:sz w:val="32"/>
          <w:szCs w:val="32"/>
          <w:highlight w:val="none"/>
          <w:lang w:val="en-US" w:eastAsia="zh-CN" w:bidi="ar-SA"/>
        </w:rPr>
      </w:pPr>
      <w:r>
        <w:rPr>
          <w:rFonts w:hint="eastAsia" w:ascii="仿宋" w:hAnsi="仿宋" w:eastAsia="仿宋" w:cs="仿宋"/>
          <w:b w:val="0"/>
          <w:bCs w:val="0"/>
          <w:sz w:val="32"/>
          <w:szCs w:val="32"/>
          <w:highlight w:val="none"/>
          <w:lang w:val="en-US" w:eastAsia="zh-CN"/>
        </w:rPr>
        <w:t>艾合买提·库尔班       色日克吉勒尕村委会主任</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（1）成立以村第一书记为组长，村党支部书记为副组长、各职能小组负责人为成员的领导小组，负责项目的领导、协调、实施、督促、指导等工作，为项目建设提供组织保障。</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（2）镇乡村振兴、纪检、财政所等部门为项目实施的监督单位。负责项目实施全过程中的监督、检查，资金审批及管理。</w:t>
      </w:r>
    </w:p>
    <w:p>
      <w:pPr>
        <w:pStyle w:val="14"/>
        <w:keepNext w:val="0"/>
        <w:keepLines w:val="0"/>
        <w:pageBreakBefore w:val="0"/>
        <w:widowControl w:val="0"/>
        <w:kinsoku/>
        <w:wordWrap/>
        <w:overflowPunct/>
        <w:topLinePunct w:val="0"/>
        <w:autoSpaceDN/>
        <w:bidi w:val="0"/>
        <w:adjustRightInd/>
        <w:snapToGrid/>
        <w:spacing w:line="560" w:lineRule="exact"/>
        <w:ind w:left="0" w:leftChars="0" w:firstLine="640" w:firstLineChars="200"/>
        <w:rPr>
          <w:rFonts w:hint="eastAsia" w:ascii="仿宋_GB2312" w:hAnsi="仿宋_GB2312" w:eastAsia="仿宋_GB2312" w:cs="仿宋_GB2312"/>
          <w:b/>
          <w:bCs/>
          <w:color w:val="auto"/>
          <w:sz w:val="32"/>
          <w:szCs w:val="32"/>
          <w:highlight w:val="none"/>
          <w:lang w:val="en-US" w:eastAsia="zh-CN"/>
        </w:rPr>
      </w:pPr>
      <w:r>
        <w:rPr>
          <w:rFonts w:hint="eastAsia" w:ascii="仿宋" w:hAnsi="仿宋" w:eastAsia="仿宋" w:cs="仿宋"/>
          <w:sz w:val="32"/>
          <w:szCs w:val="32"/>
          <w:highlight w:val="none"/>
        </w:rPr>
        <w:t>（3）夏镇为项目实施主体。乡和行政村分别成立项目实施领导小组，明确1名副科级领导专抓此项工作，主要负责宣传发动、组织实施和协助村里并进行指导，帮助落实任务；负责组织开展验收、项目档案的归档等工作</w:t>
      </w:r>
      <w:r>
        <w:rPr>
          <w:rFonts w:hint="eastAsia" w:ascii="仿宋_GB2312" w:hAnsi="仿宋_GB2312" w:cs="仿宋_GB2312"/>
          <w:sz w:val="32"/>
          <w:szCs w:val="32"/>
          <w:highlight w:val="none"/>
          <w:lang w:eastAsia="zh-CN"/>
        </w:rPr>
        <w:t>。</w:t>
      </w:r>
    </w:p>
    <w:p>
      <w:pPr>
        <w:keepLines w:val="0"/>
        <w:pageBreakBefore w:val="0"/>
        <w:widowControl w:val="0"/>
        <w:numPr>
          <w:ilvl w:val="0"/>
          <w:numId w:val="1"/>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项目招标、采购管理</w:t>
      </w:r>
    </w:p>
    <w:p>
      <w:pPr>
        <w:pStyle w:val="14"/>
        <w:keepLines w:val="0"/>
        <w:pageBreakBefore w:val="0"/>
        <w:widowControl w:val="0"/>
        <w:kinsoku/>
        <w:wordWrap/>
        <w:overflowPunct/>
        <w:topLinePunct w:val="0"/>
        <w:autoSpaceDN/>
        <w:bidi w:val="0"/>
        <w:adjustRightInd/>
        <w:snapToGrid/>
        <w:spacing w:beforeAutospacing="0" w:afterAutospacing="0" w:line="560" w:lineRule="exact"/>
        <w:ind w:firstLine="640" w:firstLineChars="200"/>
        <w:rPr>
          <w:rFonts w:hint="eastAsia" w:ascii="仿宋" w:hAnsi="仿宋" w:eastAsia="仿宋" w:cs="仿宋"/>
          <w:lang w:val="en-US" w:eastAsia="zh-CN"/>
        </w:rPr>
      </w:pPr>
      <w:r>
        <w:rPr>
          <w:rFonts w:hint="eastAsia" w:ascii="仿宋" w:hAnsi="仿宋" w:eastAsia="仿宋" w:cs="仿宋"/>
          <w:sz w:val="32"/>
          <w:szCs w:val="32"/>
          <w:highlight w:val="none"/>
        </w:rPr>
        <w:t>本项目建设采用投标制，由</w:t>
      </w:r>
      <w:r>
        <w:rPr>
          <w:rFonts w:hint="eastAsia" w:ascii="仿宋" w:hAnsi="仿宋" w:eastAsia="仿宋" w:cs="仿宋"/>
          <w:sz w:val="32"/>
          <w:szCs w:val="32"/>
          <w:highlight w:val="none"/>
          <w:lang w:val="en-US" w:eastAsia="zh-CN"/>
        </w:rPr>
        <w:t>夏</w:t>
      </w:r>
      <w:r>
        <w:rPr>
          <w:rFonts w:hint="eastAsia" w:ascii="仿宋" w:hAnsi="仿宋" w:eastAsia="仿宋" w:cs="仿宋"/>
          <w:sz w:val="32"/>
          <w:szCs w:val="32"/>
          <w:highlight w:val="none"/>
        </w:rPr>
        <w:t>镇人民政府选择有资质的招标代理机构进行招标，依据《中华人民共和国招标投标法》《中华人民共和国政府采购法》以及《</w:t>
      </w:r>
      <w:r>
        <w:rPr>
          <w:rFonts w:hint="eastAsia" w:ascii="仿宋" w:hAnsi="仿宋" w:eastAsia="仿宋" w:cs="仿宋"/>
          <w:sz w:val="32"/>
          <w:szCs w:val="32"/>
          <w:highlight w:val="none"/>
          <w:lang w:val="en-US" w:eastAsia="zh-CN"/>
        </w:rPr>
        <w:t>夏镇人民政府</w:t>
      </w:r>
      <w:r>
        <w:rPr>
          <w:rFonts w:hint="eastAsia" w:ascii="仿宋" w:hAnsi="仿宋" w:eastAsia="仿宋" w:cs="仿宋"/>
          <w:sz w:val="32"/>
          <w:szCs w:val="32"/>
          <w:highlight w:val="none"/>
        </w:rPr>
        <w:t>招投标采购管理办法》，通过公开招标方式，择优选择承包方，承包方通过竞争中标后依法签</w:t>
      </w:r>
      <w:r>
        <w:rPr>
          <w:rFonts w:hint="eastAsia" w:ascii="仿宋" w:hAnsi="仿宋" w:eastAsia="仿宋" w:cs="仿宋"/>
          <w:sz w:val="32"/>
          <w:szCs w:val="32"/>
          <w:highlight w:val="none"/>
          <w:lang w:val="en-US" w:eastAsia="zh-CN"/>
        </w:rPr>
        <w:t>订</w:t>
      </w:r>
      <w:r>
        <w:rPr>
          <w:rFonts w:hint="eastAsia" w:ascii="仿宋" w:hAnsi="仿宋" w:eastAsia="仿宋" w:cs="仿宋"/>
          <w:sz w:val="32"/>
          <w:szCs w:val="32"/>
          <w:highlight w:val="none"/>
        </w:rPr>
        <w:t>承包合同，合同中明确规定项目的投资额度，工程规模，技术标准，不能搞“半拉子”工程，不能留投资缺口，不能转包，严格履行合同</w:t>
      </w:r>
      <w:r>
        <w:rPr>
          <w:rFonts w:hint="eastAsia" w:ascii="仿宋" w:hAnsi="仿宋" w:eastAsia="仿宋" w:cs="仿宋"/>
          <w:sz w:val="32"/>
          <w:szCs w:val="32"/>
          <w:highlight w:val="none"/>
          <w:lang w:eastAsia="zh-CN"/>
        </w:rPr>
        <w:t>。</w:t>
      </w:r>
    </w:p>
    <w:p>
      <w:pPr>
        <w:keepLines w:val="0"/>
        <w:pageBreakBefore w:val="0"/>
        <w:widowControl w:val="0"/>
        <w:numPr>
          <w:ilvl w:val="0"/>
          <w:numId w:val="1"/>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项目实施与监督检查</w:t>
      </w:r>
    </w:p>
    <w:p>
      <w:pPr>
        <w:pStyle w:val="5"/>
        <w:keepLines w:val="0"/>
        <w:pageBreakBefore w:val="0"/>
        <w:widowControl w:val="0"/>
        <w:kinsoku/>
        <w:wordWrap/>
        <w:overflowPunct/>
        <w:topLinePunct w:val="0"/>
        <w:autoSpaceDN/>
        <w:bidi w:val="0"/>
        <w:adjustRightInd/>
        <w:snapToGrid/>
        <w:spacing w:beforeAutospacing="0" w:afterAutospacing="0" w:line="560" w:lineRule="exact"/>
        <w:ind w:firstLine="616" w:firstLineChars="200"/>
        <w:rPr>
          <w:rFonts w:hint="eastAsia" w:ascii="仿宋" w:hAnsi="仿宋" w:eastAsia="仿宋" w:cs="仿宋"/>
          <w:b w:val="0"/>
          <w:bCs/>
          <w:spacing w:val="-6"/>
          <w:sz w:val="32"/>
          <w:szCs w:val="32"/>
          <w:highlight w:val="none"/>
          <w:lang w:val="en-US" w:eastAsia="zh-CN"/>
        </w:rPr>
      </w:pPr>
      <w:r>
        <w:rPr>
          <w:rFonts w:hint="eastAsia" w:ascii="仿宋" w:hAnsi="仿宋" w:eastAsia="仿宋" w:cs="仿宋"/>
          <w:b w:val="0"/>
          <w:bCs/>
          <w:spacing w:val="-6"/>
          <w:sz w:val="32"/>
          <w:szCs w:val="32"/>
          <w:highlight w:val="none"/>
          <w:lang w:val="en-US" w:eastAsia="zh-CN"/>
        </w:rPr>
        <w:t>根据《关于进一步做好县级巩固拓展脱贫攻坚成果和乡村振兴项目库建设管理工作的通知》新乡振〔2021〕1号、</w:t>
      </w:r>
      <w:r>
        <w:rPr>
          <w:rFonts w:hint="default" w:ascii="仿宋" w:hAnsi="仿宋" w:eastAsia="仿宋" w:cs="仿宋"/>
          <w:b w:val="0"/>
          <w:bCs/>
          <w:spacing w:val="-6"/>
          <w:sz w:val="32"/>
          <w:szCs w:val="32"/>
          <w:highlight w:val="none"/>
          <w:lang w:val="en-US" w:eastAsia="zh-CN"/>
        </w:rPr>
        <w:t>《新疆维吾尔自治区财政衔接推进乡村振兴补助资金（巩固拓展脱贫攻坚成果和乡村振兴任务）项目管理办法（暂行）》（新乡振﹝2021﹞32号）</w:t>
      </w:r>
      <w:r>
        <w:rPr>
          <w:rFonts w:hint="eastAsia" w:ascii="仿宋" w:hAnsi="仿宋" w:eastAsia="仿宋" w:cs="仿宋"/>
          <w:b w:val="0"/>
          <w:bCs/>
          <w:spacing w:val="-6"/>
          <w:sz w:val="32"/>
          <w:szCs w:val="32"/>
          <w:highlight w:val="none"/>
          <w:lang w:val="en-US" w:eastAsia="zh-CN"/>
        </w:rPr>
        <w:t>等文件要求，本</w:t>
      </w:r>
      <w:r>
        <w:rPr>
          <w:rFonts w:hint="default" w:ascii="仿宋" w:hAnsi="仿宋" w:eastAsia="仿宋" w:cs="仿宋"/>
          <w:b w:val="0"/>
          <w:bCs/>
          <w:spacing w:val="-6"/>
          <w:sz w:val="32"/>
          <w:szCs w:val="32"/>
          <w:highlight w:val="none"/>
          <w:lang w:val="en-US" w:eastAsia="zh-CN"/>
        </w:rPr>
        <w:t>项目由乡村振兴领导小组会同县相关部门，在县乡村振兴办公室、财政局等部门的监督下组织实施。</w:t>
      </w:r>
      <w:r>
        <w:rPr>
          <w:rFonts w:hint="eastAsia" w:ascii="仿宋" w:hAnsi="仿宋" w:eastAsia="仿宋" w:cs="仿宋"/>
          <w:b w:val="0"/>
          <w:bCs/>
          <w:spacing w:val="-6"/>
          <w:sz w:val="32"/>
          <w:szCs w:val="32"/>
          <w:highlight w:val="none"/>
          <w:lang w:val="en-US" w:eastAsia="zh-CN"/>
        </w:rPr>
        <w:t>我镇项目负责人定期前往项目实施现场进行实地查看和抽样检查，</w:t>
      </w:r>
      <w:r>
        <w:rPr>
          <w:rFonts w:hint="default" w:ascii="仿宋" w:hAnsi="仿宋" w:eastAsia="仿宋" w:cs="仿宋"/>
          <w:b w:val="0"/>
          <w:bCs/>
          <w:spacing w:val="-6"/>
          <w:sz w:val="32"/>
          <w:szCs w:val="32"/>
          <w:highlight w:val="none"/>
          <w:lang w:val="en-US" w:eastAsia="zh-CN"/>
        </w:rPr>
        <w:t>项目实施过程中由乡村振兴领导小组、财政所、</w:t>
      </w:r>
      <w:r>
        <w:rPr>
          <w:rFonts w:hint="eastAsia" w:ascii="仿宋" w:hAnsi="仿宋" w:eastAsia="仿宋" w:cs="仿宋"/>
          <w:b w:val="0"/>
          <w:bCs/>
          <w:spacing w:val="-6"/>
          <w:sz w:val="32"/>
          <w:szCs w:val="32"/>
          <w:highlight w:val="none"/>
          <w:lang w:val="en-US" w:eastAsia="zh-CN"/>
        </w:rPr>
        <w:t>镇</w:t>
      </w:r>
      <w:r>
        <w:rPr>
          <w:rFonts w:hint="default" w:ascii="仿宋" w:hAnsi="仿宋" w:eastAsia="仿宋" w:cs="仿宋"/>
          <w:b w:val="0"/>
          <w:bCs/>
          <w:spacing w:val="-6"/>
          <w:sz w:val="32"/>
          <w:szCs w:val="32"/>
          <w:highlight w:val="none"/>
          <w:lang w:val="en-US" w:eastAsia="zh-CN"/>
        </w:rPr>
        <w:t>纪委对项目实施全程进行监督、检查</w:t>
      </w:r>
      <w:r>
        <w:rPr>
          <w:rFonts w:hint="eastAsia" w:ascii="仿宋" w:hAnsi="仿宋" w:eastAsia="仿宋" w:cs="仿宋"/>
          <w:b w:val="0"/>
          <w:bCs/>
          <w:spacing w:val="-6"/>
          <w:sz w:val="32"/>
          <w:szCs w:val="32"/>
          <w:highlight w:val="none"/>
          <w:lang w:val="en-US" w:eastAsia="zh-CN"/>
        </w:rPr>
        <w:t>，项目行业主管部门从质量与管理等方面严格把关指导，确保项目顺利实施。</w:t>
      </w:r>
    </w:p>
    <w:p>
      <w:pPr>
        <w:keepLines w:val="0"/>
        <w:pageBreakBefore w:val="0"/>
        <w:widowControl w:val="0"/>
        <w:numPr>
          <w:ilvl w:val="0"/>
          <w:numId w:val="1"/>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资金使用管理</w:t>
      </w:r>
    </w:p>
    <w:p>
      <w:pPr>
        <w:pStyle w:val="5"/>
        <w:keepLines w:val="0"/>
        <w:pageBreakBefore w:val="0"/>
        <w:widowControl w:val="0"/>
        <w:kinsoku/>
        <w:wordWrap/>
        <w:overflowPunct/>
        <w:topLinePunct w:val="0"/>
        <w:autoSpaceDN/>
        <w:bidi w:val="0"/>
        <w:adjustRightInd/>
        <w:snapToGrid/>
        <w:spacing w:beforeAutospacing="0" w:afterAutospacing="0" w:line="560" w:lineRule="exact"/>
        <w:ind w:firstLine="616" w:firstLineChars="200"/>
        <w:rPr>
          <w:rFonts w:hint="eastAsia" w:ascii="仿宋" w:hAnsi="仿宋" w:eastAsia="仿宋" w:cs="仿宋"/>
          <w:b w:val="0"/>
          <w:bCs/>
          <w:lang w:val="en-US" w:eastAsia="zh-CN"/>
        </w:rPr>
      </w:pPr>
      <w:r>
        <w:rPr>
          <w:rFonts w:hint="eastAsia" w:ascii="仿宋" w:hAnsi="仿宋" w:eastAsia="仿宋" w:cs="仿宋"/>
          <w:b w:val="0"/>
          <w:bCs/>
          <w:spacing w:val="-6"/>
          <w:sz w:val="32"/>
          <w:szCs w:val="32"/>
          <w:highlight w:val="none"/>
          <w:lang w:val="en-US" w:eastAsia="zh-CN"/>
        </w:rPr>
        <w:t>严格按照〈关于印发《新疆维吾尔自治区财政衔接推进乡村振兴补助资金（巩固拓展脱贫攻坚成果和乡村振兴任务）项目管理办法（暂行）》的通知（新乡振〔2021〕32号）〉</w:t>
      </w:r>
      <w:r>
        <w:rPr>
          <w:rFonts w:hint="eastAsia" w:ascii="仿宋" w:hAnsi="仿宋" w:eastAsia="仿宋" w:cs="仿宋"/>
          <w:b w:val="0"/>
          <w:bCs/>
          <w:sz w:val="32"/>
          <w:szCs w:val="32"/>
          <w:highlight w:val="none"/>
          <w:lang w:val="en-US" w:eastAsia="zh-CN"/>
        </w:rPr>
        <w:t>《关于批复实施2025年中央、自治区财政衔接推进乡村振兴补助资金项目的通知》（托党农领发〔2025〕1号）文件要求，</w:t>
      </w:r>
      <w:r>
        <w:rPr>
          <w:rFonts w:hint="eastAsia" w:ascii="仿宋" w:hAnsi="仿宋" w:eastAsia="仿宋" w:cs="仿宋"/>
          <w:b w:val="0"/>
          <w:bCs/>
          <w:spacing w:val="-6"/>
          <w:sz w:val="32"/>
          <w:szCs w:val="32"/>
          <w:highlight w:val="none"/>
          <w:lang w:val="en-US" w:eastAsia="zh-CN"/>
        </w:rPr>
        <w:t>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keepLines w:val="0"/>
        <w:pageBreakBefore w:val="0"/>
        <w:widowControl w:val="0"/>
        <w:numPr>
          <w:ilvl w:val="0"/>
          <w:numId w:val="1"/>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项目验收管理</w:t>
      </w:r>
    </w:p>
    <w:p>
      <w:pPr>
        <w:pStyle w:val="5"/>
        <w:keepLines w:val="0"/>
        <w:pageBreakBefore w:val="0"/>
        <w:widowControl w:val="0"/>
        <w:kinsoku/>
        <w:wordWrap/>
        <w:overflowPunct/>
        <w:topLinePunct w:val="0"/>
        <w:autoSpaceDN/>
        <w:bidi w:val="0"/>
        <w:adjustRightInd/>
        <w:snapToGrid/>
        <w:spacing w:beforeAutospacing="0" w:afterAutospacing="0" w:line="560" w:lineRule="exact"/>
        <w:ind w:firstLine="616" w:firstLineChars="200"/>
        <w:rPr>
          <w:rFonts w:hint="eastAsia"/>
          <w:b w:val="0"/>
          <w:bCs/>
          <w:lang w:val="en-US" w:eastAsia="zh-CN"/>
        </w:rPr>
      </w:pPr>
      <w:r>
        <w:rPr>
          <w:rFonts w:hint="eastAsia" w:ascii="仿宋" w:hAnsi="仿宋" w:eastAsia="仿宋" w:cs="仿宋"/>
          <w:b w:val="0"/>
          <w:bCs/>
          <w:spacing w:val="-6"/>
          <w:sz w:val="32"/>
          <w:szCs w:val="32"/>
          <w:highlight w:val="none"/>
          <w:lang w:val="en-US" w:eastAsia="zh-CN"/>
        </w:rPr>
        <w:t>根据《新疆维吾尔自治区衔接推进乡村振兴补助资金管理办法》文件精神，坚持项目竣工验收制度，遵照属地管理、“谁审批、谁验收”的原则。按照村、镇、县三个级别逐级开展验收工作。村级由村第一书记组织村党支部书记、经济发展组成员组织验收。镇级由常务、副镇长组织项目办、财政所、安全生产办验收。镇、村两级验收合格后，报县乡村振兴局和行业部门申请县级验收。</w:t>
      </w:r>
    </w:p>
    <w:p>
      <w:pPr>
        <w:keepLines w:val="0"/>
        <w:pageBreakBefore w:val="0"/>
        <w:widowControl w:val="0"/>
        <w:numPr>
          <w:ilvl w:val="0"/>
          <w:numId w:val="1"/>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项目公告公示</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b w:val="0"/>
          <w:bCs/>
          <w:lang w:val="en-US" w:eastAsia="zh-CN"/>
        </w:rPr>
      </w:pPr>
      <w:r>
        <w:rPr>
          <w:rFonts w:hint="eastAsia" w:ascii="仿宋" w:hAnsi="仿宋" w:eastAsia="仿宋" w:cs="仿宋"/>
          <w:b w:val="0"/>
          <w:bCs/>
          <w:sz w:val="32"/>
          <w:szCs w:val="32"/>
          <w:highlight w:val="none"/>
          <w:lang w:val="en-US" w:eastAsia="zh-CN"/>
        </w:rPr>
        <w:t>项目实施需按《新疆维吾尔自治区衔接推进乡村振兴补助资金管理办法》文件精神，县级通过政府网站对项目建设内容、受益情况等进行公告公示，镇、村两级通过公示栏、入户宣讲等形式对项目事前、事中、事后全过程进行公告公示。</w:t>
      </w:r>
    </w:p>
    <w:p>
      <w:pPr>
        <w:pStyle w:val="14"/>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b/>
          <w:bCs/>
          <w:sz w:val="32"/>
          <w:szCs w:val="32"/>
          <w:lang w:val="en-US" w:eastAsia="zh-CN"/>
        </w:rPr>
        <w:t>（七）项目后期管护及运营管理</w:t>
      </w:r>
      <w:r>
        <w:rPr>
          <w:rFonts w:hint="eastAsia" w:ascii="仿宋" w:hAnsi="仿宋" w:eastAsia="仿宋" w:cs="仿宋"/>
          <w:color w:val="auto"/>
          <w:kern w:val="2"/>
          <w:sz w:val="32"/>
          <w:szCs w:val="32"/>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16" w:firstLineChars="200"/>
        <w:jc w:val="both"/>
        <w:textAlignment w:val="auto"/>
        <w:outlineLvl w:val="9"/>
        <w:rPr>
          <w:rFonts w:hint="eastAsia" w:ascii="仿宋" w:hAnsi="仿宋" w:eastAsia="仿宋" w:cs="仿宋"/>
          <w:color w:val="auto"/>
          <w:sz w:val="30"/>
          <w:szCs w:val="30"/>
          <w:highlight w:val="none"/>
        </w:rPr>
      </w:pPr>
      <w:r>
        <w:rPr>
          <w:rFonts w:hint="eastAsia" w:ascii="仿宋" w:hAnsi="仿宋" w:eastAsia="仿宋" w:cs="仿宋"/>
          <w:spacing w:val="-6"/>
          <w:kern w:val="2"/>
          <w:sz w:val="32"/>
          <w:szCs w:val="32"/>
          <w:highlight w:val="none"/>
          <w:lang w:val="en-US" w:eastAsia="zh-CN" w:bidi="ar-SA"/>
        </w:rPr>
        <w:t>根据《关于加强扶贫项目资产后续管理的实施意见》（新政办函〔2021〕149号）、《关于加强扶贫项目资产后续管理实施细则的通知》规定，一是遵照属地管理的原则，资产由项目实施所在地村委会所有并具体使用维护。二是成立项目监督管理小组等组织，监督项目实施单位管理情况，及时妥善解决项目后续管理中出现的问题，积极向镇人民政府和有关部门反映项目后续管理工作中出现的新情况、新问题和意见建议。三是对自然灾害造成的项目损坏工程，其修复资金原则上由项目所在村委会自行解决</w:t>
      </w:r>
      <w:r>
        <w:rPr>
          <w:rFonts w:hint="eastAsia" w:ascii="仿宋" w:hAnsi="仿宋" w:eastAsia="仿宋" w:cs="仿宋"/>
          <w:color w:val="auto"/>
          <w:kern w:val="2"/>
          <w:sz w:val="32"/>
          <w:szCs w:val="32"/>
          <w:highlight w:val="none"/>
          <w:lang w:val="en-US" w:eastAsia="zh-CN" w:bidi="ar-SA"/>
        </w:rPr>
        <w:t>。</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sz w:val="32"/>
          <w:szCs w:val="32"/>
          <w:highlight w:val="none"/>
        </w:rPr>
      </w:pPr>
      <w:r>
        <w:rPr>
          <w:rFonts w:hint="eastAsia" w:ascii="黑体" w:hAnsi="黑体" w:eastAsia="黑体" w:cs="黑体"/>
          <w:b w:val="0"/>
          <w:bCs w:val="0"/>
          <w:color w:val="auto"/>
          <w:sz w:val="32"/>
          <w:szCs w:val="32"/>
          <w:highlight w:val="none"/>
          <w:lang w:val="en-US" w:eastAsia="zh-CN"/>
        </w:rPr>
        <w:t>六、利益联结</w:t>
      </w:r>
      <w:r>
        <w:rPr>
          <w:rFonts w:hint="eastAsia" w:ascii="黑体" w:hAnsi="黑体" w:eastAsia="黑体" w:cs="黑体"/>
          <w:b w:val="0"/>
          <w:bCs w:val="0"/>
          <w:color w:val="auto"/>
          <w:sz w:val="32"/>
          <w:szCs w:val="32"/>
          <w:highlight w:val="none"/>
        </w:rPr>
        <w:t>机制</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kern w:val="0"/>
          <w:sz w:val="32"/>
          <w:szCs w:val="32"/>
          <w:highlight w:val="none"/>
        </w:rPr>
      </w:pPr>
      <w:r>
        <w:rPr>
          <w:rFonts w:hint="eastAsia" w:ascii="仿宋" w:hAnsi="仿宋" w:eastAsia="仿宋" w:cs="仿宋"/>
          <w:color w:val="auto"/>
          <w:kern w:val="2"/>
          <w:sz w:val="32"/>
          <w:szCs w:val="32"/>
          <w:highlight w:val="none"/>
          <w:lang w:val="en-US" w:eastAsia="zh-CN" w:bidi="ar-SA"/>
        </w:rPr>
        <w:t>一是项目覆盖色日克吉勒尕村群众15户54人，其中：脱贫户1户2人、监测对象1户1人。二是项目的建设使得污水治理区域内生态环境得以提高，可改善本村生活环境及村容面貌，为保证人民良好生活环境及优质的村容面貌创造有利条件。三是优化本村的排水系统，提高排水效率，减少对环境的影响，提高公共服务水平，满足居民的基本需求。四是降低污水处理成本，提高污水处理效率，还可提升村民环保意识，促进可持续发展。</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七、项目绩效目标及效益分析</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default" w:ascii="仿宋" w:hAnsi="仿宋" w:eastAsia="仿宋" w:cs="仿宋"/>
          <w:b w:val="0"/>
          <w:bCs w:val="0"/>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年度目标：</w:t>
      </w:r>
      <w:r>
        <w:rPr>
          <w:rFonts w:hint="eastAsia" w:ascii="仿宋" w:hAnsi="仿宋" w:eastAsia="仿宋" w:cs="仿宋"/>
          <w:b w:val="0"/>
          <w:bCs w:val="0"/>
          <w:color w:val="auto"/>
          <w:sz w:val="32"/>
          <w:szCs w:val="32"/>
          <w:lang w:val="en-US" w:eastAsia="zh-CN"/>
        </w:rPr>
        <w:t>计划为夏镇色日克吉勒尕村铺设800米排水主管道以及其他配套污水处理设施，项目建设费用约96万元、其他费用约10万元，项目总投资约106万元。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rPr>
          <w:rFonts w:hint="eastAsia" w:ascii="仿宋" w:hAnsi="仿宋" w:eastAsia="仿宋" w:cs="仿宋"/>
          <w:bCs/>
          <w:color w:val="auto"/>
          <w:kern w:val="0"/>
          <w:sz w:val="32"/>
          <w:szCs w:val="32"/>
          <w:highlight w:val="none"/>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项目覆盖情况：</w:t>
      </w:r>
      <w:r>
        <w:rPr>
          <w:rFonts w:hint="eastAsia" w:ascii="仿宋" w:hAnsi="仿宋" w:eastAsia="仿宋" w:cs="仿宋"/>
          <w:spacing w:val="-6"/>
          <w:kern w:val="2"/>
          <w:sz w:val="32"/>
          <w:szCs w:val="32"/>
          <w:highlight w:val="none"/>
          <w:lang w:val="en-US" w:eastAsia="zh-CN" w:bidi="ar-SA"/>
        </w:rPr>
        <w:t>项目覆盖色日克吉勒尕村群众15户54人，其中：脱贫人口1户2人、监测对象1户1人</w:t>
      </w:r>
      <w:r>
        <w:rPr>
          <w:rFonts w:hint="eastAsia" w:ascii="仿宋" w:hAnsi="仿宋" w:eastAsia="仿宋" w:cs="仿宋"/>
          <w:bCs/>
          <w:color w:val="auto"/>
          <w:kern w:val="0"/>
          <w:sz w:val="32"/>
          <w:szCs w:val="32"/>
          <w:highlight w:val="none"/>
        </w:rPr>
        <w:t>。</w:t>
      </w: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0"/>
        <w:rPr>
          <w:rFonts w:hint="eastAsia" w:ascii="仿宋" w:hAnsi="仿宋" w:eastAsia="仿宋" w:cs="仿宋"/>
          <w:spacing w:val="-6"/>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kern w:val="2"/>
          <w:sz w:val="32"/>
          <w:szCs w:val="32"/>
          <w:highlight w:val="none"/>
          <w:lang w:val="en-US" w:eastAsia="zh-CN" w:bidi="ar-SA"/>
        </w:rPr>
        <w:t>社会效益：</w:t>
      </w:r>
      <w:r>
        <w:rPr>
          <w:rFonts w:hint="eastAsia" w:ascii="仿宋" w:hAnsi="仿宋" w:eastAsia="仿宋" w:cs="仿宋"/>
          <w:color w:val="auto"/>
          <w:kern w:val="2"/>
          <w:sz w:val="32"/>
          <w:szCs w:val="32"/>
          <w:highlight w:val="none"/>
          <w:lang w:val="en-US" w:eastAsia="zh-CN" w:bidi="ar-SA"/>
        </w:rPr>
        <w:t>项目建成后，可优化本村的排水系统，提高排水效率，改善本村生活环境及村容面貌，为保证人民良好生活环境及优质的村容面貌创造有利条件。</w:t>
      </w:r>
      <w:r>
        <w:rPr>
          <w:rFonts w:hint="eastAsia" w:ascii="仿宋" w:hAnsi="仿宋" w:eastAsia="仿宋" w:cs="仿宋"/>
          <w:spacing w:val="-6"/>
          <w:kern w:val="2"/>
          <w:sz w:val="32"/>
          <w:szCs w:val="32"/>
          <w:highlight w:val="none"/>
          <w:lang w:val="en-US" w:eastAsia="zh-CN" w:bidi="ar-SA"/>
        </w:rPr>
        <w:t>生活污水处理率</w:t>
      </w:r>
    </w:p>
    <w:p>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spacing w:val="-6"/>
          <w:kern w:val="2"/>
          <w:sz w:val="32"/>
          <w:szCs w:val="32"/>
          <w:highlight w:val="none"/>
          <w:lang w:val="en-US" w:eastAsia="zh-CN" w:bidi="ar-SA"/>
        </w:rPr>
      </w:pPr>
      <w:r>
        <w:rPr>
          <w:rFonts w:hint="eastAsia" w:ascii="仿宋_GB2312" w:hAnsi="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kern w:val="2"/>
          <w:sz w:val="32"/>
          <w:szCs w:val="32"/>
          <w:highlight w:val="none"/>
          <w:lang w:val="en-US" w:eastAsia="zh-CN" w:bidi="ar-SA"/>
        </w:rPr>
        <w:t>、</w:t>
      </w:r>
      <w:r>
        <w:rPr>
          <w:rFonts w:hint="eastAsia" w:ascii="仿宋_GB2312" w:hAnsi="仿宋_GB2312" w:cs="仿宋_GB2312"/>
          <w:b/>
          <w:bCs/>
          <w:color w:val="auto"/>
          <w:kern w:val="2"/>
          <w:sz w:val="32"/>
          <w:szCs w:val="32"/>
          <w:highlight w:val="none"/>
          <w:lang w:val="en-US" w:eastAsia="zh-CN" w:bidi="ar-SA"/>
        </w:rPr>
        <w:t>生态</w:t>
      </w:r>
      <w:r>
        <w:rPr>
          <w:rFonts w:hint="eastAsia" w:ascii="仿宋_GB2312" w:hAnsi="仿宋_GB2312" w:eastAsia="仿宋_GB2312" w:cs="仿宋_GB2312"/>
          <w:b/>
          <w:bCs/>
          <w:color w:val="auto"/>
          <w:kern w:val="2"/>
          <w:sz w:val="32"/>
          <w:szCs w:val="32"/>
          <w:highlight w:val="none"/>
          <w:lang w:val="en-US" w:eastAsia="zh-CN" w:bidi="ar-SA"/>
        </w:rPr>
        <w:t>效益：</w:t>
      </w:r>
      <w:r>
        <w:rPr>
          <w:rFonts w:hint="eastAsia" w:ascii="仿宋" w:hAnsi="仿宋" w:eastAsia="仿宋" w:cs="仿宋"/>
          <w:spacing w:val="-6"/>
          <w:kern w:val="2"/>
          <w:sz w:val="32"/>
          <w:szCs w:val="32"/>
          <w:highlight w:val="none"/>
          <w:lang w:val="en-US" w:eastAsia="zh-CN" w:bidi="ar-SA"/>
        </w:rPr>
        <w:t>项目的建设可提高污水处理效率，</w:t>
      </w:r>
      <w:r>
        <w:rPr>
          <w:rFonts w:hint="eastAsia" w:ascii="仿宋" w:hAnsi="仿宋" w:eastAsia="仿宋" w:cs="仿宋"/>
          <w:b w:val="0"/>
          <w:bCs w:val="0"/>
          <w:color w:val="auto"/>
          <w:spacing w:val="-6"/>
          <w:kern w:val="2"/>
          <w:sz w:val="32"/>
          <w:szCs w:val="32"/>
          <w:lang w:val="en-US" w:eastAsia="zh-CN" w:bidi="ar-SA"/>
        </w:rPr>
        <w:t>村内生活污水处理率预计可达到95%及以上，从而</w:t>
      </w:r>
      <w:r>
        <w:rPr>
          <w:rFonts w:hint="eastAsia" w:ascii="仿宋" w:hAnsi="仿宋" w:eastAsia="仿宋" w:cs="仿宋"/>
          <w:spacing w:val="-6"/>
          <w:kern w:val="2"/>
          <w:sz w:val="32"/>
          <w:szCs w:val="32"/>
          <w:highlight w:val="none"/>
          <w:lang w:val="en-US" w:eastAsia="zh-CN" w:bidi="ar-SA"/>
        </w:rPr>
        <w:t>减少污水对环境的影响，还可提升村民环保意识，改善本村生活环境及村容面貌。</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kern w:val="2"/>
          <w:sz w:val="32"/>
          <w:szCs w:val="32"/>
          <w:highlight w:val="none"/>
          <w:lang w:val="en-US" w:eastAsia="zh-CN" w:bidi="ar-SA"/>
        </w:rPr>
        <w:t>可持续影响指标：</w:t>
      </w:r>
      <w:r>
        <w:rPr>
          <w:rFonts w:hint="eastAsia" w:ascii="仿宋" w:hAnsi="仿宋" w:eastAsia="仿宋" w:cs="仿宋"/>
          <w:spacing w:val="-6"/>
          <w:kern w:val="2"/>
          <w:sz w:val="32"/>
          <w:szCs w:val="32"/>
          <w:highlight w:val="none"/>
          <w:lang w:val="en-US" w:eastAsia="zh-CN" w:bidi="ar-SA"/>
        </w:rPr>
        <w:t>项目实施</w:t>
      </w:r>
      <w:r>
        <w:rPr>
          <w:rFonts w:hint="eastAsia" w:ascii="仿宋" w:hAnsi="仿宋" w:eastAsia="仿宋" w:cs="仿宋"/>
          <w:b w:val="0"/>
          <w:bCs w:val="0"/>
          <w:color w:val="auto"/>
          <w:spacing w:val="-6"/>
          <w:kern w:val="2"/>
          <w:sz w:val="32"/>
          <w:szCs w:val="32"/>
          <w:lang w:val="en-US" w:eastAsia="zh-CN" w:bidi="ar-SA"/>
        </w:rPr>
        <w:t>可以提升村民生活质</w:t>
      </w:r>
      <w:r>
        <w:rPr>
          <w:rFonts w:hint="eastAsia" w:ascii="仿宋" w:hAnsi="仿宋" w:eastAsia="仿宋" w:cs="仿宋"/>
          <w:spacing w:val="-6"/>
          <w:kern w:val="2"/>
          <w:sz w:val="32"/>
          <w:szCs w:val="32"/>
          <w:highlight w:val="none"/>
          <w:lang w:val="en-US" w:eastAsia="zh-CN" w:bidi="ar-SA"/>
        </w:rPr>
        <w:t>量，项目工程设计使用年限可达到10年</w:t>
      </w:r>
      <w:r>
        <w:rPr>
          <w:rFonts w:hint="eastAsia" w:ascii="仿宋" w:hAnsi="仿宋" w:eastAsia="仿宋" w:cs="仿宋"/>
          <w:color w:val="auto"/>
          <w:kern w:val="2"/>
          <w:sz w:val="32"/>
          <w:szCs w:val="32"/>
          <w:highlight w:val="none"/>
          <w:lang w:val="en-US" w:eastAsia="zh-CN" w:bidi="ar-SA"/>
        </w:rPr>
        <w:t>。</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3"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6、</w:t>
      </w:r>
      <w:r>
        <w:rPr>
          <w:rFonts w:hint="eastAsia" w:ascii="仿宋_GB2312" w:hAnsi="仿宋_GB2312" w:eastAsia="仿宋_GB2312" w:cs="仿宋_GB2312"/>
          <w:b/>
          <w:bCs/>
          <w:color w:val="auto"/>
          <w:kern w:val="2"/>
          <w:sz w:val="32"/>
          <w:szCs w:val="32"/>
          <w:highlight w:val="none"/>
          <w:lang w:val="en-US" w:eastAsia="zh-CN" w:bidi="ar-SA"/>
        </w:rPr>
        <w:t>服务对象满意度：</w:t>
      </w:r>
      <w:r>
        <w:rPr>
          <w:rFonts w:hint="eastAsia" w:ascii="仿宋" w:hAnsi="仿宋" w:eastAsia="仿宋" w:cs="仿宋"/>
          <w:color w:val="auto"/>
          <w:kern w:val="2"/>
          <w:sz w:val="32"/>
          <w:szCs w:val="32"/>
          <w:highlight w:val="none"/>
          <w:lang w:val="en-US" w:eastAsia="zh-CN" w:bidi="ar-SA"/>
        </w:rPr>
        <w:t>项目建成投入使用后，预计项目区受益群众满意度可达到90%，受益脱贫户及监测对象人口满意度可达到95%。</w:t>
      </w: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十、风险分析</w:t>
      </w: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主要风险因素</w:t>
      </w:r>
      <w:r>
        <w:rPr>
          <w:rFonts w:hint="eastAsia" w:ascii="仿宋_GB2312" w:hAnsi="仿宋_GB2312" w:eastAsia="仿宋_GB2312" w:cs="仿宋_GB2312"/>
          <w:b/>
          <w:bCs/>
          <w:color w:val="auto"/>
          <w:sz w:val="32"/>
          <w:szCs w:val="32"/>
          <w:highlight w:val="none"/>
          <w:lang w:eastAsia="zh-CN"/>
        </w:rPr>
        <w:t>：</w:t>
      </w: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_GB2312" w:eastAsia="仿宋_GB2312" w:cs="Times New Roman"/>
          <w:b/>
          <w:bCs/>
          <w:kern w:val="2"/>
          <w:sz w:val="32"/>
          <w:szCs w:val="32"/>
          <w:highlight w:val="none"/>
          <w:lang w:val="en-US" w:eastAsia="zh-CN" w:bidi="ar-SA"/>
        </w:rPr>
        <w:t>一是</w:t>
      </w:r>
      <w:r>
        <w:rPr>
          <w:rFonts w:hint="eastAsia" w:ascii="仿宋" w:hAnsi="仿宋" w:eastAsia="仿宋" w:cs="仿宋"/>
          <w:kern w:val="2"/>
          <w:sz w:val="32"/>
          <w:szCs w:val="32"/>
          <w:highlight w:val="none"/>
          <w:lang w:val="en-US" w:eastAsia="zh-CN" w:bidi="ar-SA"/>
        </w:rPr>
        <w:t>本项目施工风险主要来自建筑企业水平，其中包含承揽项目的建筑队伍人员素质、装备能力、施工期间的成本控制及质量管理等。</w:t>
      </w:r>
      <w:r>
        <w:rPr>
          <w:rFonts w:hint="eastAsia" w:ascii="仿宋" w:hAnsi="仿宋" w:eastAsia="仿宋" w:cs="仿宋"/>
          <w:b/>
          <w:bCs/>
          <w:kern w:val="2"/>
          <w:sz w:val="32"/>
          <w:szCs w:val="32"/>
          <w:highlight w:val="none"/>
          <w:lang w:val="en-US" w:eastAsia="zh-CN" w:bidi="ar-SA"/>
        </w:rPr>
        <w:t>二是</w:t>
      </w:r>
      <w:r>
        <w:rPr>
          <w:rFonts w:hint="eastAsia" w:ascii="仿宋" w:hAnsi="仿宋" w:eastAsia="仿宋" w:cs="仿宋"/>
          <w:kern w:val="2"/>
          <w:sz w:val="32"/>
          <w:szCs w:val="32"/>
          <w:highlight w:val="none"/>
          <w:lang w:val="en-US" w:eastAsia="zh-CN" w:bidi="ar-SA"/>
        </w:rPr>
        <w:t>主要危害为工程质量不合格、工期拖延、工程造价突破预算、出现大的安全事故等，造成工程不能按期投入使用，导致项目不能正常运行，造成经济损失和负面影响</w:t>
      </w:r>
      <w:r>
        <w:rPr>
          <w:rFonts w:hint="eastAsia" w:ascii="仿宋" w:hAnsi="仿宋" w:eastAsia="仿宋" w:cs="仿宋"/>
          <w:color w:val="auto"/>
          <w:kern w:val="2"/>
          <w:sz w:val="32"/>
          <w:szCs w:val="32"/>
          <w:highlight w:val="none"/>
          <w:lang w:val="en-US" w:eastAsia="zh-CN" w:bidi="ar-SA"/>
        </w:rPr>
        <w:t>。</w:t>
      </w:r>
    </w:p>
    <w:p>
      <w:pPr>
        <w:pStyle w:val="17"/>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（二）防范化解措施：</w:t>
      </w:r>
    </w:p>
    <w:p>
      <w:pPr>
        <w:pStyle w:val="17"/>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_GB2312" w:eastAsia="仿宋_GB2312" w:cs="Times New Roman"/>
          <w:b/>
          <w:bCs/>
          <w:kern w:val="2"/>
          <w:sz w:val="32"/>
          <w:szCs w:val="32"/>
          <w:highlight w:val="none"/>
          <w:lang w:val="en-US" w:eastAsia="zh-CN" w:bidi="ar-SA"/>
        </w:rPr>
        <w:t>一是</w:t>
      </w:r>
      <w:r>
        <w:rPr>
          <w:rFonts w:hint="eastAsia" w:ascii="仿宋" w:hAnsi="仿宋" w:eastAsia="仿宋" w:cs="仿宋"/>
          <w:kern w:val="2"/>
          <w:sz w:val="32"/>
          <w:szCs w:val="32"/>
          <w:highlight w:val="none"/>
          <w:lang w:val="en-US" w:eastAsia="zh-CN" w:bidi="ar-SA"/>
        </w:rPr>
        <w:t>做好设备采购和工程招标工作。实行公开招标，选择资质等级高、社会信誉好，同时投标技术方案成熟、施工组织设计完善、工程报价合理的施工、监理企业参与本项目的工程建设。从源头堵住由于施工企业能力不足可能造成的风险因素。</w:t>
      </w:r>
      <w:r>
        <w:rPr>
          <w:rFonts w:hint="eastAsia" w:ascii="仿宋" w:hAnsi="仿宋" w:eastAsia="仿宋" w:cs="仿宋"/>
          <w:b/>
          <w:bCs/>
          <w:kern w:val="2"/>
          <w:sz w:val="32"/>
          <w:szCs w:val="32"/>
          <w:highlight w:val="none"/>
          <w:lang w:val="en-US" w:eastAsia="zh-CN" w:bidi="ar-SA"/>
        </w:rPr>
        <w:t>二是</w:t>
      </w:r>
      <w:r>
        <w:rPr>
          <w:rFonts w:hint="eastAsia" w:ascii="仿宋" w:hAnsi="仿宋" w:eastAsia="仿宋" w:cs="仿宋"/>
          <w:kern w:val="2"/>
          <w:sz w:val="32"/>
          <w:szCs w:val="32"/>
          <w:highlight w:val="none"/>
          <w:lang w:val="en-US" w:eastAsia="zh-CN" w:bidi="ar-SA"/>
        </w:rPr>
        <w:t>在施工过程中，按照预期制定的总进度计划，实施阶段落实。要求施工企业建立质量保证和进度控制体系，要求施工现场实现标准化、规范化、制度化，对工程进度、质量、安全实行全过程监控</w:t>
      </w:r>
      <w:r>
        <w:rPr>
          <w:rFonts w:hint="eastAsia" w:ascii="仿宋" w:hAnsi="仿宋" w:eastAsia="仿宋" w:cs="仿宋"/>
          <w:color w:val="auto"/>
          <w:kern w:val="2"/>
          <w:sz w:val="32"/>
          <w:szCs w:val="32"/>
          <w:highlight w:val="none"/>
          <w:lang w:val="en-US" w:eastAsia="zh-CN" w:bidi="ar-SA"/>
        </w:rPr>
        <w:t>。</w:t>
      </w: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w:t>
      </w: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 xml:space="preserve">     </w:t>
      </w: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sectPr>
      <w:pgSz w:w="11906" w:h="16838"/>
      <w:pgMar w:top="2098" w:right="1531" w:bottom="1984" w:left="1531" w:header="851" w:footer="992"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9A3731-2496-48A2-9D34-92B19DDADCC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041A940-3A33-4740-ABE2-491D4C2EC63B}"/>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0" w:usb1="00000000" w:usb2="00000000" w:usb3="00000000" w:csb0="00000000" w:csb1="00000000"/>
    <w:embedRegular r:id="rId3" w:fontKey="{C30DDE37-4EE6-4465-99F6-98858EFDF4DE}"/>
  </w:font>
  <w:font w:name="HYb2gj">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000" w:usb1="00000000" w:usb2="00000000" w:usb3="00000000" w:csb0="00000000" w:csb1="00000000"/>
    <w:embedRegular r:id="rId4" w:fontKey="{0CE8B82C-F48D-4856-9E2D-13CD6E635E5C}"/>
  </w:font>
  <w:font w:name="方正小标宋简体">
    <w:panose1 w:val="02010600010101010101"/>
    <w:charset w:val="86"/>
    <w:family w:val="script"/>
    <w:pitch w:val="default"/>
    <w:sig w:usb0="00000000" w:usb1="00000000" w:usb2="00000000" w:usb3="00000000" w:csb0="00000000" w:csb1="00000000"/>
    <w:embedRegular r:id="rId5" w:fontKey="{F849CAF0-553F-496A-8CD5-CC6BA58ADB1B}"/>
  </w:font>
  <w:font w:name="方正黑体简体">
    <w:panose1 w:val="02000000000000000000"/>
    <w:charset w:val="86"/>
    <w:family w:val="auto"/>
    <w:pitch w:val="default"/>
    <w:sig w:usb0="00000000" w:usb1="00000000" w:usb2="00000000" w:usb3="00000000" w:csb0="00000000" w:csb1="00000000"/>
    <w:embedRegular r:id="rId6" w:fontKey="{46C77185-4EF9-4DBC-AED1-A91C9B01B3CF}"/>
  </w:font>
  <w:font w:name="仿宋">
    <w:panose1 w:val="02010609060101010101"/>
    <w:charset w:val="86"/>
    <w:family w:val="auto"/>
    <w:pitch w:val="default"/>
    <w:sig w:usb0="800002BF" w:usb1="38CF7CFA" w:usb2="00000016" w:usb3="00000000" w:csb0="00040001" w:csb1="00000000"/>
    <w:embedRegular r:id="rId7" w:fontKey="{08C9409A-1CA5-43A5-9495-8CAD108DF863}"/>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7A5061"/>
    <w:multiLevelType w:val="singleLevel"/>
    <w:tmpl w:val="A57A506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0"/>
  <w:bordersDoNotSurroundFooter w:val="0"/>
  <w:documentProtection w:enforcement="0"/>
  <w:defaultTabStop w:val="420"/>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wZjU3YTM0YTNlZWFjZjI4MDk1Njk0OGU3MGEyZGEifQ=="/>
  </w:docVars>
  <w:rsids>
    <w:rsidRoot w:val="00DC3189"/>
    <w:rsid w:val="00036ACC"/>
    <w:rsid w:val="00096F1A"/>
    <w:rsid w:val="001C0158"/>
    <w:rsid w:val="00286DB6"/>
    <w:rsid w:val="00290EF7"/>
    <w:rsid w:val="0036566E"/>
    <w:rsid w:val="00407F2D"/>
    <w:rsid w:val="00495F92"/>
    <w:rsid w:val="004B669C"/>
    <w:rsid w:val="00577A4A"/>
    <w:rsid w:val="00580B0C"/>
    <w:rsid w:val="0092513B"/>
    <w:rsid w:val="00A0692A"/>
    <w:rsid w:val="00A06F97"/>
    <w:rsid w:val="00A21A15"/>
    <w:rsid w:val="00A400FD"/>
    <w:rsid w:val="00B24B29"/>
    <w:rsid w:val="00B93837"/>
    <w:rsid w:val="00C21ED0"/>
    <w:rsid w:val="00DC3189"/>
    <w:rsid w:val="00E165F2"/>
    <w:rsid w:val="01A8210C"/>
    <w:rsid w:val="01F50DCC"/>
    <w:rsid w:val="020E7EB7"/>
    <w:rsid w:val="02212219"/>
    <w:rsid w:val="038500F8"/>
    <w:rsid w:val="0402032C"/>
    <w:rsid w:val="06985F88"/>
    <w:rsid w:val="06C82F2B"/>
    <w:rsid w:val="07AD1E67"/>
    <w:rsid w:val="08284F69"/>
    <w:rsid w:val="09002C8B"/>
    <w:rsid w:val="09866BAA"/>
    <w:rsid w:val="0A3A59A3"/>
    <w:rsid w:val="0ACB1149"/>
    <w:rsid w:val="0CD1749B"/>
    <w:rsid w:val="0E0E6F4E"/>
    <w:rsid w:val="0E326478"/>
    <w:rsid w:val="0FB63FFA"/>
    <w:rsid w:val="10E63E55"/>
    <w:rsid w:val="10EC6976"/>
    <w:rsid w:val="13E86628"/>
    <w:rsid w:val="14FA3039"/>
    <w:rsid w:val="1804624D"/>
    <w:rsid w:val="182621E3"/>
    <w:rsid w:val="189C596C"/>
    <w:rsid w:val="18FF26C8"/>
    <w:rsid w:val="1A584B63"/>
    <w:rsid w:val="1DE87108"/>
    <w:rsid w:val="1E3F732A"/>
    <w:rsid w:val="1E420DDF"/>
    <w:rsid w:val="1FE258C4"/>
    <w:rsid w:val="200E65DA"/>
    <w:rsid w:val="2104519F"/>
    <w:rsid w:val="21AC2E46"/>
    <w:rsid w:val="22AF5101"/>
    <w:rsid w:val="23BC7311"/>
    <w:rsid w:val="23F84090"/>
    <w:rsid w:val="24E1388B"/>
    <w:rsid w:val="25F211C5"/>
    <w:rsid w:val="261A0C88"/>
    <w:rsid w:val="266A111E"/>
    <w:rsid w:val="28BD4D32"/>
    <w:rsid w:val="29186483"/>
    <w:rsid w:val="2A6228C9"/>
    <w:rsid w:val="2A6E6F80"/>
    <w:rsid w:val="2A9338CE"/>
    <w:rsid w:val="2AB72940"/>
    <w:rsid w:val="2B8F4D8E"/>
    <w:rsid w:val="2BC005BE"/>
    <w:rsid w:val="2BF749E2"/>
    <w:rsid w:val="2C311844"/>
    <w:rsid w:val="2C523AEF"/>
    <w:rsid w:val="2CDC7790"/>
    <w:rsid w:val="2CE312D3"/>
    <w:rsid w:val="2CE43832"/>
    <w:rsid w:val="2D8E75F6"/>
    <w:rsid w:val="2DC66C82"/>
    <w:rsid w:val="30630B77"/>
    <w:rsid w:val="30C41C2D"/>
    <w:rsid w:val="31CA5A79"/>
    <w:rsid w:val="31E21774"/>
    <w:rsid w:val="33190B56"/>
    <w:rsid w:val="33F03349"/>
    <w:rsid w:val="33F5258D"/>
    <w:rsid w:val="3506044E"/>
    <w:rsid w:val="35B13774"/>
    <w:rsid w:val="362479C5"/>
    <w:rsid w:val="36794D16"/>
    <w:rsid w:val="36C214BF"/>
    <w:rsid w:val="36D90228"/>
    <w:rsid w:val="37890972"/>
    <w:rsid w:val="37E071AC"/>
    <w:rsid w:val="37EF7244"/>
    <w:rsid w:val="38054282"/>
    <w:rsid w:val="388C4982"/>
    <w:rsid w:val="39541E6F"/>
    <w:rsid w:val="3C8D220B"/>
    <w:rsid w:val="3CBE7BFC"/>
    <w:rsid w:val="3CEC23BE"/>
    <w:rsid w:val="3DF26BEC"/>
    <w:rsid w:val="3E36327E"/>
    <w:rsid w:val="3E615EAF"/>
    <w:rsid w:val="3E663DDD"/>
    <w:rsid w:val="3F396222"/>
    <w:rsid w:val="3FAC311E"/>
    <w:rsid w:val="3FBC7D9F"/>
    <w:rsid w:val="3FD22773"/>
    <w:rsid w:val="40C338E9"/>
    <w:rsid w:val="40C4211D"/>
    <w:rsid w:val="40FD4606"/>
    <w:rsid w:val="42C820FA"/>
    <w:rsid w:val="443524B7"/>
    <w:rsid w:val="4607366D"/>
    <w:rsid w:val="46FA0606"/>
    <w:rsid w:val="48CB006E"/>
    <w:rsid w:val="493D7469"/>
    <w:rsid w:val="4A3C32E7"/>
    <w:rsid w:val="4BD25714"/>
    <w:rsid w:val="4C2E58E4"/>
    <w:rsid w:val="4CAA3CF8"/>
    <w:rsid w:val="4D0F4AE0"/>
    <w:rsid w:val="4EFA3BF6"/>
    <w:rsid w:val="4F9D58F3"/>
    <w:rsid w:val="4FB664F1"/>
    <w:rsid w:val="4FDC2EC5"/>
    <w:rsid w:val="55796AA2"/>
    <w:rsid w:val="55983344"/>
    <w:rsid w:val="567324E8"/>
    <w:rsid w:val="56BC77C3"/>
    <w:rsid w:val="580F6D1F"/>
    <w:rsid w:val="586A0485"/>
    <w:rsid w:val="58BB37C9"/>
    <w:rsid w:val="592D103A"/>
    <w:rsid w:val="59521C5C"/>
    <w:rsid w:val="5A7303DA"/>
    <w:rsid w:val="5A76671C"/>
    <w:rsid w:val="5AAB3680"/>
    <w:rsid w:val="5B7B7F48"/>
    <w:rsid w:val="5EA6236B"/>
    <w:rsid w:val="5F2959D4"/>
    <w:rsid w:val="5F634BE0"/>
    <w:rsid w:val="5FC07470"/>
    <w:rsid w:val="60035589"/>
    <w:rsid w:val="602C3D66"/>
    <w:rsid w:val="60C87C20"/>
    <w:rsid w:val="622D0D14"/>
    <w:rsid w:val="625B2F63"/>
    <w:rsid w:val="62E92C15"/>
    <w:rsid w:val="64727EC1"/>
    <w:rsid w:val="66A57555"/>
    <w:rsid w:val="674555B8"/>
    <w:rsid w:val="67F06E77"/>
    <w:rsid w:val="69E82ABA"/>
    <w:rsid w:val="6AA015C6"/>
    <w:rsid w:val="6B5E6B77"/>
    <w:rsid w:val="6C8A4501"/>
    <w:rsid w:val="6C963968"/>
    <w:rsid w:val="6CE707D3"/>
    <w:rsid w:val="6D012174"/>
    <w:rsid w:val="6EC62B0F"/>
    <w:rsid w:val="6EF308E2"/>
    <w:rsid w:val="6FB8461B"/>
    <w:rsid w:val="6FF73669"/>
    <w:rsid w:val="6FFF1120"/>
    <w:rsid w:val="70B4686E"/>
    <w:rsid w:val="712619BF"/>
    <w:rsid w:val="71700C8F"/>
    <w:rsid w:val="71E46B34"/>
    <w:rsid w:val="73364E47"/>
    <w:rsid w:val="74602BD1"/>
    <w:rsid w:val="74EB6AD9"/>
    <w:rsid w:val="757D2CAE"/>
    <w:rsid w:val="75BB3C2A"/>
    <w:rsid w:val="786C1DDD"/>
    <w:rsid w:val="78DA3E8D"/>
    <w:rsid w:val="792355F8"/>
    <w:rsid w:val="79901767"/>
    <w:rsid w:val="79B3661E"/>
    <w:rsid w:val="7AD66664"/>
    <w:rsid w:val="7B185890"/>
    <w:rsid w:val="7D9F3B0A"/>
    <w:rsid w:val="7E4B1E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6"/>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5">
    <w:name w:val="heading 3"/>
    <w:basedOn w:val="1"/>
    <w:next w:val="1"/>
    <w:unhideWhenUsed/>
    <w:qFormat/>
    <w:uiPriority w:val="9"/>
    <w:pPr>
      <w:spacing w:beforeAutospacing="1" w:afterAutospacing="1"/>
      <w:jc w:val="left"/>
      <w:outlineLvl w:val="2"/>
    </w:pPr>
    <w:rPr>
      <w:rFonts w:hint="eastAsia" w:ascii="宋体" w:hAnsi="宋体" w:eastAsia="宋体" w:cs="Times New Roman"/>
      <w:b/>
      <w:kern w:val="0"/>
      <w:sz w:val="27"/>
      <w:szCs w:val="27"/>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Autospacing="1" w:afterAutospacing="1"/>
      <w:jc w:val="left"/>
    </w:pPr>
    <w:rPr>
      <w:rFonts w:cs="Times New Roman"/>
      <w:kern w:val="0"/>
      <w:sz w:val="24"/>
    </w:rPr>
  </w:style>
  <w:style w:type="paragraph" w:styleId="9">
    <w:name w:val="Title"/>
    <w:basedOn w:val="1"/>
    <w:next w:val="1"/>
    <w:qFormat/>
    <w:uiPriority w:val="0"/>
    <w:pPr>
      <w:spacing w:before="240" w:after="60"/>
      <w:jc w:val="center"/>
      <w:outlineLvl w:val="0"/>
    </w:pPr>
    <w:rPr>
      <w:rFonts w:ascii="Arial" w:hAnsi="Arial" w:cs="Arial"/>
      <w:b/>
      <w:bCs/>
      <w:sz w:val="32"/>
      <w:szCs w:val="32"/>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rPr>
  </w:style>
  <w:style w:type="paragraph" w:customStyle="1" w:styleId="14">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5">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character" w:customStyle="1" w:styleId="16">
    <w:name w:val="标题 1 Char"/>
    <w:basedOn w:val="12"/>
    <w:link w:val="4"/>
    <w:qFormat/>
    <w:uiPriority w:val="9"/>
    <w:rPr>
      <w:rFonts w:ascii="Times New Roman" w:hAnsi="Times New Roman" w:eastAsia="黑体" w:cs="Arial"/>
      <w:b/>
      <w:bCs/>
      <w:kern w:val="44"/>
      <w:sz w:val="28"/>
      <w:szCs w:val="44"/>
    </w:rPr>
  </w:style>
  <w:style w:type="paragraph" w:customStyle="1" w:styleId="17">
    <w:name w:val="列表段落1"/>
    <w:basedOn w:val="1"/>
    <w:qFormat/>
    <w:uiPriority w:val="34"/>
    <w:pPr>
      <w:ind w:firstLine="420" w:firstLineChars="200"/>
    </w:pPr>
  </w:style>
  <w:style w:type="character" w:customStyle="1" w:styleId="18">
    <w:name w:val="页眉 Char"/>
    <w:basedOn w:val="12"/>
    <w:link w:val="7"/>
    <w:qFormat/>
    <w:uiPriority w:val="99"/>
    <w:rPr>
      <w:sz w:val="18"/>
      <w:szCs w:val="18"/>
    </w:rPr>
  </w:style>
  <w:style w:type="character" w:customStyle="1" w:styleId="19">
    <w:name w:val="页脚 Char"/>
    <w:basedOn w:val="12"/>
    <w:link w:val="6"/>
    <w:qFormat/>
    <w:uiPriority w:val="99"/>
    <w:rPr>
      <w:sz w:val="18"/>
      <w:szCs w:val="18"/>
    </w:rPr>
  </w:style>
  <w:style w:type="character" w:customStyle="1" w:styleId="20">
    <w:name w:val="font01"/>
    <w:basedOn w:val="12"/>
    <w:qFormat/>
    <w:uiPriority w:val="0"/>
    <w:rPr>
      <w:rFonts w:hint="eastAsia" w:ascii="宋体" w:hAnsi="宋体" w:eastAsia="宋体" w:cs="宋体"/>
      <w:color w:val="000000"/>
      <w:sz w:val="20"/>
      <w:szCs w:val="20"/>
      <w:u w:val="none"/>
    </w:rPr>
  </w:style>
  <w:style w:type="character" w:customStyle="1" w:styleId="21">
    <w:name w:val="font31"/>
    <w:basedOn w:val="12"/>
    <w:qFormat/>
    <w:uiPriority w:val="0"/>
    <w:rPr>
      <w:rFonts w:hint="default" w:ascii="Courier New" w:hAnsi="Courier New" w:cs="Courier New"/>
      <w:color w:val="000000"/>
      <w:sz w:val="20"/>
      <w:szCs w:val="20"/>
      <w:u w:val="none"/>
    </w:rPr>
  </w:style>
  <w:style w:type="character" w:customStyle="1" w:styleId="22">
    <w:name w:val="font51"/>
    <w:basedOn w:val="12"/>
    <w:qFormat/>
    <w:uiPriority w:val="0"/>
    <w:rPr>
      <w:rFonts w:hint="eastAsia" w:ascii="宋体" w:hAnsi="宋体" w:eastAsia="宋体" w:cs="宋体"/>
      <w:color w:val="000000"/>
      <w:sz w:val="20"/>
      <w:szCs w:val="20"/>
      <w:u w:val="none"/>
    </w:rPr>
  </w:style>
  <w:style w:type="paragraph" w:customStyle="1" w:styleId="23">
    <w:name w:val="List Paragraph"/>
    <w:basedOn w:val="1"/>
    <w:qFormat/>
    <w:uiPriority w:val="34"/>
    <w:pPr>
      <w:ind w:firstLine="420" w:firstLineChars="200"/>
    </w:pPr>
  </w:style>
  <w:style w:type="character" w:customStyle="1" w:styleId="24">
    <w:name w:val="font21"/>
    <w:basedOn w:val="12"/>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9</Pages>
  <Words>4358</Words>
  <Characters>4457</Characters>
  <Lines>21</Lines>
  <Paragraphs>6</Paragraphs>
  <TotalTime>9</TotalTime>
  <ScaleCrop>false</ScaleCrop>
  <LinksUpToDate>false</LinksUpToDate>
  <CharactersWithSpaces>4610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2020-01-26T00:42:00Z</dcterms:created>
  <dc:creator>ThinkPad</dc:creator>
  <cp:lastModifiedBy>Administrator</cp:lastModifiedBy>
  <cp:lastPrinted>2024-05-07T03:01:00Z</cp:lastPrinted>
  <dcterms:modified xsi:type="dcterms:W3CDTF">2025-07-02T01:52:20Z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701EC1D417234C338AEF9C3787DA12DB_13</vt:lpwstr>
  </property>
  <property fmtid="{D5CDD505-2E9C-101B-9397-08002B2CF9AE}" pid="4" name="KSOTemplateDocerSaveRecord">
    <vt:lpwstr>eyJoZGlkIjoiMGViYjFjMmIwMDJjMWYwZTEyYTM2YTY5OTY1ZThiNWIiLCJ1c2VySWQiOiI0MDgzNTQxMjQifQ==</vt:lpwstr>
  </property>
</Properties>
</file>