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76324">
      <w:pPr>
        <w:pageBreakBefore w:val="0"/>
        <w:kinsoku/>
        <w:wordWrap/>
        <w:overflowPunct/>
        <w:topLinePunct w:val="0"/>
        <w:bidi w:val="0"/>
        <w:snapToGrid/>
        <w:spacing w:line="560" w:lineRule="exact"/>
        <w:jc w:val="center"/>
        <w:rPr>
          <w:rFonts w:hint="eastAsia" w:ascii="华文中宋" w:hAnsi="华文中宋" w:eastAsia="华文中宋" w:cs="方正小标宋简体"/>
          <w:b/>
          <w:sz w:val="52"/>
          <w:szCs w:val="52"/>
          <w:highlight w:val="none"/>
          <w:lang w:bidi="ar"/>
        </w:rPr>
      </w:pPr>
    </w:p>
    <w:p w14:paraId="37AB49A6">
      <w:pPr>
        <w:pageBreakBefore w:val="0"/>
        <w:kinsoku/>
        <w:wordWrap/>
        <w:overflowPunct/>
        <w:topLinePunct w:val="0"/>
        <w:bidi w:val="0"/>
        <w:snapToGrid/>
        <w:spacing w:line="560" w:lineRule="exact"/>
        <w:jc w:val="center"/>
        <w:rPr>
          <w:rFonts w:hint="eastAsia" w:ascii="华文中宋" w:hAnsi="华文中宋" w:eastAsia="华文中宋" w:cs="方正小标宋简体"/>
          <w:b/>
          <w:sz w:val="52"/>
          <w:szCs w:val="52"/>
          <w:highlight w:val="none"/>
          <w:lang w:bidi="ar"/>
        </w:rPr>
      </w:pPr>
    </w:p>
    <w:p w14:paraId="54146C2B">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黑体" w:hAnsi="黑体" w:eastAsia="黑体" w:cs="黑体"/>
          <w:b w:val="0"/>
          <w:bCs w:val="0"/>
          <w:spacing w:val="0"/>
          <w:kern w:val="0"/>
          <w:sz w:val="44"/>
          <w:szCs w:val="44"/>
          <w:lang w:val="en-US" w:eastAsia="zh-CN"/>
        </w:rPr>
      </w:pPr>
      <w:r>
        <w:rPr>
          <w:rFonts w:hint="eastAsia" w:ascii="黑体" w:hAnsi="黑体" w:eastAsia="黑体" w:cs="黑体"/>
          <w:b w:val="0"/>
          <w:bCs w:val="0"/>
          <w:spacing w:val="0"/>
          <w:kern w:val="0"/>
          <w:sz w:val="44"/>
          <w:szCs w:val="44"/>
          <w:lang w:val="en-US" w:eastAsia="zh-CN"/>
        </w:rPr>
        <w:t>夏镇色日克吉勒尕村公共照明项目</w:t>
      </w:r>
    </w:p>
    <w:p w14:paraId="33043712">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黑体" w:hAnsi="黑体" w:eastAsia="黑体" w:cs="黑体"/>
          <w:b w:val="0"/>
          <w:bCs w:val="0"/>
          <w:spacing w:val="0"/>
          <w:kern w:val="0"/>
          <w:sz w:val="44"/>
          <w:szCs w:val="44"/>
          <w:lang w:val="en-US" w:eastAsia="zh-CN"/>
        </w:rPr>
      </w:pPr>
      <w:r>
        <w:rPr>
          <w:rFonts w:hint="eastAsia" w:ascii="黑体" w:hAnsi="黑体" w:eastAsia="黑体" w:cs="黑体"/>
          <w:b w:val="0"/>
          <w:bCs w:val="0"/>
          <w:spacing w:val="0"/>
          <w:kern w:val="0"/>
          <w:sz w:val="44"/>
          <w:szCs w:val="44"/>
          <w:lang w:val="en-US" w:eastAsia="zh-CN"/>
        </w:rPr>
        <w:t>实施方案</w:t>
      </w:r>
    </w:p>
    <w:p w14:paraId="4E7BBBF7">
      <w:pPr>
        <w:pStyle w:val="3"/>
        <w:pageBreakBefore w:val="0"/>
        <w:widowControl/>
        <w:kinsoku/>
        <w:wordWrap/>
        <w:overflowPunct/>
        <w:topLinePunct w:val="0"/>
        <w:bidi w:val="0"/>
        <w:snapToGrid/>
        <w:spacing w:line="560" w:lineRule="exact"/>
        <w:ind w:firstLine="420"/>
        <w:rPr>
          <w:highlight w:val="none"/>
        </w:rPr>
      </w:pPr>
    </w:p>
    <w:p w14:paraId="317844A9">
      <w:pPr>
        <w:pageBreakBefore w:val="0"/>
        <w:kinsoku/>
        <w:wordWrap/>
        <w:overflowPunct/>
        <w:topLinePunct w:val="0"/>
        <w:bidi w:val="0"/>
        <w:snapToGrid/>
        <w:spacing w:line="560" w:lineRule="exact"/>
        <w:rPr>
          <w:highlight w:val="none"/>
        </w:rPr>
      </w:pPr>
    </w:p>
    <w:p w14:paraId="3BC72503">
      <w:pPr>
        <w:pStyle w:val="5"/>
        <w:pageBreakBefore w:val="0"/>
        <w:kinsoku/>
        <w:wordWrap/>
        <w:overflowPunct/>
        <w:topLinePunct w:val="0"/>
        <w:autoSpaceDE w:val="0"/>
        <w:autoSpaceDN w:val="0"/>
        <w:bidi w:val="0"/>
        <w:adjustRightInd w:val="0"/>
        <w:snapToGrid/>
        <w:spacing w:line="560" w:lineRule="exact"/>
        <w:jc w:val="left"/>
        <w:rPr>
          <w:highlight w:val="none"/>
        </w:rPr>
      </w:pPr>
    </w:p>
    <w:p w14:paraId="4F82E980">
      <w:pPr>
        <w:pStyle w:val="5"/>
        <w:pageBreakBefore w:val="0"/>
        <w:kinsoku/>
        <w:wordWrap/>
        <w:overflowPunct/>
        <w:topLinePunct w:val="0"/>
        <w:autoSpaceDE w:val="0"/>
        <w:autoSpaceDN w:val="0"/>
        <w:bidi w:val="0"/>
        <w:adjustRightInd w:val="0"/>
        <w:snapToGrid/>
        <w:spacing w:line="560" w:lineRule="exact"/>
        <w:jc w:val="left"/>
        <w:rPr>
          <w:highlight w:val="none"/>
        </w:rPr>
      </w:pPr>
    </w:p>
    <w:p w14:paraId="2AA942AF">
      <w:pPr>
        <w:pageBreakBefore w:val="0"/>
        <w:kinsoku/>
        <w:wordWrap/>
        <w:overflowPunct/>
        <w:topLinePunct w:val="0"/>
        <w:bidi w:val="0"/>
        <w:snapToGrid/>
        <w:spacing w:line="560" w:lineRule="exact"/>
        <w:rPr>
          <w:highlight w:val="none"/>
        </w:rPr>
      </w:pPr>
    </w:p>
    <w:p w14:paraId="0915FFAE">
      <w:pPr>
        <w:pStyle w:val="5"/>
        <w:pageBreakBefore w:val="0"/>
        <w:kinsoku/>
        <w:wordWrap/>
        <w:overflowPunct/>
        <w:topLinePunct w:val="0"/>
        <w:autoSpaceDE w:val="0"/>
        <w:autoSpaceDN w:val="0"/>
        <w:bidi w:val="0"/>
        <w:adjustRightInd w:val="0"/>
        <w:snapToGrid/>
        <w:spacing w:line="560" w:lineRule="exact"/>
        <w:jc w:val="left"/>
        <w:rPr>
          <w:highlight w:val="none"/>
        </w:rPr>
      </w:pPr>
    </w:p>
    <w:p w14:paraId="36D7B987">
      <w:pPr>
        <w:pStyle w:val="5"/>
        <w:pageBreakBefore w:val="0"/>
        <w:kinsoku/>
        <w:wordWrap/>
        <w:overflowPunct/>
        <w:topLinePunct w:val="0"/>
        <w:autoSpaceDE w:val="0"/>
        <w:autoSpaceDN w:val="0"/>
        <w:bidi w:val="0"/>
        <w:adjustRightInd w:val="0"/>
        <w:snapToGrid/>
        <w:spacing w:line="560" w:lineRule="exact"/>
        <w:jc w:val="left"/>
        <w:rPr>
          <w:highlight w:val="none"/>
        </w:rPr>
      </w:pPr>
    </w:p>
    <w:p w14:paraId="70ED9485">
      <w:pPr>
        <w:pStyle w:val="5"/>
        <w:pageBreakBefore w:val="0"/>
        <w:kinsoku/>
        <w:wordWrap/>
        <w:overflowPunct/>
        <w:topLinePunct w:val="0"/>
        <w:autoSpaceDE w:val="0"/>
        <w:autoSpaceDN w:val="0"/>
        <w:bidi w:val="0"/>
        <w:adjustRightInd w:val="0"/>
        <w:snapToGrid/>
        <w:spacing w:line="560" w:lineRule="exact"/>
        <w:jc w:val="left"/>
        <w:rPr>
          <w:highlight w:val="none"/>
        </w:rPr>
      </w:pPr>
    </w:p>
    <w:p w14:paraId="37E8423C">
      <w:pPr>
        <w:pStyle w:val="5"/>
        <w:pageBreakBefore w:val="0"/>
        <w:kinsoku/>
        <w:wordWrap/>
        <w:overflowPunct/>
        <w:topLinePunct w:val="0"/>
        <w:autoSpaceDE w:val="0"/>
        <w:autoSpaceDN w:val="0"/>
        <w:bidi w:val="0"/>
        <w:adjustRightInd w:val="0"/>
        <w:snapToGrid/>
        <w:spacing w:line="560" w:lineRule="exact"/>
        <w:jc w:val="left"/>
        <w:rPr>
          <w:highlight w:val="none"/>
        </w:rPr>
      </w:pPr>
    </w:p>
    <w:p w14:paraId="52544A48">
      <w:pPr>
        <w:pStyle w:val="5"/>
        <w:pageBreakBefore w:val="0"/>
        <w:kinsoku/>
        <w:wordWrap/>
        <w:overflowPunct/>
        <w:topLinePunct w:val="0"/>
        <w:autoSpaceDE w:val="0"/>
        <w:autoSpaceDN w:val="0"/>
        <w:bidi w:val="0"/>
        <w:adjustRightInd w:val="0"/>
        <w:snapToGrid/>
        <w:spacing w:line="560" w:lineRule="exact"/>
        <w:jc w:val="left"/>
        <w:rPr>
          <w:highlight w:val="none"/>
        </w:rPr>
      </w:pPr>
    </w:p>
    <w:p w14:paraId="15E06E91">
      <w:pPr>
        <w:pStyle w:val="5"/>
        <w:pageBreakBefore w:val="0"/>
        <w:kinsoku/>
        <w:wordWrap/>
        <w:overflowPunct/>
        <w:topLinePunct w:val="0"/>
        <w:autoSpaceDE w:val="0"/>
        <w:autoSpaceDN w:val="0"/>
        <w:bidi w:val="0"/>
        <w:adjustRightInd w:val="0"/>
        <w:snapToGrid/>
        <w:spacing w:line="560" w:lineRule="exact"/>
        <w:jc w:val="left"/>
        <w:rPr>
          <w:highlight w:val="none"/>
        </w:rPr>
      </w:pPr>
    </w:p>
    <w:p w14:paraId="673BB1D8">
      <w:pPr>
        <w:pStyle w:val="5"/>
        <w:pageBreakBefore w:val="0"/>
        <w:kinsoku/>
        <w:wordWrap/>
        <w:overflowPunct/>
        <w:topLinePunct w:val="0"/>
        <w:autoSpaceDE w:val="0"/>
        <w:autoSpaceDN w:val="0"/>
        <w:bidi w:val="0"/>
        <w:adjustRightInd w:val="0"/>
        <w:snapToGrid/>
        <w:spacing w:line="560" w:lineRule="exact"/>
        <w:jc w:val="left"/>
        <w:rPr>
          <w:highlight w:val="none"/>
        </w:rPr>
      </w:pPr>
    </w:p>
    <w:p w14:paraId="0E5DDB62">
      <w:pPr>
        <w:pageBreakBefore w:val="0"/>
        <w:kinsoku/>
        <w:wordWrap/>
        <w:overflowPunct/>
        <w:topLinePunct w:val="0"/>
        <w:bidi w:val="0"/>
        <w:snapToGrid/>
        <w:spacing w:line="560" w:lineRule="exact"/>
        <w:rPr>
          <w:rFonts w:ascii="黑体" w:hAnsi="宋体" w:eastAsia="黑体" w:cs="黑体"/>
          <w:sz w:val="32"/>
          <w:szCs w:val="32"/>
          <w:highlight w:val="none"/>
          <w:lang w:bidi="ar"/>
        </w:rPr>
      </w:pPr>
    </w:p>
    <w:p w14:paraId="63EBB595">
      <w:pPr>
        <w:keepNext/>
        <w:keepLines w:val="0"/>
        <w:pageBreakBefore w:val="0"/>
        <w:widowControl w:val="0"/>
        <w:kinsoku/>
        <w:wordWrap/>
        <w:overflowPunct/>
        <w:topLinePunct w:val="0"/>
        <w:autoSpaceDE/>
        <w:autoSpaceDN/>
        <w:bidi w:val="0"/>
        <w:adjustRightInd/>
        <w:snapToGrid/>
        <w:spacing w:line="560" w:lineRule="exact"/>
        <w:ind w:left="1277" w:leftChars="608" w:firstLine="0" w:firstLineChars="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项目名称：夏镇色日克吉勒尕村公共照明项目</w:t>
      </w:r>
    </w:p>
    <w:p w14:paraId="4CED616C">
      <w:pPr>
        <w:keepNext/>
        <w:keepLines w:val="0"/>
        <w:pageBreakBefore w:val="0"/>
        <w:widowControl w:val="0"/>
        <w:kinsoku/>
        <w:wordWrap/>
        <w:overflowPunct/>
        <w:topLinePunct w:val="0"/>
        <w:autoSpaceDE/>
        <w:autoSpaceDN/>
        <w:bidi w:val="0"/>
        <w:adjustRightInd/>
        <w:snapToGrid/>
        <w:spacing w:line="560" w:lineRule="exact"/>
        <w:ind w:firstLine="1280" w:firstLineChars="4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项目主管单位：托克逊县委统战部（民宗局）</w:t>
      </w:r>
    </w:p>
    <w:p w14:paraId="37F8AC1F">
      <w:pPr>
        <w:keepNext/>
        <w:keepLines w:val="0"/>
        <w:pageBreakBefore w:val="0"/>
        <w:widowControl w:val="0"/>
        <w:kinsoku/>
        <w:wordWrap/>
        <w:overflowPunct/>
        <w:topLinePunct w:val="0"/>
        <w:autoSpaceDE/>
        <w:autoSpaceDN/>
        <w:bidi w:val="0"/>
        <w:adjustRightInd/>
        <w:snapToGrid/>
        <w:spacing w:line="560" w:lineRule="exact"/>
        <w:ind w:firstLine="1280" w:firstLineChars="4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项目实施单位：托克逊县夏镇人民政府</w:t>
      </w:r>
    </w:p>
    <w:p w14:paraId="77B226C3">
      <w:pPr>
        <w:keepNext/>
        <w:keepLines w:val="0"/>
        <w:pageBreakBefore w:val="0"/>
        <w:widowControl w:val="0"/>
        <w:kinsoku/>
        <w:wordWrap/>
        <w:overflowPunct/>
        <w:topLinePunct w:val="0"/>
        <w:autoSpaceDE/>
        <w:autoSpaceDN/>
        <w:bidi w:val="0"/>
        <w:adjustRightInd/>
        <w:snapToGrid/>
        <w:spacing w:line="560" w:lineRule="exact"/>
        <w:ind w:firstLine="1280" w:firstLineChars="4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编制时间：2025年5月19日</w:t>
      </w:r>
    </w:p>
    <w:p w14:paraId="21B27849">
      <w:pPr>
        <w:keepNext/>
        <w:keepLines w:val="0"/>
        <w:pageBreakBefore w:val="0"/>
        <w:widowControl w:val="0"/>
        <w:kinsoku/>
        <w:wordWrap/>
        <w:overflowPunct/>
        <w:topLinePunct w:val="0"/>
        <w:autoSpaceDE/>
        <w:autoSpaceDN/>
        <w:bidi w:val="0"/>
        <w:adjustRightInd/>
        <w:snapToGrid/>
        <w:spacing w:line="560" w:lineRule="exact"/>
        <w:ind w:firstLine="1280" w:firstLineChars="400"/>
        <w:jc w:val="both"/>
        <w:textAlignment w:val="auto"/>
        <w:rPr>
          <w:rFonts w:hint="eastAsia" w:ascii="黑体" w:hAnsi="黑体" w:eastAsia="黑体" w:cs="黑体"/>
          <w:b w:val="0"/>
          <w:bCs w:val="0"/>
          <w:sz w:val="32"/>
          <w:szCs w:val="32"/>
          <w:lang w:val="en-US" w:eastAsia="zh-CN"/>
        </w:rPr>
        <w:sectPr>
          <w:pgSz w:w="11906" w:h="16838"/>
          <w:pgMar w:top="1440" w:right="1797" w:bottom="1440" w:left="1797" w:header="851" w:footer="992" w:gutter="0"/>
          <w:cols w:space="720" w:num="1"/>
          <w:docGrid w:linePitch="286" w:charSpace="0"/>
        </w:sectPr>
      </w:pPr>
    </w:p>
    <w:p w14:paraId="09DAF82E">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黑体" w:hAnsi="黑体" w:eastAsia="黑体" w:cs="黑体"/>
          <w:sz w:val="44"/>
          <w:szCs w:val="44"/>
          <w:highlight w:val="none"/>
          <w:lang w:val="en-US" w:eastAsia="zh-CN"/>
        </w:rPr>
      </w:pPr>
      <w:r>
        <w:rPr>
          <w:rFonts w:hint="eastAsia" w:ascii="黑体" w:hAnsi="黑体" w:eastAsia="黑体" w:cs="黑体"/>
          <w:sz w:val="44"/>
          <w:szCs w:val="44"/>
          <w:highlight w:val="none"/>
          <w:lang w:val="en-US" w:eastAsia="zh-CN"/>
        </w:rPr>
        <w:t>夏镇色日克吉勒尕村公共照明项目</w:t>
      </w:r>
    </w:p>
    <w:p w14:paraId="6613A15F">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黑体" w:hAnsi="黑体" w:eastAsia="黑体" w:cs="黑体"/>
          <w:sz w:val="44"/>
          <w:szCs w:val="44"/>
          <w:highlight w:val="none"/>
        </w:rPr>
      </w:pPr>
      <w:r>
        <w:rPr>
          <w:rFonts w:hint="eastAsia" w:ascii="黑体" w:hAnsi="黑体" w:eastAsia="黑体" w:cs="黑体"/>
          <w:sz w:val="44"/>
          <w:szCs w:val="44"/>
          <w:highlight w:val="none"/>
        </w:rPr>
        <w:t>实施方案</w:t>
      </w:r>
    </w:p>
    <w:p w14:paraId="31E9B596">
      <w:pPr>
        <w:pStyle w:val="10"/>
        <w:keepNext w:val="0"/>
        <w:keepLines w:val="0"/>
        <w:pageBreakBefore w:val="0"/>
        <w:widowControl w:val="0"/>
        <w:kinsoku/>
        <w:wordWrap/>
        <w:overflowPunct/>
        <w:topLinePunct w:val="0"/>
        <w:autoSpaceDE w:val="0"/>
        <w:autoSpaceDN w:val="0"/>
        <w:bidi w:val="0"/>
        <w:adjustRightInd w:val="0"/>
        <w:snapToGrid/>
        <w:spacing w:line="300" w:lineRule="exact"/>
        <w:ind w:firstLine="640" w:firstLineChars="200"/>
        <w:textAlignment w:val="auto"/>
        <w:rPr>
          <w:rFonts w:hint="eastAsia" w:ascii="黑体" w:hAnsi="黑体" w:eastAsia="黑体"/>
          <w:b w:val="0"/>
          <w:bCs/>
          <w:color w:val="auto"/>
          <w:sz w:val="32"/>
          <w:szCs w:val="32"/>
          <w:highlight w:val="none"/>
        </w:rPr>
      </w:pPr>
    </w:p>
    <w:p w14:paraId="566B83E6">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项目概况：</w:t>
      </w:r>
    </w:p>
    <w:p w14:paraId="364111C5">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bCs/>
          <w:kern w:val="2"/>
          <w:sz w:val="32"/>
          <w:szCs w:val="32"/>
          <w:lang w:val="en-US" w:eastAsia="zh-CN" w:bidi="ar-SA"/>
        </w:rPr>
        <w:t>项目名称：</w:t>
      </w:r>
      <w:r>
        <w:rPr>
          <w:rFonts w:hint="eastAsia" w:ascii="仿宋" w:hAnsi="仿宋" w:eastAsia="仿宋" w:cs="仿宋"/>
          <w:sz w:val="32"/>
          <w:szCs w:val="32"/>
          <w:lang w:val="en-US" w:eastAsia="zh-CN"/>
        </w:rPr>
        <w:t>夏镇色日克吉勒尕村公共照明项目</w:t>
      </w:r>
    </w:p>
    <w:p w14:paraId="7BE5AA6C">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项目库编号：</w:t>
      </w:r>
      <w:r>
        <w:rPr>
          <w:rFonts w:hint="eastAsia" w:ascii="仿宋_GB2312" w:hAnsi="仿宋_GB2312" w:eastAsia="仿宋_GB2312" w:cs="仿宋_GB2312"/>
          <w:b w:val="0"/>
          <w:bCs/>
          <w:sz w:val="32"/>
          <w:szCs w:val="32"/>
          <w:highlight w:val="none"/>
        </w:rPr>
        <w:t>TKX0090</w:t>
      </w:r>
    </w:p>
    <w:p w14:paraId="2CEA9B5B">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bCs/>
          <w:kern w:val="2"/>
          <w:sz w:val="32"/>
          <w:szCs w:val="32"/>
          <w:lang w:val="en-US" w:eastAsia="zh-CN" w:bidi="ar-SA"/>
        </w:rPr>
        <w:t>项目建设单位及单位负责人：</w:t>
      </w:r>
      <w:r>
        <w:rPr>
          <w:rFonts w:hint="eastAsia" w:ascii="仿宋" w:hAnsi="仿宋" w:eastAsia="仿宋" w:cs="仿宋"/>
          <w:sz w:val="32"/>
          <w:szCs w:val="32"/>
          <w:lang w:val="en-US" w:eastAsia="zh-CN"/>
        </w:rPr>
        <w:t>夏镇人民政府（法人：     夏镇党委副书记、镇长  艾尼瓦尔·尔西丁)</w:t>
      </w:r>
    </w:p>
    <w:p w14:paraId="1C800CA4">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项目负责人：</w:t>
      </w:r>
      <w:r>
        <w:rPr>
          <w:rFonts w:hint="eastAsia" w:ascii="仿宋_GB2312" w:hAnsi="仿宋_GB2312" w:eastAsia="仿宋_GB2312" w:cs="仿宋_GB2312"/>
          <w:b w:val="0"/>
          <w:bCs w:val="0"/>
          <w:kern w:val="2"/>
          <w:sz w:val="32"/>
          <w:szCs w:val="32"/>
          <w:lang w:val="en-US" w:eastAsia="zh-CN" w:bidi="ar-SA"/>
        </w:rPr>
        <w:t xml:space="preserve">马军 </w:t>
      </w:r>
    </w:p>
    <w:p w14:paraId="5B2F0E1D">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sz w:val="32"/>
          <w:szCs w:val="32"/>
          <w:lang w:val="en-US" w:eastAsia="zh-CN"/>
        </w:rPr>
      </w:pPr>
      <w:r>
        <w:rPr>
          <w:rFonts w:hint="eastAsia" w:ascii="仿宋_GB2312" w:hAnsi="仿宋_GB2312" w:eastAsia="仿宋_GB2312" w:cs="仿宋_GB2312"/>
          <w:b/>
          <w:bCs/>
          <w:kern w:val="2"/>
          <w:sz w:val="32"/>
          <w:szCs w:val="32"/>
          <w:lang w:val="en-US" w:eastAsia="zh-CN" w:bidi="ar-SA"/>
        </w:rPr>
        <w:t>项目行政主管单位：</w:t>
      </w:r>
      <w:r>
        <w:rPr>
          <w:rFonts w:hint="eastAsia" w:ascii="仿宋" w:hAnsi="仿宋" w:eastAsia="仿宋" w:cs="仿宋"/>
          <w:sz w:val="32"/>
          <w:szCs w:val="32"/>
          <w:lang w:val="en-US" w:eastAsia="zh-CN"/>
        </w:rPr>
        <w:t>托克逊县委统战部（民宗局）</w:t>
      </w:r>
    </w:p>
    <w:p w14:paraId="7FFE1997">
      <w:pPr>
        <w:pStyle w:val="11"/>
        <w:keepNext/>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643"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项目行业主管单位：</w:t>
      </w:r>
      <w:r>
        <w:rPr>
          <w:rFonts w:hint="eastAsia" w:ascii="仿宋" w:hAnsi="仿宋" w:eastAsia="仿宋" w:cs="仿宋"/>
          <w:sz w:val="32"/>
          <w:szCs w:val="32"/>
          <w:lang w:val="en-US" w:eastAsia="zh-CN"/>
        </w:rPr>
        <w:t>托克逊县住建局</w:t>
      </w:r>
    </w:p>
    <w:p w14:paraId="79F83172">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 w:hAnsi="仿宋" w:eastAsia="仿宋" w:cs="仿宋"/>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项目建设性质：</w:t>
      </w:r>
      <w:r>
        <w:rPr>
          <w:rFonts w:hint="eastAsia" w:ascii="仿宋" w:hAnsi="仿宋" w:eastAsia="仿宋" w:cs="仿宋"/>
          <w:sz w:val="32"/>
          <w:szCs w:val="32"/>
        </w:rPr>
        <w:t>新建</w:t>
      </w:r>
    </w:p>
    <w:p w14:paraId="7D08961A">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项目类别：</w:t>
      </w:r>
      <w:r>
        <w:rPr>
          <w:rFonts w:hint="eastAsia" w:ascii="仿宋" w:hAnsi="仿宋" w:eastAsia="仿宋" w:cs="仿宋"/>
          <w:sz w:val="32"/>
          <w:szCs w:val="32"/>
          <w:lang w:val="en-US" w:eastAsia="zh-CN"/>
        </w:rPr>
        <w:t>农村环境整治</w:t>
      </w:r>
    </w:p>
    <w:p w14:paraId="754F3004">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建设地点：</w:t>
      </w:r>
      <w:r>
        <w:rPr>
          <w:rFonts w:hint="eastAsia" w:ascii="仿宋" w:hAnsi="仿宋" w:eastAsia="仿宋" w:cs="仿宋"/>
          <w:sz w:val="32"/>
          <w:szCs w:val="32"/>
          <w:lang w:val="en-US" w:eastAsia="zh-CN"/>
        </w:rPr>
        <w:t>夏镇色日克吉勒尕村</w:t>
      </w:r>
    </w:p>
    <w:p w14:paraId="239532FE">
      <w:pPr>
        <w:pStyle w:val="11"/>
        <w:keepNext/>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项目总投资：</w:t>
      </w:r>
      <w:r>
        <w:rPr>
          <w:rFonts w:hint="eastAsia" w:ascii="仿宋_GB2312" w:hAnsi="仿宋_GB2312" w:eastAsia="仿宋_GB2312" w:cs="仿宋_GB2312"/>
          <w:kern w:val="2"/>
          <w:sz w:val="32"/>
          <w:szCs w:val="32"/>
          <w:lang w:val="en-US" w:eastAsia="zh-CN" w:bidi="ar-SA"/>
        </w:rPr>
        <w:t>45万元</w:t>
      </w:r>
    </w:p>
    <w:p w14:paraId="6C001418">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9、主要建设内容与规模：</w:t>
      </w:r>
      <w:r>
        <w:rPr>
          <w:rFonts w:hint="eastAsia" w:ascii="仿宋" w:hAnsi="仿宋" w:eastAsia="仿宋" w:cs="仿宋"/>
          <w:kern w:val="2"/>
          <w:sz w:val="32"/>
          <w:szCs w:val="32"/>
          <w:lang w:val="en-US" w:eastAsia="zh-CN" w:bidi="ar-SA"/>
        </w:rPr>
        <w:t>计划为色日克吉勒尕村道路两侧安装250盏太阳能路灯，每盏约1800元，项目总投资约45万元。</w:t>
      </w:r>
    </w:p>
    <w:p w14:paraId="473885FD">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kern w:val="2"/>
          <w:sz w:val="32"/>
          <w:szCs w:val="32"/>
          <w:lang w:val="en-US" w:eastAsia="zh-CN" w:bidi="ar-SA"/>
        </w:rPr>
        <w:t>项目区基本情况及建设必要性、可行性</w:t>
      </w:r>
    </w:p>
    <w:p w14:paraId="3A6F54B2">
      <w:pPr>
        <w:keepNext w:val="0"/>
        <w:keepLines w:val="0"/>
        <w:pageBreakBefore w:val="0"/>
        <w:widowControl w:val="0"/>
        <w:kinsoku/>
        <w:wordWrap/>
        <w:overflowPunct/>
        <w:topLinePunct w:val="0"/>
        <w:bidi w:val="0"/>
        <w:snapToGrid/>
        <w:spacing w:line="560" w:lineRule="exact"/>
        <w:ind w:firstLine="643" w:firstLineChars="200"/>
        <w:jc w:val="left"/>
        <w:rPr>
          <w:rFonts w:hint="eastAsia" w:ascii="仿宋" w:hAnsi="仿宋" w:eastAsia="仿宋" w:cs="仿宋"/>
          <w:kern w:val="2"/>
          <w:sz w:val="32"/>
          <w:szCs w:val="32"/>
          <w:lang w:val="en-US" w:eastAsia="zh-CN" w:bidi="ar-SA"/>
        </w:rPr>
      </w:pPr>
      <w:r>
        <w:rPr>
          <w:rFonts w:hint="eastAsia" w:ascii="仿宋_GB2312" w:hAnsi="仿宋_GB2312" w:eastAsia="仿宋_GB2312" w:cs="仿宋_GB2312"/>
          <w:b/>
          <w:sz w:val="32"/>
          <w:szCs w:val="32"/>
          <w:lang w:val="en-US" w:eastAsia="zh-CN"/>
        </w:rPr>
        <w:t>1、项目区基本情况：</w:t>
      </w:r>
      <w:r>
        <w:rPr>
          <w:rFonts w:hint="eastAsia" w:ascii="仿宋" w:hAnsi="仿宋" w:eastAsia="仿宋" w:cs="仿宋"/>
          <w:kern w:val="2"/>
          <w:sz w:val="32"/>
          <w:szCs w:val="32"/>
          <w:lang w:val="en-US" w:eastAsia="zh-CN" w:bidi="ar-SA"/>
        </w:rPr>
        <w:t>夏镇色日克吉勒尕村位于托克逊县县城东部、夏镇政府南部，距县城3公里，总面积10平方公里，下辖6个村民小组，共963户，2920人，其中：汉族58户136人，维吾尔族905户2784人。路灯安装完成后不仅能亮化村庄，而且还能消除交通安全隐患。解决色日克吉勒尕村夜间行路难，消除道路交通安全隐患等问题，有效改善村民的居住环境和生活质量。</w:t>
      </w:r>
    </w:p>
    <w:p w14:paraId="13FD51F5">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hint="eastAsia" w:ascii="仿宋" w:hAnsi="仿宋" w:eastAsia="仿宋" w:cs="仿宋"/>
          <w:kern w:val="2"/>
          <w:sz w:val="32"/>
          <w:szCs w:val="32"/>
          <w:lang w:val="en-US" w:eastAsia="zh-CN" w:bidi="ar-SA"/>
        </w:rPr>
      </w:pPr>
      <w:r>
        <w:rPr>
          <w:rFonts w:hint="eastAsia" w:ascii="仿宋_GB2312" w:hAnsi="仿宋_GB2312" w:eastAsia="仿宋_GB2312" w:cs="仿宋_GB2312"/>
          <w:b/>
          <w:sz w:val="32"/>
          <w:szCs w:val="32"/>
          <w:lang w:val="en-US" w:eastAsia="zh-CN"/>
        </w:rPr>
        <w:t>2、建设的必要性：</w:t>
      </w:r>
      <w:r>
        <w:rPr>
          <w:rFonts w:hint="eastAsia" w:ascii="仿宋" w:hAnsi="仿宋" w:eastAsia="仿宋" w:cs="仿宋"/>
          <w:kern w:val="2"/>
          <w:sz w:val="32"/>
          <w:szCs w:val="32"/>
          <w:lang w:val="en-US" w:eastAsia="zh-CN" w:bidi="ar-SA"/>
        </w:rPr>
        <w:t>一是提高交通安全，路灯项目能够提供必要的夜间照明，起到警示作用，防止发生交通事故，保障村民和车辆的夜间行车安全。二是增强偏远村庄的夜间活动便利性，有了路灯，村民可以在夜间外出活动，如散步、购物、就医等，不再受黑暗的限制。三是提升乡村整体形象：路灯不仅照亮了夜晚，还成为乡村的一道风景线，提升了乡村的整体形象和美感。四是促进地方经济发展：路灯的建设和投入使用，能够促进当地旅游业的发展，吸引更多游客前来观光，从而带动地方经济的发展。五是实现节能环保：很多路灯都是使用太阳能进行发电，没有任何污染，而且能够节约电力资源。</w:t>
      </w:r>
    </w:p>
    <w:p w14:paraId="09F03C57">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hint="eastAsia" w:ascii="仿宋" w:hAnsi="仿宋" w:eastAsia="仿宋" w:cs="仿宋"/>
          <w:kern w:val="2"/>
          <w:sz w:val="32"/>
          <w:szCs w:val="32"/>
          <w:lang w:val="en-US" w:eastAsia="zh-CN" w:bidi="ar-SA"/>
        </w:rPr>
      </w:pPr>
      <w:r>
        <w:rPr>
          <w:rFonts w:hint="eastAsia" w:ascii="仿宋_GB2312" w:hAnsi="仿宋_GB2312" w:eastAsia="仿宋_GB2312" w:cs="仿宋_GB2312"/>
          <w:b/>
          <w:sz w:val="32"/>
          <w:szCs w:val="32"/>
          <w:lang w:val="en-US" w:eastAsia="zh-CN"/>
        </w:rPr>
        <w:t>3、建设的可行性：</w:t>
      </w:r>
      <w:r>
        <w:rPr>
          <w:rFonts w:hint="eastAsia" w:ascii="仿宋_GB2312" w:hAnsi="仿宋_GB2312" w:eastAsia="仿宋_GB2312" w:cs="仿宋_GB2312"/>
          <w:bCs/>
          <w:sz w:val="32"/>
          <w:szCs w:val="32"/>
          <w:highlight w:val="none"/>
          <w:lang w:val="en-US" w:eastAsia="zh-CN"/>
        </w:rPr>
        <w:t>（</w:t>
      </w:r>
      <w:r>
        <w:rPr>
          <w:rFonts w:hint="eastAsia" w:ascii="仿宋" w:hAnsi="仿宋" w:eastAsia="仿宋" w:cs="仿宋"/>
          <w:kern w:val="2"/>
          <w:sz w:val="32"/>
          <w:szCs w:val="32"/>
          <w:lang w:val="en-US" w:eastAsia="zh-CN" w:bidi="ar-SA"/>
        </w:rPr>
        <w:t>1）本项目符合国家关于新农村建设的有关政策。在改革开放、发展经济的进程中，夏镇色日克吉勒尕村经济和社会发展取得显著成效，精神文明建设深入人心，项目按规划建设是顺理成章的，是可行的。</w:t>
      </w:r>
    </w:p>
    <w:p w14:paraId="3293CB7F">
      <w:pPr>
        <w:keepNext w:val="0"/>
        <w:keepLines w:val="0"/>
        <w:pageBreakBefore w:val="0"/>
        <w:widowControl w:val="0"/>
        <w:numPr>
          <w:ilvl w:val="0"/>
          <w:numId w:val="0"/>
        </w:numPr>
        <w:kinsoku/>
        <w:wordWrap/>
        <w:overflowPunct/>
        <w:topLinePunct w:val="0"/>
        <w:bidi w:val="0"/>
        <w:snapToGrid/>
        <w:spacing w:line="560" w:lineRule="exact"/>
        <w:ind w:firstLine="640" w:firstLineChars="200"/>
        <w:jc w:val="left"/>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（2）夏镇党委、政府对此项目高度重视，已将该工程列入重要议事日程，明确了责任领导，为项目提供坚强组织保证，创造良好的施工环境。</w:t>
      </w:r>
    </w:p>
    <w:p w14:paraId="3870A1D1">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资金筹措及投资概算</w:t>
      </w:r>
    </w:p>
    <w:p w14:paraId="647B7795">
      <w:pPr>
        <w:keepNext/>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资金来源：</w:t>
      </w:r>
      <w:r>
        <w:rPr>
          <w:rFonts w:hint="eastAsia" w:ascii="仿宋" w:hAnsi="仿宋" w:eastAsia="仿宋" w:cs="仿宋"/>
          <w:kern w:val="2"/>
          <w:sz w:val="32"/>
          <w:szCs w:val="32"/>
          <w:lang w:val="en-US" w:eastAsia="zh-CN" w:bidi="ar-SA"/>
        </w:rPr>
        <w:t>财政衔接推进乡村振兴补助资金。</w:t>
      </w:r>
    </w:p>
    <w:p w14:paraId="62FF8731">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投资</w:t>
      </w:r>
      <w:r>
        <w:rPr>
          <w:rFonts w:hint="eastAsia" w:ascii="仿宋_GB2312" w:hAnsi="仿宋_GB2312" w:eastAsia="仿宋_GB2312" w:cs="仿宋_GB2312"/>
          <w:b/>
          <w:bCs/>
          <w:sz w:val="32"/>
          <w:szCs w:val="32"/>
          <w:lang w:val="en-US" w:eastAsia="zh-CN"/>
        </w:rPr>
        <w:t>概算</w:t>
      </w:r>
      <w:r>
        <w:rPr>
          <w:rFonts w:hint="eastAsia" w:ascii="仿宋_GB2312" w:hAnsi="仿宋_GB2312" w:eastAsia="仿宋_GB2312" w:cs="仿宋_GB2312"/>
          <w:b/>
          <w:bCs/>
          <w:sz w:val="32"/>
          <w:szCs w:val="32"/>
        </w:rPr>
        <w:t>：</w:t>
      </w:r>
      <w:r>
        <w:rPr>
          <w:rFonts w:hint="eastAsia" w:ascii="仿宋" w:hAnsi="仿宋" w:eastAsia="仿宋" w:cs="仿宋"/>
          <w:kern w:val="2"/>
          <w:sz w:val="32"/>
          <w:szCs w:val="32"/>
          <w:lang w:val="en-US" w:eastAsia="zh-CN" w:bidi="ar-SA"/>
        </w:rPr>
        <w:t>计划为色日克吉勒尕村道路两侧安装250盏太阳能路灯，每盏约1800元，项目总投资约45万元。</w:t>
      </w:r>
    </w:p>
    <w:p w14:paraId="1D7AFD73">
      <w:pPr>
        <w:pStyle w:val="11"/>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项目实施进度计划</w:t>
      </w:r>
    </w:p>
    <w:p w14:paraId="570BB40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2025年6月：完成项目公开招标等手续办理，签订合同；</w:t>
      </w:r>
    </w:p>
    <w:p w14:paraId="179740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2025年8月：完成太阳能路灯采购安装工作，并组织相关部门进行联合验收。</w:t>
      </w:r>
    </w:p>
    <w:p w14:paraId="1D80721E">
      <w:pPr>
        <w:pStyle w:val="11"/>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项目组织实施能力与内控管理措施</w:t>
      </w:r>
    </w:p>
    <w:p w14:paraId="029FBC3F">
      <w:pPr>
        <w:keepNext w:val="0"/>
        <w:keepLines w:val="0"/>
        <w:pageBreakBefore w:val="0"/>
        <w:widowControl w:val="0"/>
        <w:kinsoku/>
        <w:wordWrap/>
        <w:overflowPunct/>
        <w:topLinePunct w:val="0"/>
        <w:bidi w:val="0"/>
        <w:snapToGrid/>
        <w:spacing w:line="560" w:lineRule="exact"/>
        <w:ind w:firstLine="643" w:firstLineChars="200"/>
        <w:jc w:val="left"/>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rPr>
        <w:t>组织领导机构及职责分工</w:t>
      </w:r>
    </w:p>
    <w:p w14:paraId="138D80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为加强项目监督和技术指导，按期完成建设任务，根据《托克逊县夏镇财政衔接推进乡村振兴补助金(巩固拓展脱贫攻坚成果和乡村振兴任务)项目管理办法（暂行）》规定成立项目管理组织机构，项目管理工作实行分级负责制。项目组相关领导机构如下：</w:t>
      </w:r>
    </w:p>
    <w:p w14:paraId="2A15371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组 长:艾尼瓦尔·尔西丁      夏镇党委副书记、镇长   </w:t>
      </w:r>
    </w:p>
    <w:p w14:paraId="463BEE7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副组长:马军                 夏镇党委委员、常务副镇长 </w:t>
      </w:r>
    </w:p>
    <w:p w14:paraId="58E7A9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成 员:武永强                 镇项目办主任</w:t>
      </w:r>
    </w:p>
    <w:p w14:paraId="0E92541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木克热木·热合曼       镇纪检办主任 </w:t>
      </w:r>
    </w:p>
    <w:p w14:paraId="45FE50C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古丽博斯坦·艾尼       镇乡村振兴办主任</w:t>
      </w:r>
    </w:p>
    <w:p w14:paraId="04795E5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吐尔尼亚孜汗·玉苏甫   镇财政所干部 </w:t>
      </w:r>
    </w:p>
    <w:p w14:paraId="1AE415A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魏  育                 镇项目办干部 </w:t>
      </w:r>
    </w:p>
    <w:p w14:paraId="310BB8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阿不来提·艾合买提     色日克吉勒尕村第一书记 </w:t>
      </w:r>
    </w:p>
    <w:p w14:paraId="41BE73B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艾合买提·库尔班       色日克吉勒尕村委会主任</w:t>
      </w:r>
    </w:p>
    <w:p w14:paraId="62D6931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1、成立以村第一书记为组长，村党支部书记为副组长、各职能小组负责人为成员的领导小组，负责项目的领导、协调、实施、督促、指导等工作，为项目建设提供组织保障。</w:t>
      </w:r>
    </w:p>
    <w:p w14:paraId="4B80A3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2、镇乡村振兴、纪检、财政所等部门为项目实施的监督单位。负责项目实施全过程中的监督、检查，资金审批及管理。</w:t>
      </w:r>
    </w:p>
    <w:p w14:paraId="777565A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夏镇为项目实施主体。镇政府和行政村分别成立项目实施领导小组，明确1名副科级领导专抓此项工作，主要负责宣传发动、组织实施和协助村里并进行指导，帮助落实任务；负责组织开展验收、项目档案的归档等工作。</w:t>
      </w:r>
    </w:p>
    <w:p w14:paraId="5646AFE1">
      <w:pPr>
        <w:keepNext w:val="0"/>
        <w:keepLines w:val="0"/>
        <w:pageBreakBefore w:val="0"/>
        <w:widowControl w:val="0"/>
        <w:kinsoku/>
        <w:wordWrap/>
        <w:overflowPunct/>
        <w:topLinePunct w:val="0"/>
        <w:bidi w:val="0"/>
        <w:snapToGrid/>
        <w:spacing w:line="560" w:lineRule="exact"/>
        <w:ind w:firstLine="643" w:firstLineChars="200"/>
        <w:jc w:val="left"/>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lang w:val="en-US" w:eastAsia="zh-CN"/>
        </w:rPr>
        <w:t>项目询价采购管理</w:t>
      </w:r>
    </w:p>
    <w:p w14:paraId="565F24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本项目建设采用询价采购方式，依据《中华人民共和国政府采购法》以及《夏镇人民政府采购管理办法》，通过三方询价，择优选择供应商，依法签订路灯采购合同，合同中明确规定项目的投资额度，路灯型号，技术标准，不能转包，严格履行合同。</w:t>
      </w:r>
    </w:p>
    <w:p w14:paraId="555FC0B2">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lang w:val="en-US" w:eastAsia="zh-CN"/>
        </w:rPr>
        <w:t>三</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rPr>
        <w:t>合同</w:t>
      </w:r>
      <w:r>
        <w:rPr>
          <w:rFonts w:hint="eastAsia" w:ascii="仿宋_GB2312" w:hAnsi="仿宋_GB2312" w:eastAsia="仿宋_GB2312" w:cs="仿宋_GB2312"/>
          <w:b/>
          <w:sz w:val="32"/>
          <w:szCs w:val="32"/>
          <w:highlight w:val="none"/>
          <w:lang w:val="en-US" w:eastAsia="zh-CN"/>
        </w:rPr>
        <w:t>签订与</w:t>
      </w:r>
      <w:r>
        <w:rPr>
          <w:rFonts w:hint="eastAsia" w:ascii="仿宋_GB2312" w:hAnsi="仿宋_GB2312" w:eastAsia="仿宋_GB2312" w:cs="仿宋_GB2312"/>
          <w:b/>
          <w:sz w:val="32"/>
          <w:szCs w:val="32"/>
          <w:highlight w:val="none"/>
        </w:rPr>
        <w:t>管理</w:t>
      </w:r>
    </w:p>
    <w:p w14:paraId="3302DE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新疆维吾尔自治区合同格式条款监督条例》相关要求，我镇根据单位合同审核流程严格审核合同内容，完成合同会签程序，并与中标单位签订合同，合同双方严格履行各自的义务和责任，按照合同的要求履行合同的承诺，在履行合同过程中，及时纠正违背合同承诺的行为，确保项目管理工作规范到位，合法合规。</w:t>
      </w:r>
    </w:p>
    <w:p w14:paraId="499B44DF">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hint="eastAsia"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（四）项目实施与监督检查</w:t>
      </w:r>
    </w:p>
    <w:p w14:paraId="48F9956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新疆维吾尔自治区衔接推进乡村振兴补助资金管理办法》文件精神，由县乡村振兴领导小组办公室组合第二章第九条规定：托克逊县委农村工作领导小组是衔接推进乡村振兴补助资金和项目管理的第一责任主体，组长是第一责任人，全面负责衔接推进乡村振兴补助资金和项目管理、绩效评价、监督检查等各项工作。为保质保量按时完成该项目，需实行目标管理责任制，明确领导小组各成员的职责，全面推行项目建设责任制、项目法人责任制，建立健全衔接推进乡村振兴补助资产公开公示、定期巡查、绩效考核、结果反馈等检查机制，对项目经营运行、收益分配、后期管护等环节进行全程监督，保障衔接推进乡村振兴补助资产安全有效。</w:t>
      </w:r>
    </w:p>
    <w:p w14:paraId="0E014937">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kern w:val="2"/>
          <w:sz w:val="32"/>
          <w:szCs w:val="32"/>
          <w:highlight w:val="none"/>
          <w:lang w:val="en-US" w:eastAsia="zh-CN" w:bidi="ar-SA"/>
        </w:rPr>
      </w:pPr>
      <w:r>
        <w:rPr>
          <w:rFonts w:hint="eastAsia" w:ascii="仿宋_GB2312" w:hAnsi="仿宋_GB2312" w:eastAsia="仿宋_GB2312" w:cs="仿宋_GB2312"/>
          <w:b/>
          <w:kern w:val="2"/>
          <w:sz w:val="32"/>
          <w:szCs w:val="32"/>
          <w:highlight w:val="none"/>
          <w:lang w:val="en-US" w:eastAsia="zh-CN" w:bidi="ar-SA"/>
        </w:rPr>
        <w:t>（五）</w:t>
      </w:r>
      <w:r>
        <w:rPr>
          <w:rFonts w:hint="default" w:ascii="仿宋_GB2312" w:hAnsi="仿宋_GB2312" w:eastAsia="仿宋_GB2312" w:cs="仿宋_GB2312"/>
          <w:b/>
          <w:kern w:val="2"/>
          <w:sz w:val="32"/>
          <w:szCs w:val="32"/>
          <w:highlight w:val="none"/>
          <w:lang w:val="en-US" w:eastAsia="zh-CN" w:bidi="ar-SA"/>
        </w:rPr>
        <w:t>资金使用和管理</w:t>
      </w:r>
    </w:p>
    <w:p w14:paraId="159C026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关于批复实施2025年中央、自治区财政衔接推进乡村振兴补助资金及县级资金项目的通知》(托党农领发〔2025〕4号)文件要求，为进一步加强资金管理和使用，依据项目计划和实施进度,提出支付申请并提供相关真实、合规的证明材料，制定资金使用计划，经审核后按照国库集中支付管理制度的规定和程序及时支付资金。从国库直接支付到衔接资金项目施工单位。严格执行专款专用，杜绝挤占、挪用项目资金，严禁虚列支出、以拨代支虚增项目进度。项目资金支付后,在审计或检查中发现资金使用存在违法违规问题的，应及时追回、收回。对资金使用严格监管，防止资金使用不精准、虚报冒领。预付项目的首付款，后续根据项目实施进度，提出支付申请并提供相关合同、项目进度证明材料、经审核后按照国库集中支付管理制度的规定和程序及时向供应商支付资金。</w:t>
      </w:r>
    </w:p>
    <w:p w14:paraId="323FC869">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kern w:val="2"/>
          <w:sz w:val="32"/>
          <w:szCs w:val="32"/>
          <w:highlight w:val="none"/>
          <w:lang w:val="en-US" w:eastAsia="zh-CN" w:bidi="ar-SA"/>
        </w:rPr>
      </w:pPr>
      <w:r>
        <w:rPr>
          <w:rFonts w:hint="eastAsia" w:ascii="仿宋_GB2312" w:hAnsi="仿宋_GB2312" w:eastAsia="仿宋_GB2312" w:cs="仿宋_GB2312"/>
          <w:b/>
          <w:kern w:val="2"/>
          <w:sz w:val="32"/>
          <w:szCs w:val="32"/>
          <w:highlight w:val="none"/>
          <w:lang w:val="en-US" w:eastAsia="zh-CN" w:bidi="ar-SA"/>
        </w:rPr>
        <w:t>（六）</w:t>
      </w:r>
      <w:r>
        <w:rPr>
          <w:rFonts w:hint="eastAsia" w:ascii="仿宋_GB2312" w:hAnsi="仿宋_GB2312" w:cs="仿宋_GB2312"/>
          <w:b/>
          <w:kern w:val="2"/>
          <w:sz w:val="32"/>
          <w:szCs w:val="32"/>
          <w:highlight w:val="none"/>
          <w:lang w:val="en-US" w:eastAsia="zh-CN" w:bidi="ar-SA"/>
        </w:rPr>
        <w:t>项目</w:t>
      </w:r>
      <w:r>
        <w:rPr>
          <w:rFonts w:hint="eastAsia" w:ascii="仿宋_GB2312" w:hAnsi="仿宋_GB2312" w:eastAsia="仿宋_GB2312" w:cs="仿宋_GB2312"/>
          <w:b/>
          <w:kern w:val="2"/>
          <w:sz w:val="32"/>
          <w:szCs w:val="32"/>
          <w:highlight w:val="none"/>
          <w:lang w:val="en-US" w:eastAsia="zh-CN" w:bidi="ar-SA"/>
        </w:rPr>
        <w:t>验收管理</w:t>
      </w:r>
    </w:p>
    <w:p w14:paraId="41C1F5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w:t>
      </w:r>
      <w:r>
        <w:rPr>
          <w:rFonts w:hint="default" w:ascii="仿宋" w:hAnsi="仿宋" w:eastAsia="仿宋" w:cs="仿宋"/>
          <w:kern w:val="2"/>
          <w:sz w:val="32"/>
          <w:szCs w:val="32"/>
          <w:lang w:val="en-US" w:eastAsia="zh-CN" w:bidi="ar-SA"/>
        </w:rPr>
        <w:t>《新疆维吾尔自治区财政衔接推进乡村振兴补助资金（巩固拓展脱贫攻坚成果和乡村振兴任务）项目管理办法（暂行）》（新乡振﹝2021﹞32号）</w:t>
      </w:r>
      <w:r>
        <w:rPr>
          <w:rFonts w:hint="eastAsia" w:ascii="仿宋" w:hAnsi="仿宋" w:eastAsia="仿宋" w:cs="仿宋"/>
          <w:kern w:val="2"/>
          <w:sz w:val="32"/>
          <w:szCs w:val="32"/>
          <w:lang w:val="en-US" w:eastAsia="zh-CN" w:bidi="ar-SA"/>
        </w:rPr>
        <w:t>规定,遵照属地管理、按照“谁审批、谁验收”的原则，按照村、镇、县三个级别逐级开展验收工作。村级由村第一书记组织村党支部书记、经济发展组成员组织验收。镇级由常务、副镇长组织项目办、财政所、安全生产办验收。镇、村两级验收合格后，报县乡村振兴局和行业部门申请县级验收。</w:t>
      </w:r>
    </w:p>
    <w:p w14:paraId="5C9F4811">
      <w:pPr>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（七）项目公告公示</w:t>
      </w:r>
    </w:p>
    <w:p w14:paraId="480986D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实施需按《新疆维吾尔自治区衔接推进乡村振兴补助资金管理办法》文件精神，县级通过政府网站对项目建设内容、受益情况等进行公告公示，镇、村两级通过公示栏、入户宣讲等形式对项目事前、事中、事后全过程进行公告公示。</w:t>
      </w:r>
    </w:p>
    <w:p w14:paraId="2146FAE6">
      <w:pPr>
        <w:keepNext w:val="0"/>
        <w:keepLines w:val="0"/>
        <w:pageBreakBefore w:val="0"/>
        <w:widowControl w:val="0"/>
        <w:numPr>
          <w:ilvl w:val="0"/>
          <w:numId w:val="0"/>
        </w:numPr>
        <w:kinsoku/>
        <w:wordWrap/>
        <w:overflowPunct/>
        <w:topLinePunct w:val="0"/>
        <w:bidi w:val="0"/>
        <w:snapToGrid/>
        <w:spacing w:line="560" w:lineRule="exact"/>
        <w:ind w:firstLine="643" w:firstLineChars="200"/>
        <w:jc w:val="left"/>
        <w:rPr>
          <w:rFonts w:hint="eastAsia"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（八）项目后期管护及运营管理</w:t>
      </w:r>
    </w:p>
    <w:p w14:paraId="63ADE8E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按照“谁使用、谁管理、谁负责”的原则，做好产权移交工作。县级有关部门要牵头制定项目后期管护制度，明确项目后期管护主体和工作责任。需根据相关政策文件明确政府在项目经营过程中的责任等内容。</w:t>
      </w:r>
    </w:p>
    <w:p w14:paraId="0670A3A7">
      <w:pPr>
        <w:pStyle w:val="11"/>
        <w:keepNext w:val="0"/>
        <w:keepLines w:val="0"/>
        <w:pageBreakBefore w:val="0"/>
        <w:widowControl w:val="0"/>
        <w:kinsoku/>
        <w:wordWrap/>
        <w:overflowPunct/>
        <w:topLinePunct w:val="0"/>
        <w:autoSpaceDN/>
        <w:bidi w:val="0"/>
        <w:adjustRightInd/>
        <w:snapToGrid/>
        <w:spacing w:line="560" w:lineRule="exact"/>
        <w:ind w:firstLine="640" w:firstLineChars="200"/>
        <w:rPr>
          <w:rFonts w:hint="default"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六、利益联结机制</w:t>
      </w:r>
    </w:p>
    <w:p w14:paraId="631770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是项目覆盖色日克吉勒尕村群众456户1801人，其中：脱贫户7户23人，监测对象4户7人。二是推动村庄基础设施的完善和升级，提高村民的生活品质。三是改善村民生活质量，改善夜间照明条件。四是活跃夜间经济，丰富夜间活动，促进夜间经济发展。五是节约能源，太阳能路灯可以降低能源消耗，节约电力成本。</w:t>
      </w:r>
    </w:p>
    <w:p w14:paraId="623738F6">
      <w:pPr>
        <w:pStyle w:val="11"/>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七、项目绩效目标及效益分析</w:t>
      </w:r>
    </w:p>
    <w:p w14:paraId="59EE0770">
      <w:pPr>
        <w:pStyle w:val="11"/>
        <w:keepNext w:val="0"/>
        <w:keepLines w:val="0"/>
        <w:pageBreakBefore w:val="0"/>
        <w:widowControl w:val="0"/>
        <w:kinsoku/>
        <w:wordWrap/>
        <w:overflowPunct/>
        <w:topLinePunct w:val="0"/>
        <w:bidi w:val="0"/>
        <w:snapToGrid/>
        <w:spacing w:line="560" w:lineRule="exact"/>
        <w:ind w:firstLine="643"/>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rPr>
        <w:t>年度</w:t>
      </w:r>
      <w:r>
        <w:rPr>
          <w:rFonts w:hint="eastAsia" w:ascii="仿宋_GB2312" w:hAnsi="仿宋_GB2312" w:eastAsia="仿宋_GB2312" w:cs="仿宋_GB2312"/>
          <w:b/>
          <w:bCs/>
          <w:sz w:val="32"/>
          <w:szCs w:val="32"/>
          <w:highlight w:val="none"/>
          <w:lang w:val="en-US" w:eastAsia="zh-CN"/>
        </w:rPr>
        <w:t>总体</w:t>
      </w:r>
      <w:r>
        <w:rPr>
          <w:rFonts w:hint="eastAsia" w:ascii="仿宋_GB2312" w:hAnsi="仿宋_GB2312" w:eastAsia="仿宋_GB2312" w:cs="仿宋_GB2312"/>
          <w:b/>
          <w:bCs/>
          <w:sz w:val="32"/>
          <w:szCs w:val="32"/>
          <w:highlight w:val="none"/>
        </w:rPr>
        <w:t>目标：</w:t>
      </w:r>
      <w:r>
        <w:rPr>
          <w:rFonts w:hint="eastAsia" w:ascii="仿宋" w:hAnsi="仿宋" w:eastAsia="仿宋" w:cs="仿宋"/>
          <w:kern w:val="2"/>
          <w:sz w:val="32"/>
          <w:szCs w:val="32"/>
          <w:lang w:val="en-US" w:eastAsia="zh-CN" w:bidi="ar-SA"/>
        </w:rPr>
        <w:t>计划为色日克吉勒尕村道路两侧安装250盏太阳能路灯，改善村民生活质量，改善村民的夜间照明条件，提高村民的生活质量和安全性。</w:t>
      </w:r>
    </w:p>
    <w:p w14:paraId="67D725D5">
      <w:pPr>
        <w:pStyle w:val="11"/>
        <w:keepNext w:val="0"/>
        <w:keepLines w:val="0"/>
        <w:pageBreakBefore w:val="0"/>
        <w:widowControl w:val="0"/>
        <w:kinsoku/>
        <w:wordWrap/>
        <w:overflowPunct/>
        <w:topLinePunct w:val="0"/>
        <w:bidi w:val="0"/>
        <w:snapToGrid/>
        <w:spacing w:line="560" w:lineRule="exact"/>
        <w:ind w:firstLine="643"/>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lang w:eastAsia="zh-CN"/>
        </w:rPr>
        <w:t>间接效益：</w:t>
      </w:r>
      <w:r>
        <w:rPr>
          <w:rFonts w:hint="eastAsia" w:ascii="仿宋" w:hAnsi="仿宋" w:eastAsia="仿宋" w:cs="仿宋"/>
          <w:kern w:val="2"/>
          <w:sz w:val="32"/>
          <w:szCs w:val="32"/>
          <w:lang w:val="en-US" w:eastAsia="zh-CN" w:bidi="ar-SA"/>
        </w:rPr>
        <w:t>极大地改善当地脱贫户和当地农民群众的生产生活条件，为需要夜晚农作的农民提供了便利，加快农业产业化和城镇建设步伐。</w:t>
      </w:r>
    </w:p>
    <w:p w14:paraId="78143F96">
      <w:pPr>
        <w:pStyle w:val="11"/>
        <w:keepNext w:val="0"/>
        <w:keepLines w:val="0"/>
        <w:pageBreakBefore w:val="0"/>
        <w:widowControl w:val="0"/>
        <w:kinsoku/>
        <w:wordWrap/>
        <w:overflowPunct/>
        <w:topLinePunct w:val="0"/>
        <w:bidi w:val="0"/>
        <w:snapToGrid/>
        <w:spacing w:line="560" w:lineRule="exact"/>
        <w:ind w:firstLine="643"/>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kern w:val="2"/>
          <w:sz w:val="32"/>
          <w:szCs w:val="32"/>
          <w:highlight w:val="none"/>
          <w:lang w:val="en-US" w:eastAsia="zh-CN" w:bidi="ar-SA"/>
        </w:rPr>
        <w:t>3、社会效益</w:t>
      </w:r>
      <w:r>
        <w:rPr>
          <w:rFonts w:hint="eastAsia" w:ascii="仿宋_GB2312" w:hAnsi="仿宋_GB2312" w:cs="仿宋_GB2312"/>
          <w:b/>
          <w:bCs/>
          <w:sz w:val="32"/>
          <w:szCs w:val="32"/>
          <w:highlight w:val="none"/>
        </w:rPr>
        <w:t>：</w:t>
      </w:r>
      <w:r>
        <w:rPr>
          <w:rFonts w:hint="eastAsia" w:ascii="仿宋" w:hAnsi="仿宋" w:eastAsia="仿宋" w:cs="仿宋"/>
          <w:kern w:val="2"/>
          <w:sz w:val="32"/>
          <w:szCs w:val="32"/>
          <w:lang w:val="en-US" w:eastAsia="zh-CN" w:bidi="ar-SA"/>
        </w:rPr>
        <w:t>通过该项目的实施，从环保的角度来看，太阳能路灯的电源来源于光伏发电，不需要消耗传统能源，比传统电力路灯更加环保节能。能为群众生产、生活带来极大的便捷，提高群众获得感、安全感和幸福感。项目实施惠及色日克吉勒尕村农户456户1801人，其中：脱贫户7户23人，监测对象4户7人。</w:t>
      </w:r>
    </w:p>
    <w:p w14:paraId="44AD7F15">
      <w:pPr>
        <w:keepNext w:val="0"/>
        <w:keepLines w:val="0"/>
        <w:pageBreakBefore w:val="0"/>
        <w:widowControl w:val="0"/>
        <w:kinsoku/>
        <w:wordWrap/>
        <w:overflowPunct/>
        <w:topLinePunct w:val="0"/>
        <w:bidi w:val="0"/>
        <w:snapToGrid/>
        <w:spacing w:line="560" w:lineRule="exact"/>
        <w:ind w:firstLine="643" w:firstLineChars="200"/>
        <w:jc w:val="left"/>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sz w:val="32"/>
          <w:szCs w:val="32"/>
          <w:highlight w:val="none"/>
          <w:lang w:val="en-US" w:eastAsia="zh-CN"/>
        </w:rPr>
        <w:t>4</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lang w:val="en-US" w:eastAsia="zh-CN"/>
        </w:rPr>
        <w:t>可持续影响指标：</w:t>
      </w:r>
      <w:r>
        <w:rPr>
          <w:rFonts w:hint="eastAsia" w:ascii="仿宋" w:hAnsi="仿宋" w:eastAsia="仿宋" w:cs="仿宋"/>
          <w:kern w:val="2"/>
          <w:sz w:val="32"/>
          <w:szCs w:val="32"/>
          <w:lang w:val="en-US" w:eastAsia="zh-CN" w:bidi="ar-SA"/>
        </w:rPr>
        <w:t>该项目安装的太阳能路灯能够使用5年以上，</w:t>
      </w:r>
      <w:r>
        <w:rPr>
          <w:rFonts w:hint="default" w:ascii="仿宋" w:hAnsi="仿宋" w:eastAsia="仿宋" w:cs="仿宋"/>
          <w:kern w:val="2"/>
          <w:sz w:val="32"/>
          <w:szCs w:val="32"/>
          <w:lang w:val="en-US" w:eastAsia="zh-CN" w:bidi="ar-SA"/>
        </w:rPr>
        <w:t>极大</w:t>
      </w:r>
      <w:r>
        <w:rPr>
          <w:rFonts w:hint="eastAsia" w:ascii="仿宋" w:hAnsi="仿宋" w:eastAsia="仿宋" w:cs="仿宋"/>
          <w:kern w:val="2"/>
          <w:sz w:val="32"/>
          <w:szCs w:val="32"/>
          <w:lang w:val="en-US" w:eastAsia="zh-CN" w:bidi="ar-SA"/>
        </w:rPr>
        <w:t>地</w:t>
      </w:r>
      <w:r>
        <w:rPr>
          <w:rFonts w:hint="default" w:ascii="仿宋" w:hAnsi="仿宋" w:eastAsia="仿宋" w:cs="仿宋"/>
          <w:kern w:val="2"/>
          <w:sz w:val="32"/>
          <w:szCs w:val="32"/>
          <w:lang w:val="en-US" w:eastAsia="zh-CN" w:bidi="ar-SA"/>
        </w:rPr>
        <w:t>改善当地脱贫户</w:t>
      </w:r>
      <w:r>
        <w:rPr>
          <w:rFonts w:hint="eastAsia" w:ascii="仿宋" w:hAnsi="仿宋" w:eastAsia="仿宋" w:cs="仿宋"/>
          <w:kern w:val="2"/>
          <w:sz w:val="32"/>
          <w:szCs w:val="32"/>
          <w:lang w:val="en-US" w:eastAsia="zh-CN" w:bidi="ar-SA"/>
        </w:rPr>
        <w:t>、监测对象</w:t>
      </w:r>
      <w:r>
        <w:rPr>
          <w:rFonts w:hint="default" w:ascii="仿宋" w:hAnsi="仿宋" w:eastAsia="仿宋" w:cs="仿宋"/>
          <w:kern w:val="2"/>
          <w:sz w:val="32"/>
          <w:szCs w:val="32"/>
          <w:lang w:val="en-US" w:eastAsia="zh-CN" w:bidi="ar-SA"/>
        </w:rPr>
        <w:t>和农民群众的生产生活条件，为需要夜晚农作的农民提供便利，加快农业产业化和城镇建设步伐</w:t>
      </w:r>
      <w:r>
        <w:rPr>
          <w:rFonts w:hint="eastAsia" w:ascii="仿宋" w:hAnsi="仿宋" w:eastAsia="仿宋" w:cs="仿宋"/>
          <w:kern w:val="2"/>
          <w:sz w:val="32"/>
          <w:szCs w:val="32"/>
          <w:lang w:val="en-US" w:eastAsia="zh-CN" w:bidi="ar-SA"/>
        </w:rPr>
        <w:t>。</w:t>
      </w:r>
    </w:p>
    <w:p w14:paraId="2E9F1A29">
      <w:pPr>
        <w:pStyle w:val="10"/>
        <w:keepNext w:val="0"/>
        <w:keepLines w:val="0"/>
        <w:pageBreakBefore w:val="0"/>
        <w:widowControl w:val="0"/>
        <w:kinsoku/>
        <w:wordWrap/>
        <w:overflowPunct/>
        <w:topLinePunct w:val="0"/>
        <w:bidi w:val="0"/>
        <w:snapToGrid/>
        <w:spacing w:line="560" w:lineRule="exact"/>
        <w:ind w:firstLine="641"/>
        <w:rPr>
          <w:rFonts w:hint="default" w:ascii="仿宋" w:hAnsi="仿宋" w:eastAsia="仿宋" w:cs="仿宋"/>
          <w:color w:val="auto"/>
          <w:kern w:val="2"/>
          <w:sz w:val="32"/>
          <w:szCs w:val="32"/>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5、服务对象满意度：</w:t>
      </w:r>
      <w:r>
        <w:rPr>
          <w:rFonts w:hint="eastAsia" w:ascii="仿宋" w:hAnsi="仿宋" w:eastAsia="仿宋" w:cs="仿宋"/>
          <w:color w:val="auto"/>
          <w:kern w:val="2"/>
          <w:sz w:val="32"/>
          <w:szCs w:val="32"/>
          <w:lang w:val="en-US" w:eastAsia="zh-CN" w:bidi="ar-SA"/>
        </w:rPr>
        <w:t>通过该项目的实施，能够</w:t>
      </w:r>
      <w:r>
        <w:rPr>
          <w:rFonts w:hint="default" w:ascii="仿宋" w:hAnsi="仿宋" w:eastAsia="仿宋" w:cs="仿宋"/>
          <w:color w:val="auto"/>
          <w:kern w:val="2"/>
          <w:sz w:val="32"/>
          <w:szCs w:val="32"/>
          <w:lang w:val="en-US" w:eastAsia="zh-CN" w:bidi="ar-SA"/>
        </w:rPr>
        <w:t>加快</w:t>
      </w:r>
      <w:r>
        <w:rPr>
          <w:rFonts w:hint="eastAsia" w:ascii="仿宋" w:hAnsi="仿宋" w:eastAsia="仿宋" w:cs="仿宋"/>
          <w:color w:val="auto"/>
          <w:kern w:val="2"/>
          <w:sz w:val="32"/>
          <w:szCs w:val="32"/>
          <w:lang w:val="en-US" w:eastAsia="zh-CN" w:bidi="ar-SA"/>
        </w:rPr>
        <w:t>当地</w:t>
      </w:r>
      <w:r>
        <w:rPr>
          <w:rFonts w:hint="default" w:ascii="仿宋" w:hAnsi="仿宋" w:eastAsia="仿宋" w:cs="仿宋"/>
          <w:color w:val="auto"/>
          <w:kern w:val="2"/>
          <w:sz w:val="32"/>
          <w:szCs w:val="32"/>
          <w:lang w:val="en-US" w:eastAsia="zh-CN" w:bidi="ar-SA"/>
        </w:rPr>
        <w:t>美丽乡村建设和人居环境整治进度</w:t>
      </w:r>
      <w:r>
        <w:rPr>
          <w:rFonts w:hint="eastAsia" w:ascii="仿宋" w:hAnsi="仿宋" w:eastAsia="仿宋" w:cs="仿宋"/>
          <w:color w:val="auto"/>
          <w:kern w:val="2"/>
          <w:sz w:val="32"/>
          <w:szCs w:val="32"/>
          <w:lang w:val="en-US" w:eastAsia="zh-CN" w:bidi="ar-SA"/>
        </w:rPr>
        <w:t>，预计项目区受益群众满意度可达到90%以上，受益脱贫和监测人口满意度可达到95%以上。</w:t>
      </w:r>
    </w:p>
    <w:p w14:paraId="0D6F7144">
      <w:pPr>
        <w:pStyle w:val="11"/>
        <w:keepNext w:val="0"/>
        <w:keepLines w:val="0"/>
        <w:pageBreakBefore w:val="0"/>
        <w:widowControl w:val="0"/>
        <w:kinsoku/>
        <w:wordWrap/>
        <w:overflowPunct/>
        <w:topLinePunct w:val="0"/>
        <w:autoSpaceDN/>
        <w:bidi w:val="0"/>
        <w:adjustRightInd/>
        <w:snapToGrid/>
        <w:spacing w:line="560" w:lineRule="exact"/>
        <w:ind w:firstLine="640" w:firstLineChars="20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八、风险防范机制</w:t>
      </w:r>
    </w:p>
    <w:p w14:paraId="0BA17953">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（一）主要风险因素：</w:t>
      </w:r>
    </w:p>
    <w:p w14:paraId="3D2E4AAE">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1、太阳能路灯质量风险：</w:t>
      </w:r>
      <w:r>
        <w:rPr>
          <w:rFonts w:hint="eastAsia" w:ascii="仿宋" w:hAnsi="仿宋" w:eastAsia="仿宋" w:cs="仿宋"/>
          <w:b w:val="0"/>
          <w:bCs/>
          <w:color w:val="auto"/>
          <w:kern w:val="2"/>
          <w:sz w:val="32"/>
          <w:szCs w:val="32"/>
          <w:lang w:val="en-US" w:eastAsia="zh-CN" w:bidi="ar-SA"/>
        </w:rPr>
        <w:t>采购的路灯应严格把控验收质量，以防质量不合格，造成资金浪费。</w:t>
      </w:r>
    </w:p>
    <w:p w14:paraId="7D369CA5">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2、市场价格风险：</w:t>
      </w:r>
      <w:r>
        <w:rPr>
          <w:rFonts w:hint="eastAsia" w:ascii="仿宋" w:hAnsi="仿宋" w:eastAsia="仿宋" w:cs="仿宋"/>
          <w:b w:val="0"/>
          <w:bCs/>
          <w:color w:val="auto"/>
          <w:kern w:val="2"/>
          <w:sz w:val="32"/>
          <w:szCs w:val="32"/>
          <w:lang w:val="en-US" w:eastAsia="zh-CN" w:bidi="ar-SA"/>
        </w:rPr>
        <w:t>实际采购路灯时，可能存在市场价格变动风险，导致实际价格与预算不符。</w:t>
      </w:r>
    </w:p>
    <w:p w14:paraId="332E5364">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3、后期管护风险：</w:t>
      </w:r>
      <w:r>
        <w:rPr>
          <w:rFonts w:hint="eastAsia" w:ascii="仿宋" w:hAnsi="仿宋" w:eastAsia="仿宋" w:cs="仿宋"/>
          <w:b w:val="0"/>
          <w:bCs/>
          <w:color w:val="auto"/>
          <w:kern w:val="2"/>
          <w:sz w:val="32"/>
          <w:szCs w:val="32"/>
          <w:lang w:val="en-US" w:eastAsia="zh-CN" w:bidi="ar-SA"/>
        </w:rPr>
        <w:t>如果不制定有效的后期管理制度和维修保养规定，可能导致路灯损坏的可能性，减少正常使用寿命。</w:t>
      </w:r>
    </w:p>
    <w:p w14:paraId="2F17C363">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（二）防范化解措施：</w:t>
      </w:r>
    </w:p>
    <w:p w14:paraId="66304405">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1、严格按照要求采取政府采购，对厂家资质进行仔细核对，购买正规路灯和相关保险。</w:t>
      </w:r>
    </w:p>
    <w:p w14:paraId="7E4A9F58">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2、对市场进行调研，通过询价、招标等方式选择质量合格，服务有保障的采购方，降低采购成本，确保项目产品质量和服务质量。</w:t>
      </w:r>
    </w:p>
    <w:p w14:paraId="5E9C4431">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color w:val="auto"/>
          <w:kern w:val="2"/>
          <w:sz w:val="32"/>
          <w:szCs w:val="32"/>
          <w:lang w:val="en-US" w:eastAsia="zh-CN" w:bidi="ar-SA"/>
        </w:rPr>
        <w:sectPr>
          <w:pgSz w:w="11906" w:h="16838"/>
          <w:pgMar w:top="1440" w:right="1797" w:bottom="1440" w:left="1797" w:header="851" w:footer="992" w:gutter="0"/>
          <w:cols w:space="720" w:num="1"/>
          <w:docGrid w:linePitch="286" w:charSpace="0"/>
        </w:sectPr>
      </w:pPr>
      <w:r>
        <w:rPr>
          <w:rFonts w:hint="eastAsia" w:ascii="仿宋" w:hAnsi="仿宋" w:eastAsia="仿宋" w:cs="仿宋"/>
          <w:color w:val="auto"/>
          <w:kern w:val="2"/>
          <w:sz w:val="32"/>
          <w:szCs w:val="32"/>
          <w:lang w:val="en-US" w:eastAsia="zh-CN" w:bidi="ar-SA"/>
        </w:rPr>
        <w:t>3、制定项目后期管理制度，签订项目管护协议书，安排专人定期对路灯进行安全检验及时进</w:t>
      </w:r>
      <w:bookmarkStart w:id="0" w:name="_GoBack"/>
      <w:bookmarkEnd w:id="0"/>
      <w:r>
        <w:rPr>
          <w:rFonts w:hint="eastAsia" w:ascii="仿宋" w:hAnsi="仿宋" w:eastAsia="仿宋" w:cs="仿宋"/>
          <w:color w:val="auto"/>
          <w:kern w:val="2"/>
          <w:sz w:val="32"/>
          <w:szCs w:val="32"/>
          <w:lang w:val="en-US" w:eastAsia="zh-CN" w:bidi="ar-SA"/>
        </w:rPr>
        <w:t>行维修。</w:t>
      </w:r>
    </w:p>
    <w:p w14:paraId="5D4762D9">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Calibri" w:eastAsia="仿宋_GB2312" w:cs="Times New Roman"/>
          <w:kern w:val="2"/>
          <w:sz w:val="32"/>
          <w:szCs w:val="32"/>
          <w:highlight w:val="none"/>
          <w:lang w:val="en-US" w:eastAsia="zh-CN" w:bidi="ar-SA"/>
        </w:rPr>
      </w:pPr>
    </w:p>
    <w:sectPr>
      <w:pgSz w:w="11906" w:h="16838"/>
      <w:pgMar w:top="1440" w:right="1797" w:bottom="1440" w:left="1797"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55388D-95BF-44FC-8ED6-C9484910088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84E92BC-47E5-492F-AE35-9C7666F0173E}"/>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embedRegular r:id="rId3" w:fontKey="{A82788CF-9D39-4654-B3AD-F57801711F27}"/>
  </w:font>
  <w:font w:name="HYb2gj">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embedRegular r:id="rId4" w:fontKey="{D229551B-C790-42A1-B80E-6F404DFCA991}"/>
  </w:font>
  <w:font w:name="方正小标宋简体">
    <w:panose1 w:val="02000000000000000000"/>
    <w:charset w:val="86"/>
    <w:family w:val="auto"/>
    <w:pitch w:val="default"/>
    <w:sig w:usb0="A00002BF" w:usb1="184F6CFA" w:usb2="00000012" w:usb3="00000000" w:csb0="00040001" w:csb1="00000000"/>
    <w:embedRegular r:id="rId5" w:fontKey="{81031249-6B41-4F20-B1C4-6B472AB351D8}"/>
  </w:font>
  <w:font w:name="仿宋">
    <w:panose1 w:val="02010609060101010101"/>
    <w:charset w:val="86"/>
    <w:family w:val="auto"/>
    <w:pitch w:val="default"/>
    <w:sig w:usb0="800002BF" w:usb1="38CF7CFA" w:usb2="00000016" w:usb3="00000000" w:csb0="00040001" w:csb1="00000000"/>
    <w:embedRegular r:id="rId6" w:fontKey="{3FF805C2-5EB7-4BF9-ADF5-3E707B21D9DD}"/>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EDF1DE"/>
    <w:multiLevelType w:val="singleLevel"/>
    <w:tmpl w:val="A1EDF1DE"/>
    <w:lvl w:ilvl="0" w:tentative="0">
      <w:start w:val="1"/>
      <w:numFmt w:val="chineseCounting"/>
      <w:suff w:val="nothing"/>
      <w:lvlText w:val="%1、"/>
      <w:lvlJc w:val="left"/>
      <w:rPr>
        <w:rFonts w:hint="eastAsia"/>
      </w:rPr>
    </w:lvl>
  </w:abstractNum>
  <w:abstractNum w:abstractNumId="1">
    <w:nsid w:val="4228ADC6"/>
    <w:multiLevelType w:val="singleLevel"/>
    <w:tmpl w:val="4228ADC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wZjU3YTM0YTNlZWFjZjI4MDk1Njk0OGU3MGEyZGEifQ=="/>
  </w:docVars>
  <w:rsids>
    <w:rsidRoot w:val="00000000"/>
    <w:rsid w:val="00B22ED5"/>
    <w:rsid w:val="01195F81"/>
    <w:rsid w:val="01D053DA"/>
    <w:rsid w:val="01DD3C4D"/>
    <w:rsid w:val="03A21358"/>
    <w:rsid w:val="03ED09EF"/>
    <w:rsid w:val="03F9417D"/>
    <w:rsid w:val="041A73AF"/>
    <w:rsid w:val="04423F69"/>
    <w:rsid w:val="04AE7E13"/>
    <w:rsid w:val="0578335C"/>
    <w:rsid w:val="05880DB3"/>
    <w:rsid w:val="05B2252C"/>
    <w:rsid w:val="05E13878"/>
    <w:rsid w:val="067F52D3"/>
    <w:rsid w:val="069A035E"/>
    <w:rsid w:val="07C028FD"/>
    <w:rsid w:val="07DB54D8"/>
    <w:rsid w:val="08AE6300"/>
    <w:rsid w:val="08DD4532"/>
    <w:rsid w:val="09C917B0"/>
    <w:rsid w:val="0AD168FE"/>
    <w:rsid w:val="0AFF6E07"/>
    <w:rsid w:val="0B3C1297"/>
    <w:rsid w:val="0BF40511"/>
    <w:rsid w:val="0C0E6F38"/>
    <w:rsid w:val="0C396B92"/>
    <w:rsid w:val="0CF34325"/>
    <w:rsid w:val="0DFE55E7"/>
    <w:rsid w:val="0F84472A"/>
    <w:rsid w:val="10565398"/>
    <w:rsid w:val="12526315"/>
    <w:rsid w:val="13A272CC"/>
    <w:rsid w:val="13E84727"/>
    <w:rsid w:val="14EB19FB"/>
    <w:rsid w:val="15270331"/>
    <w:rsid w:val="161533B2"/>
    <w:rsid w:val="16C531D6"/>
    <w:rsid w:val="1767603B"/>
    <w:rsid w:val="17BD20FF"/>
    <w:rsid w:val="18981A67"/>
    <w:rsid w:val="19FF643B"/>
    <w:rsid w:val="1D1A7054"/>
    <w:rsid w:val="1D2B50F0"/>
    <w:rsid w:val="1DB00C45"/>
    <w:rsid w:val="1DE657E0"/>
    <w:rsid w:val="1E4213C8"/>
    <w:rsid w:val="1EB370DF"/>
    <w:rsid w:val="1EC11908"/>
    <w:rsid w:val="1EE35706"/>
    <w:rsid w:val="202645B9"/>
    <w:rsid w:val="20F052F3"/>
    <w:rsid w:val="21C51683"/>
    <w:rsid w:val="22E34409"/>
    <w:rsid w:val="250956C3"/>
    <w:rsid w:val="251F256B"/>
    <w:rsid w:val="25207829"/>
    <w:rsid w:val="25AF4EDF"/>
    <w:rsid w:val="25B508B9"/>
    <w:rsid w:val="26455605"/>
    <w:rsid w:val="26D71145"/>
    <w:rsid w:val="27331E61"/>
    <w:rsid w:val="273B094A"/>
    <w:rsid w:val="288451BE"/>
    <w:rsid w:val="288D35D5"/>
    <w:rsid w:val="2A300F40"/>
    <w:rsid w:val="2A334260"/>
    <w:rsid w:val="2A5D6A1E"/>
    <w:rsid w:val="2AF447CF"/>
    <w:rsid w:val="2B731902"/>
    <w:rsid w:val="2B735DE8"/>
    <w:rsid w:val="2BBE606A"/>
    <w:rsid w:val="2BCF1FA9"/>
    <w:rsid w:val="2D5138EA"/>
    <w:rsid w:val="2D850B71"/>
    <w:rsid w:val="2DA60E56"/>
    <w:rsid w:val="2F754330"/>
    <w:rsid w:val="30186D9C"/>
    <w:rsid w:val="30403A98"/>
    <w:rsid w:val="31A67308"/>
    <w:rsid w:val="31DE5041"/>
    <w:rsid w:val="32672F3B"/>
    <w:rsid w:val="32C87C2C"/>
    <w:rsid w:val="33430AA7"/>
    <w:rsid w:val="362D5D28"/>
    <w:rsid w:val="36F8344F"/>
    <w:rsid w:val="37233DAF"/>
    <w:rsid w:val="39B8407C"/>
    <w:rsid w:val="3AA27206"/>
    <w:rsid w:val="3B44392A"/>
    <w:rsid w:val="3B960AD7"/>
    <w:rsid w:val="3C2B1578"/>
    <w:rsid w:val="3E096165"/>
    <w:rsid w:val="3E6344D9"/>
    <w:rsid w:val="3F007C46"/>
    <w:rsid w:val="412D2014"/>
    <w:rsid w:val="419D4283"/>
    <w:rsid w:val="41B96BE3"/>
    <w:rsid w:val="41C15A00"/>
    <w:rsid w:val="43036368"/>
    <w:rsid w:val="43121CF4"/>
    <w:rsid w:val="44686F7B"/>
    <w:rsid w:val="44952552"/>
    <w:rsid w:val="44A147AB"/>
    <w:rsid w:val="44D04970"/>
    <w:rsid w:val="450847D3"/>
    <w:rsid w:val="45EA1589"/>
    <w:rsid w:val="45F27D9D"/>
    <w:rsid w:val="462D21BE"/>
    <w:rsid w:val="467C5658"/>
    <w:rsid w:val="46D73EC6"/>
    <w:rsid w:val="485951B1"/>
    <w:rsid w:val="485F7552"/>
    <w:rsid w:val="48A37E10"/>
    <w:rsid w:val="493A7381"/>
    <w:rsid w:val="4AE702D9"/>
    <w:rsid w:val="4AF2226F"/>
    <w:rsid w:val="4B123320"/>
    <w:rsid w:val="4BA44460"/>
    <w:rsid w:val="4BB9659A"/>
    <w:rsid w:val="4BBF7CC6"/>
    <w:rsid w:val="4D83644E"/>
    <w:rsid w:val="4D8E7176"/>
    <w:rsid w:val="4D950505"/>
    <w:rsid w:val="4DDD38D5"/>
    <w:rsid w:val="4F195165"/>
    <w:rsid w:val="4F220939"/>
    <w:rsid w:val="4F2710C4"/>
    <w:rsid w:val="4FD23C92"/>
    <w:rsid w:val="4FDE7BCF"/>
    <w:rsid w:val="50260316"/>
    <w:rsid w:val="505E72D4"/>
    <w:rsid w:val="50A218B6"/>
    <w:rsid w:val="51631F50"/>
    <w:rsid w:val="52286598"/>
    <w:rsid w:val="52EA11CD"/>
    <w:rsid w:val="533B1B4E"/>
    <w:rsid w:val="53A3294B"/>
    <w:rsid w:val="545C71E1"/>
    <w:rsid w:val="54974982"/>
    <w:rsid w:val="54FC530D"/>
    <w:rsid w:val="551A003B"/>
    <w:rsid w:val="55564A1D"/>
    <w:rsid w:val="56FB1D20"/>
    <w:rsid w:val="57062473"/>
    <w:rsid w:val="57D94D6C"/>
    <w:rsid w:val="581110D0"/>
    <w:rsid w:val="58CC56D3"/>
    <w:rsid w:val="58D1792B"/>
    <w:rsid w:val="59030C3A"/>
    <w:rsid w:val="5A43294D"/>
    <w:rsid w:val="5A7415A7"/>
    <w:rsid w:val="5B6A2936"/>
    <w:rsid w:val="5B73139C"/>
    <w:rsid w:val="5BA3015F"/>
    <w:rsid w:val="5C4E1DF2"/>
    <w:rsid w:val="5D3215A6"/>
    <w:rsid w:val="5D9B58D7"/>
    <w:rsid w:val="5DEC2690"/>
    <w:rsid w:val="5F3C40C2"/>
    <w:rsid w:val="5F6A02D3"/>
    <w:rsid w:val="5FC058B5"/>
    <w:rsid w:val="62097391"/>
    <w:rsid w:val="620D6DAC"/>
    <w:rsid w:val="62297B44"/>
    <w:rsid w:val="636D3784"/>
    <w:rsid w:val="63A30FDC"/>
    <w:rsid w:val="63FF625C"/>
    <w:rsid w:val="644D1B38"/>
    <w:rsid w:val="65014307"/>
    <w:rsid w:val="65A11CE5"/>
    <w:rsid w:val="65A166C8"/>
    <w:rsid w:val="65A5632D"/>
    <w:rsid w:val="660B6097"/>
    <w:rsid w:val="660F20DE"/>
    <w:rsid w:val="66486604"/>
    <w:rsid w:val="67076932"/>
    <w:rsid w:val="673E10ED"/>
    <w:rsid w:val="681503E6"/>
    <w:rsid w:val="69C2047C"/>
    <w:rsid w:val="69F055C0"/>
    <w:rsid w:val="6A661B3D"/>
    <w:rsid w:val="6A853C4A"/>
    <w:rsid w:val="6A8E24FE"/>
    <w:rsid w:val="6B2D7B77"/>
    <w:rsid w:val="6D9C1B91"/>
    <w:rsid w:val="6DF901E4"/>
    <w:rsid w:val="6E0E3C8F"/>
    <w:rsid w:val="6F0912E7"/>
    <w:rsid w:val="6FAF761B"/>
    <w:rsid w:val="700F114A"/>
    <w:rsid w:val="705D449D"/>
    <w:rsid w:val="70645DE9"/>
    <w:rsid w:val="70E525D9"/>
    <w:rsid w:val="711B7254"/>
    <w:rsid w:val="720768B6"/>
    <w:rsid w:val="72684599"/>
    <w:rsid w:val="72691DDC"/>
    <w:rsid w:val="73131732"/>
    <w:rsid w:val="73D5735E"/>
    <w:rsid w:val="74841862"/>
    <w:rsid w:val="75315CE9"/>
    <w:rsid w:val="75752F8D"/>
    <w:rsid w:val="75847230"/>
    <w:rsid w:val="767E1B72"/>
    <w:rsid w:val="76C557EF"/>
    <w:rsid w:val="76EE5DAF"/>
    <w:rsid w:val="77860D3A"/>
    <w:rsid w:val="7839241C"/>
    <w:rsid w:val="796C3F60"/>
    <w:rsid w:val="79876E10"/>
    <w:rsid w:val="7A131F51"/>
    <w:rsid w:val="7A8D4131"/>
    <w:rsid w:val="7AFD7566"/>
    <w:rsid w:val="7B893F59"/>
    <w:rsid w:val="7B8D6D92"/>
    <w:rsid w:val="7D2F717C"/>
    <w:rsid w:val="7E284F6A"/>
    <w:rsid w:val="7E633B84"/>
    <w:rsid w:val="7E8448A3"/>
    <w:rsid w:val="7EAA3560"/>
    <w:rsid w:val="7ED061DE"/>
    <w:rsid w:val="7EE7797D"/>
    <w:rsid w:val="7FEA1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3">
    <w:name w:val="heading 3"/>
    <w:basedOn w:val="1"/>
    <w:next w:val="1"/>
    <w:qFormat/>
    <w:uiPriority w:val="99"/>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styleId="4">
    <w:name w:val="Body Text Indent"/>
    <w:basedOn w:val="1"/>
    <w:qFormat/>
    <w:uiPriority w:val="99"/>
    <w:pPr>
      <w:spacing w:after="120"/>
      <w:ind w:left="420" w:leftChars="200"/>
    </w:pPr>
  </w:style>
  <w:style w:type="paragraph" w:styleId="5">
    <w:name w:val="Normal (Web)"/>
    <w:basedOn w:val="1"/>
    <w:qFormat/>
    <w:uiPriority w:val="0"/>
    <w:rPr>
      <w:sz w:val="24"/>
    </w:rPr>
  </w:style>
  <w:style w:type="paragraph" w:styleId="6">
    <w:name w:val="Title"/>
    <w:basedOn w:val="1"/>
    <w:next w:val="1"/>
    <w:qFormat/>
    <w:uiPriority w:val="0"/>
    <w:pPr>
      <w:spacing w:before="240" w:after="60"/>
      <w:jc w:val="center"/>
      <w:outlineLvl w:val="0"/>
    </w:pPr>
    <w:rPr>
      <w:rFonts w:ascii="Arial" w:hAnsi="Arial" w:cs="Arial"/>
      <w:b/>
      <w:bCs/>
      <w:sz w:val="32"/>
      <w:szCs w:val="32"/>
    </w:rPr>
  </w:style>
  <w:style w:type="paragraph" w:styleId="7">
    <w:name w:val="Body Text First Indent 2"/>
    <w:basedOn w:val="4"/>
    <w:qFormat/>
    <w:uiPriority w:val="99"/>
    <w:pPr>
      <w:ind w:firstLine="420" w:firstLineChars="200"/>
    </w:pPr>
  </w:style>
  <w:style w:type="paragraph" w:customStyle="1" w:styleId="10">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1">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4100</Words>
  <Characters>4480</Characters>
  <Lines>0</Lines>
  <Paragraphs>0</Paragraphs>
  <TotalTime>0</TotalTime>
  <ScaleCrop>false</ScaleCrop>
  <LinksUpToDate>false</LinksUpToDate>
  <CharactersWithSpaces>4586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2020-09-08T08:57:00Z</dcterms:created>
  <dc:creator>Administrator</dc:creator>
  <cp:lastModifiedBy>Administrator</cp:lastModifiedBy>
  <cp:lastPrinted>2021-10-31T03:31:00Z</cp:lastPrinted>
  <dcterms:modified xsi:type="dcterms:W3CDTF">2025-07-03T01:53:18Z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FECCD7BF38F34AACB3ED69FC8273A6D4_13</vt:lpwstr>
  </property>
  <property fmtid="{D5CDD505-2E9C-101B-9397-08002B2CF9AE}" pid="4" name="KSOTemplateDocerSaveRecord">
    <vt:lpwstr>eyJoZGlkIjoiMGViYjFjMmIwMDJjMWYwZTEyYTM2YTY5OTY1ZThiNWIiLCJ1c2VySWQiOiI0MDgzNTQxMjQifQ==</vt:lpwstr>
  </property>
</Properties>
</file>