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5CAFA">
      <w:pPr>
        <w:jc w:val="center"/>
        <w:rPr>
          <w:rFonts w:ascii="华文中宋" w:hAnsi="华文中宋" w:eastAsia="华文中宋" w:cs="方正小标宋简体"/>
          <w:b/>
          <w:sz w:val="52"/>
          <w:szCs w:val="52"/>
          <w:lang w:bidi="ar"/>
        </w:rPr>
      </w:pPr>
    </w:p>
    <w:p w14:paraId="5CDB8480">
      <w:pPr>
        <w:jc w:val="center"/>
        <w:rPr>
          <w:rFonts w:ascii="华文中宋" w:hAnsi="华文中宋" w:eastAsia="华文中宋" w:cs="方正小标宋简体"/>
          <w:b/>
          <w:sz w:val="52"/>
          <w:szCs w:val="52"/>
          <w:lang w:bidi="ar"/>
        </w:rPr>
      </w:pPr>
    </w:p>
    <w:p w14:paraId="09AB96C8">
      <w:pPr>
        <w:spacing w:line="660" w:lineRule="exact"/>
        <w:jc w:val="center"/>
        <w:rPr>
          <w:rFonts w:hint="eastAsia" w:ascii="黑体" w:hAnsi="黑体" w:eastAsia="黑体" w:cs="黑体"/>
        </w:rPr>
      </w:pPr>
      <w:r>
        <w:rPr>
          <w:rFonts w:hint="eastAsia" w:ascii="黑体" w:hAnsi="黑体" w:eastAsia="黑体" w:cs="黑体"/>
          <w:b w:val="0"/>
          <w:bCs/>
          <w:sz w:val="52"/>
          <w:szCs w:val="52"/>
          <w:lang w:bidi="ar"/>
        </w:rPr>
        <w:t>郭勒布依乡喀拉布拉克村公共照明项目实施方案</w:t>
      </w:r>
    </w:p>
    <w:p w14:paraId="3E63E8D6">
      <w:pPr>
        <w:spacing w:line="500" w:lineRule="exact"/>
      </w:pPr>
    </w:p>
    <w:p w14:paraId="1E854D69">
      <w:pPr>
        <w:pStyle w:val="7"/>
        <w:autoSpaceDE w:val="0"/>
        <w:autoSpaceDN w:val="0"/>
        <w:adjustRightInd w:val="0"/>
        <w:spacing w:line="500" w:lineRule="exact"/>
        <w:jc w:val="left"/>
      </w:pPr>
    </w:p>
    <w:p w14:paraId="6DF38615">
      <w:pPr>
        <w:spacing w:line="500" w:lineRule="exact"/>
      </w:pPr>
    </w:p>
    <w:p w14:paraId="74DA1F79">
      <w:pPr>
        <w:pStyle w:val="7"/>
        <w:autoSpaceDE w:val="0"/>
        <w:autoSpaceDN w:val="0"/>
        <w:adjustRightInd w:val="0"/>
        <w:spacing w:line="500" w:lineRule="exact"/>
        <w:jc w:val="left"/>
      </w:pPr>
    </w:p>
    <w:p w14:paraId="75487B49">
      <w:pPr>
        <w:pStyle w:val="7"/>
        <w:autoSpaceDE w:val="0"/>
        <w:autoSpaceDN w:val="0"/>
        <w:adjustRightInd w:val="0"/>
        <w:spacing w:line="500" w:lineRule="exact"/>
        <w:jc w:val="left"/>
      </w:pPr>
    </w:p>
    <w:p w14:paraId="2E483B49">
      <w:pPr>
        <w:pStyle w:val="7"/>
        <w:autoSpaceDE w:val="0"/>
        <w:autoSpaceDN w:val="0"/>
        <w:adjustRightInd w:val="0"/>
        <w:spacing w:line="500" w:lineRule="exact"/>
        <w:jc w:val="left"/>
      </w:pPr>
    </w:p>
    <w:p w14:paraId="4250DFDC">
      <w:pPr>
        <w:pStyle w:val="7"/>
        <w:autoSpaceDE w:val="0"/>
        <w:autoSpaceDN w:val="0"/>
        <w:adjustRightInd w:val="0"/>
        <w:spacing w:line="500" w:lineRule="exact"/>
        <w:jc w:val="left"/>
      </w:pPr>
    </w:p>
    <w:p w14:paraId="0047ED68">
      <w:pPr>
        <w:pStyle w:val="7"/>
        <w:autoSpaceDE w:val="0"/>
        <w:autoSpaceDN w:val="0"/>
        <w:adjustRightInd w:val="0"/>
        <w:spacing w:line="500" w:lineRule="exact"/>
        <w:jc w:val="left"/>
      </w:pPr>
    </w:p>
    <w:p w14:paraId="191D0B29">
      <w:pPr>
        <w:pStyle w:val="7"/>
        <w:autoSpaceDE w:val="0"/>
        <w:autoSpaceDN w:val="0"/>
        <w:adjustRightInd w:val="0"/>
        <w:spacing w:line="500" w:lineRule="exact"/>
        <w:jc w:val="left"/>
      </w:pPr>
    </w:p>
    <w:p w14:paraId="75B51F4B">
      <w:pPr>
        <w:pStyle w:val="7"/>
        <w:autoSpaceDE w:val="0"/>
        <w:autoSpaceDN w:val="0"/>
        <w:adjustRightInd w:val="0"/>
        <w:spacing w:line="500" w:lineRule="exact"/>
        <w:jc w:val="left"/>
      </w:pPr>
    </w:p>
    <w:p w14:paraId="0C10227D">
      <w:pPr>
        <w:pStyle w:val="7"/>
        <w:autoSpaceDE w:val="0"/>
        <w:autoSpaceDN w:val="0"/>
        <w:adjustRightInd w:val="0"/>
        <w:spacing w:line="500" w:lineRule="exact"/>
        <w:jc w:val="left"/>
      </w:pPr>
    </w:p>
    <w:p w14:paraId="386B47F5">
      <w:pPr>
        <w:keepLines w:val="0"/>
        <w:pageBreakBefore w:val="0"/>
        <w:widowControl w:val="0"/>
        <w:kinsoku/>
        <w:wordWrap/>
        <w:overflowPunct/>
        <w:topLinePunct w:val="0"/>
        <w:bidi w:val="0"/>
        <w:snapToGrid/>
        <w:spacing w:line="360" w:lineRule="auto"/>
        <w:ind w:firstLine="321" w:firstLineChars="100"/>
        <w:textAlignment w:val="auto"/>
        <w:rPr>
          <w:rFonts w:hint="eastAsia" w:ascii="仿宋_GB2312" w:hAnsi="仿宋_GB2312" w:eastAsia="仿宋_GB2312" w:cs="仿宋_GB2312"/>
          <w:b/>
          <w:bCs/>
          <w:sz w:val="32"/>
          <w:szCs w:val="32"/>
          <w:lang w:bidi="ar"/>
        </w:rPr>
      </w:pPr>
    </w:p>
    <w:p w14:paraId="57B2A8C3">
      <w:pPr>
        <w:keepLines w:val="0"/>
        <w:pageBreakBefore w:val="0"/>
        <w:widowControl w:val="0"/>
        <w:kinsoku/>
        <w:wordWrap/>
        <w:overflowPunct/>
        <w:topLinePunct w:val="0"/>
        <w:bidi w:val="0"/>
        <w:snapToGrid/>
        <w:spacing w:line="360" w:lineRule="auto"/>
        <w:ind w:firstLine="321" w:firstLineChars="100"/>
        <w:textAlignment w:val="auto"/>
        <w:rPr>
          <w:rFonts w:hint="eastAsia" w:ascii="仿宋_GB2312" w:hAnsi="仿宋_GB2312" w:eastAsia="仿宋_GB2312" w:cs="仿宋_GB2312"/>
          <w:b/>
          <w:bCs/>
          <w:sz w:val="32"/>
          <w:szCs w:val="32"/>
          <w:lang w:eastAsia="zh-CN" w:bidi="ar"/>
        </w:rPr>
      </w:pPr>
      <w:r>
        <w:rPr>
          <w:rFonts w:hint="eastAsia" w:ascii="仿宋_GB2312" w:hAnsi="仿宋_GB2312" w:eastAsia="仿宋_GB2312" w:cs="仿宋_GB2312"/>
          <w:b/>
          <w:bCs/>
          <w:sz w:val="32"/>
          <w:szCs w:val="32"/>
          <w:lang w:bidi="ar"/>
        </w:rPr>
        <w:t>项 目 名 称：</w:t>
      </w:r>
      <w:r>
        <w:rPr>
          <w:rFonts w:hint="eastAsia" w:ascii="仿宋_GB2312" w:hAnsi="仿宋_GB2312" w:eastAsia="仿宋_GB2312" w:cs="仿宋_GB2312"/>
          <w:b/>
          <w:bCs/>
          <w:sz w:val="32"/>
          <w:szCs w:val="32"/>
          <w:lang w:eastAsia="zh-CN" w:bidi="ar"/>
        </w:rPr>
        <w:t>郭勒布依乡喀拉布拉克村公共照明项目</w:t>
      </w:r>
    </w:p>
    <w:p w14:paraId="0763203F">
      <w:pPr>
        <w:keepLines w:val="0"/>
        <w:pageBreakBefore w:val="0"/>
        <w:widowControl w:val="0"/>
        <w:kinsoku/>
        <w:wordWrap/>
        <w:overflowPunct/>
        <w:topLinePunct w:val="0"/>
        <w:bidi w:val="0"/>
        <w:snapToGrid/>
        <w:spacing w:line="360" w:lineRule="auto"/>
        <w:ind w:firstLine="321" w:firstLineChars="100"/>
        <w:textAlignment w:val="auto"/>
        <w:rPr>
          <w:rFonts w:hint="default" w:ascii="仿宋_GB2312" w:hAnsi="仿宋_GB2312" w:eastAsia="仿宋_GB2312" w:cs="仿宋_GB2312"/>
          <w:b/>
          <w:bCs/>
          <w:sz w:val="32"/>
          <w:szCs w:val="32"/>
          <w:lang w:val="en-US" w:eastAsia="zh-CN" w:bidi="ar"/>
        </w:rPr>
      </w:pPr>
      <w:r>
        <w:rPr>
          <w:rFonts w:hint="eastAsia" w:ascii="仿宋_GB2312" w:hAnsi="仿宋_GB2312" w:eastAsia="仿宋_GB2312" w:cs="仿宋_GB2312"/>
          <w:b/>
          <w:bCs/>
          <w:sz w:val="32"/>
          <w:szCs w:val="32"/>
          <w:lang w:bidi="ar"/>
        </w:rPr>
        <w:t>项目主管单位</w:t>
      </w:r>
      <w:r>
        <w:rPr>
          <w:rFonts w:hint="eastAsia" w:ascii="仿宋_GB2312" w:hAnsi="仿宋_GB2312" w:eastAsia="仿宋_GB2312" w:cs="仿宋_GB2312"/>
          <w:b/>
          <w:bCs/>
          <w:sz w:val="32"/>
          <w:szCs w:val="32"/>
          <w:lang w:eastAsia="zh-CN" w:bidi="ar"/>
        </w:rPr>
        <w:t>：</w:t>
      </w:r>
      <w:r>
        <w:rPr>
          <w:rFonts w:hint="eastAsia" w:ascii="仿宋_GB2312" w:hAnsi="仿宋_GB2312" w:eastAsia="仿宋_GB2312" w:cs="仿宋_GB2312"/>
          <w:b/>
          <w:bCs/>
          <w:sz w:val="32"/>
          <w:szCs w:val="32"/>
          <w:lang w:val="en-US" w:eastAsia="zh-CN" w:bidi="ar"/>
        </w:rPr>
        <w:t>托克逊县委统战部（民宗局）</w:t>
      </w:r>
    </w:p>
    <w:p w14:paraId="200FEA02">
      <w:pPr>
        <w:keepLines w:val="0"/>
        <w:pageBreakBefore w:val="0"/>
        <w:widowControl w:val="0"/>
        <w:kinsoku/>
        <w:wordWrap/>
        <w:overflowPunct/>
        <w:topLinePunct w:val="0"/>
        <w:bidi w:val="0"/>
        <w:snapToGrid/>
        <w:spacing w:line="360" w:lineRule="auto"/>
        <w:ind w:firstLine="321" w:firstLineChars="100"/>
        <w:textAlignment w:val="auto"/>
        <w:rPr>
          <w:rFonts w:hint="eastAsia" w:ascii="仿宋_GB2312" w:hAnsi="仿宋_GB2312" w:eastAsia="仿宋_GB2312" w:cs="仿宋_GB2312"/>
          <w:b/>
          <w:bCs/>
          <w:sz w:val="32"/>
          <w:szCs w:val="32"/>
          <w:lang w:bidi="ar"/>
        </w:rPr>
      </w:pPr>
      <w:r>
        <w:rPr>
          <w:rFonts w:hint="eastAsia" w:ascii="仿宋_GB2312" w:hAnsi="仿宋_GB2312" w:eastAsia="仿宋_GB2312" w:cs="仿宋_GB2312"/>
          <w:b/>
          <w:bCs/>
          <w:sz w:val="32"/>
          <w:szCs w:val="32"/>
          <w:lang w:eastAsia="zh-CN" w:bidi="ar"/>
        </w:rPr>
        <w:t>项目实施单位：</w:t>
      </w:r>
      <w:r>
        <w:rPr>
          <w:rFonts w:hint="eastAsia" w:ascii="仿宋_GB2312" w:hAnsi="仿宋_GB2312" w:eastAsia="仿宋_GB2312" w:cs="仿宋_GB2312"/>
          <w:b/>
          <w:bCs/>
          <w:sz w:val="32"/>
          <w:szCs w:val="32"/>
          <w:lang w:val="en-US" w:eastAsia="zh-CN" w:bidi="ar"/>
        </w:rPr>
        <w:t>托克逊县</w:t>
      </w:r>
      <w:r>
        <w:rPr>
          <w:rFonts w:hint="eastAsia" w:ascii="仿宋_GB2312" w:hAnsi="仿宋_GB2312" w:eastAsia="仿宋_GB2312" w:cs="仿宋_GB2312"/>
          <w:b/>
          <w:bCs/>
          <w:sz w:val="32"/>
          <w:szCs w:val="32"/>
          <w:lang w:eastAsia="zh-CN" w:bidi="ar"/>
        </w:rPr>
        <w:t>郭勒布依乡人民政府</w:t>
      </w:r>
    </w:p>
    <w:p w14:paraId="5A9D1BEC">
      <w:pPr>
        <w:keepLines w:val="0"/>
        <w:pageBreakBefore w:val="0"/>
        <w:widowControl w:val="0"/>
        <w:kinsoku/>
        <w:wordWrap/>
        <w:overflowPunct/>
        <w:topLinePunct w:val="0"/>
        <w:bidi w:val="0"/>
        <w:snapToGrid/>
        <w:spacing w:line="360" w:lineRule="auto"/>
        <w:ind w:firstLine="321" w:firstLineChars="100"/>
        <w:textAlignment w:val="auto"/>
        <w:rPr>
          <w:rFonts w:hint="eastAsia" w:ascii="仿宋_GB2312" w:hAnsi="仿宋_GB2312" w:eastAsia="仿宋_GB2312" w:cs="仿宋_GB2312"/>
          <w:b/>
          <w:bCs/>
          <w:sz w:val="32"/>
          <w:szCs w:val="32"/>
          <w:lang w:bidi="ar"/>
        </w:rPr>
      </w:pPr>
      <w:r>
        <w:rPr>
          <w:rFonts w:hint="eastAsia" w:ascii="仿宋_GB2312" w:hAnsi="仿宋_GB2312" w:eastAsia="仿宋_GB2312" w:cs="仿宋_GB2312"/>
          <w:b/>
          <w:bCs/>
          <w:sz w:val="32"/>
          <w:szCs w:val="32"/>
          <w:lang w:val="en-US" w:eastAsia="zh-CN" w:bidi="ar"/>
        </w:rPr>
        <w:t>编 制  时 间：</w:t>
      </w:r>
      <w:r>
        <w:rPr>
          <w:rFonts w:hint="eastAsia" w:ascii="仿宋_GB2312" w:hAnsi="仿宋_GB2312" w:eastAsia="仿宋_GB2312" w:cs="仿宋_GB2312"/>
          <w:b/>
          <w:bCs/>
          <w:sz w:val="32"/>
          <w:szCs w:val="32"/>
          <w:lang w:bidi="ar"/>
        </w:rPr>
        <w:t>20</w:t>
      </w:r>
      <w:r>
        <w:rPr>
          <w:rFonts w:hint="eastAsia" w:ascii="仿宋_GB2312" w:hAnsi="仿宋_GB2312" w:eastAsia="仿宋_GB2312" w:cs="仿宋_GB2312"/>
          <w:b/>
          <w:bCs/>
          <w:sz w:val="32"/>
          <w:szCs w:val="32"/>
          <w:lang w:val="en-US" w:eastAsia="zh-CN" w:bidi="ar"/>
        </w:rPr>
        <w:t>25</w:t>
      </w:r>
      <w:r>
        <w:rPr>
          <w:rFonts w:hint="eastAsia" w:ascii="仿宋_GB2312" w:hAnsi="仿宋_GB2312" w:eastAsia="仿宋_GB2312" w:cs="仿宋_GB2312"/>
          <w:b/>
          <w:bCs/>
          <w:sz w:val="32"/>
          <w:szCs w:val="32"/>
          <w:lang w:bidi="ar"/>
        </w:rPr>
        <w:t>年</w:t>
      </w:r>
      <w:r>
        <w:rPr>
          <w:rFonts w:hint="eastAsia" w:ascii="仿宋_GB2312" w:hAnsi="仿宋_GB2312" w:eastAsia="仿宋_GB2312" w:cs="仿宋_GB2312"/>
          <w:b/>
          <w:bCs/>
          <w:sz w:val="32"/>
          <w:szCs w:val="32"/>
          <w:lang w:val="en-US" w:eastAsia="zh-CN" w:bidi="ar"/>
        </w:rPr>
        <w:t>5</w:t>
      </w:r>
      <w:r>
        <w:rPr>
          <w:rFonts w:hint="eastAsia" w:ascii="仿宋_GB2312" w:hAnsi="仿宋_GB2312" w:eastAsia="仿宋_GB2312" w:cs="仿宋_GB2312"/>
          <w:b/>
          <w:bCs/>
          <w:sz w:val="32"/>
          <w:szCs w:val="32"/>
          <w:lang w:bidi="ar"/>
        </w:rPr>
        <w:t>月</w:t>
      </w:r>
    </w:p>
    <w:p w14:paraId="300DB1A9">
      <w:pPr>
        <w:keepLines w:val="0"/>
        <w:pageBreakBefore w:val="0"/>
        <w:widowControl w:val="0"/>
        <w:kinsoku/>
        <w:wordWrap/>
        <w:overflowPunct/>
        <w:topLinePunct w:val="0"/>
        <w:bidi w:val="0"/>
        <w:snapToGrid/>
        <w:spacing w:line="360" w:lineRule="auto"/>
        <w:ind w:firstLine="321" w:firstLineChars="100"/>
        <w:textAlignment w:val="auto"/>
        <w:rPr>
          <w:rFonts w:hint="eastAsia" w:ascii="仿宋_GB2312" w:hAnsi="仿宋_GB2312" w:eastAsia="仿宋_GB2312" w:cs="仿宋_GB2312"/>
          <w:b/>
          <w:bCs/>
          <w:sz w:val="32"/>
          <w:szCs w:val="32"/>
          <w:lang w:bidi="ar"/>
        </w:rPr>
        <w:sectPr>
          <w:pgSz w:w="11906" w:h="16838"/>
          <w:pgMar w:top="1440" w:right="1797" w:bottom="1440" w:left="1797" w:header="851" w:footer="992" w:gutter="0"/>
          <w:cols w:space="720" w:num="1"/>
          <w:docGrid w:linePitch="286" w:charSpace="0"/>
        </w:sectPr>
      </w:pPr>
    </w:p>
    <w:p w14:paraId="39EE7202">
      <w:pPr>
        <w:spacing w:after="120" w:afterLines="50" w:line="540" w:lineRule="exact"/>
        <w:jc w:val="center"/>
        <w:rPr>
          <w:rFonts w:hint="eastAsia" w:ascii="黑体" w:hAnsi="黑体" w:eastAsia="黑体" w:cs="黑体"/>
          <w:sz w:val="44"/>
          <w:szCs w:val="44"/>
          <w:lang w:eastAsia="zh-CN"/>
        </w:rPr>
      </w:pPr>
      <w:r>
        <w:rPr>
          <w:rFonts w:hint="eastAsia" w:ascii="黑体" w:hAnsi="黑体" w:eastAsia="黑体" w:cs="黑体"/>
          <w:sz w:val="44"/>
          <w:szCs w:val="44"/>
          <w:lang w:eastAsia="zh-CN"/>
        </w:rPr>
        <w:t>郭勒布依乡喀拉布拉克村公共照明项目</w:t>
      </w:r>
    </w:p>
    <w:p w14:paraId="07E801EA">
      <w:pPr>
        <w:spacing w:after="120" w:afterLines="50" w:line="540" w:lineRule="exact"/>
        <w:jc w:val="center"/>
        <w:rPr>
          <w:rFonts w:hint="eastAsia" w:ascii="黑体" w:hAnsi="黑体" w:eastAsia="黑体" w:cs="黑体"/>
          <w:b/>
          <w:bCs/>
          <w:sz w:val="44"/>
          <w:szCs w:val="44"/>
        </w:rPr>
      </w:pPr>
      <w:r>
        <w:rPr>
          <w:rFonts w:hint="eastAsia" w:ascii="黑体" w:hAnsi="黑体" w:eastAsia="黑体" w:cs="黑体"/>
          <w:sz w:val="44"/>
          <w:szCs w:val="44"/>
        </w:rPr>
        <w:t>实施方案</w:t>
      </w:r>
    </w:p>
    <w:p w14:paraId="677E3693">
      <w:pPr>
        <w:pStyle w:val="13"/>
        <w:keepNext w:val="0"/>
        <w:keepLines w:val="0"/>
        <w:pageBreakBefore w:val="0"/>
        <w:widowControl w:val="0"/>
        <w:kinsoku/>
        <w:wordWrap/>
        <w:overflowPunct/>
        <w:topLinePunct w:val="0"/>
        <w:bidi w:val="0"/>
        <w:snapToGrid/>
        <w:spacing w:line="560" w:lineRule="exact"/>
        <w:ind w:firstLine="640" w:firstLineChars="200"/>
        <w:rPr>
          <w:bCs/>
          <w:color w:val="auto"/>
          <w:sz w:val="32"/>
          <w:szCs w:val="32"/>
        </w:rPr>
      </w:pPr>
      <w:r>
        <w:rPr>
          <w:rFonts w:hint="eastAsia" w:ascii="黑体" w:hAnsi="黑体" w:eastAsia="黑体"/>
          <w:bCs/>
          <w:color w:val="auto"/>
          <w:sz w:val="32"/>
          <w:szCs w:val="32"/>
        </w:rPr>
        <w:t>一、项目概况</w:t>
      </w:r>
      <w:r>
        <w:rPr>
          <w:rFonts w:hint="eastAsia"/>
          <w:bCs/>
          <w:color w:val="auto"/>
          <w:sz w:val="32"/>
          <w:szCs w:val="32"/>
        </w:rPr>
        <w:t>：</w:t>
      </w:r>
    </w:p>
    <w:p w14:paraId="315B3897">
      <w:pPr>
        <w:keepNext w:val="0"/>
        <w:keepLines w:val="0"/>
        <w:pageBreakBefore w:val="0"/>
        <w:widowControl w:val="0"/>
        <w:kinsoku/>
        <w:wordWrap/>
        <w:overflowPunct/>
        <w:topLinePunct w:val="0"/>
        <w:bidi w:val="0"/>
        <w:snapToGrid/>
        <w:spacing w:line="560" w:lineRule="exact"/>
        <w:ind w:firstLine="643" w:firstLineChars="200"/>
        <w:jc w:val="left"/>
        <w:rPr>
          <w:rFonts w:hint="eastAsia" w:ascii="仿宋_GB2312" w:hAnsi="Calibri" w:eastAsia="仿宋_GB2312" w:cs="Times New Roman"/>
          <w:sz w:val="32"/>
          <w:szCs w:val="32"/>
          <w:lang w:eastAsia="zh-CN"/>
        </w:rPr>
      </w:pPr>
      <w:r>
        <w:rPr>
          <w:rFonts w:hint="eastAsia" w:ascii="仿宋_GB2312" w:hAnsi="仿宋_GB2312" w:eastAsia="仿宋_GB2312" w:cs="仿宋_GB2312"/>
          <w:b/>
          <w:sz w:val="32"/>
          <w:szCs w:val="32"/>
        </w:rPr>
        <w:t>1、项目名称：</w:t>
      </w:r>
      <w:r>
        <w:rPr>
          <w:rFonts w:hint="eastAsia" w:ascii="仿宋" w:hAnsi="仿宋" w:eastAsia="仿宋" w:cs="仿宋"/>
          <w:sz w:val="32"/>
          <w:szCs w:val="32"/>
          <w:lang w:eastAsia="zh-CN"/>
        </w:rPr>
        <w:t>郭勒布依乡喀拉布拉克村公共照明项目</w:t>
      </w:r>
    </w:p>
    <w:p w14:paraId="75A5EAC7">
      <w:pPr>
        <w:keepNext w:val="0"/>
        <w:keepLines w:val="0"/>
        <w:pageBreakBefore w:val="0"/>
        <w:widowControl w:val="0"/>
        <w:kinsoku/>
        <w:wordWrap/>
        <w:overflowPunct/>
        <w:topLinePunct w:val="0"/>
        <w:bidi w:val="0"/>
        <w:snapToGrid/>
        <w:spacing w:line="560" w:lineRule="exact"/>
        <w:ind w:firstLine="643" w:firstLineChars="200"/>
        <w:jc w:val="left"/>
        <w:rPr>
          <w:rFonts w:ascii="仿宋_GB2312" w:hAnsi="仿宋_GB2312" w:eastAsia="仿宋_GB2312" w:cs="仿宋_GB2312"/>
          <w:bCs/>
          <w:sz w:val="32"/>
          <w:szCs w:val="32"/>
        </w:rPr>
      </w:pPr>
      <w:r>
        <w:rPr>
          <w:rFonts w:hint="eastAsia" w:ascii="仿宋_GB2312" w:hAnsi="仿宋_GB2312" w:eastAsia="仿宋_GB2312" w:cs="仿宋_GB2312"/>
          <w:b/>
          <w:sz w:val="32"/>
          <w:szCs w:val="32"/>
        </w:rPr>
        <w:t>2、项目库编号：</w:t>
      </w:r>
      <w:r>
        <w:rPr>
          <w:rFonts w:hint="eastAsia" w:ascii="仿宋" w:hAnsi="仿宋" w:eastAsia="仿宋" w:cs="仿宋"/>
          <w:sz w:val="32"/>
          <w:szCs w:val="32"/>
          <w:lang w:eastAsia="zh-CN"/>
        </w:rPr>
        <w:t>TKX0148</w:t>
      </w:r>
    </w:p>
    <w:p w14:paraId="2C4AE8D7">
      <w:pPr>
        <w:keepNext w:val="0"/>
        <w:keepLines w:val="0"/>
        <w:pageBreakBefore w:val="0"/>
        <w:widowControl w:val="0"/>
        <w:kinsoku/>
        <w:wordWrap/>
        <w:overflowPunct/>
        <w:topLinePunct w:val="0"/>
        <w:bidi w:val="0"/>
        <w:snapToGrid/>
        <w:spacing w:line="560" w:lineRule="exact"/>
        <w:ind w:left="638" w:leftChars="304"/>
        <w:rPr>
          <w:rFonts w:hint="eastAsia" w:ascii="仿宋" w:hAnsi="仿宋" w:eastAsia="仿宋" w:cs="仿宋"/>
          <w:sz w:val="32"/>
          <w:szCs w:val="32"/>
          <w:lang w:eastAsia="zh-CN"/>
        </w:rPr>
      </w:pPr>
      <w:r>
        <w:rPr>
          <w:rFonts w:hint="eastAsia" w:ascii="仿宋_GB2312" w:hAnsi="仿宋_GB2312" w:eastAsia="仿宋_GB2312" w:cs="仿宋_GB2312"/>
          <w:b/>
          <w:sz w:val="32"/>
          <w:szCs w:val="32"/>
        </w:rPr>
        <w:t>3、项目建设单位及责任人：</w:t>
      </w:r>
      <w:r>
        <w:rPr>
          <w:rFonts w:hint="eastAsia" w:ascii="仿宋" w:hAnsi="仿宋" w:eastAsia="仿宋" w:cs="仿宋"/>
          <w:sz w:val="32"/>
          <w:szCs w:val="32"/>
          <w:lang w:eastAsia="zh-CN"/>
        </w:rPr>
        <w:t>郭勒布依乡人民政府（法人：郭勒布依乡党委副书记、乡长</w:t>
      </w:r>
      <w:r>
        <w:rPr>
          <w:rFonts w:hint="eastAsia" w:ascii="仿宋" w:hAnsi="仿宋" w:eastAsia="仿宋" w:cs="仿宋"/>
          <w:sz w:val="32"/>
          <w:szCs w:val="32"/>
          <w:lang w:val="en-US" w:eastAsia="zh-CN"/>
        </w:rPr>
        <w:t>哈里瓦尔·阿不拉克</w:t>
      </w:r>
      <w:r>
        <w:rPr>
          <w:rFonts w:hint="eastAsia" w:ascii="仿宋" w:hAnsi="仿宋" w:eastAsia="仿宋" w:cs="仿宋"/>
          <w:sz w:val="32"/>
          <w:szCs w:val="32"/>
          <w:lang w:eastAsia="zh-CN"/>
        </w:rPr>
        <w:t xml:space="preserve">）  </w:t>
      </w:r>
    </w:p>
    <w:p w14:paraId="039E277E">
      <w:pPr>
        <w:pStyle w:val="14"/>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仿宋" w:hAnsi="仿宋" w:eastAsia="仿宋" w:cs="仿宋"/>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项目负责人：</w:t>
      </w:r>
      <w:r>
        <w:rPr>
          <w:rFonts w:hint="eastAsia" w:ascii="仿宋" w:hAnsi="仿宋" w:eastAsia="仿宋" w:cs="仿宋"/>
          <w:kern w:val="2"/>
          <w:sz w:val="32"/>
          <w:szCs w:val="32"/>
          <w:lang w:val="en-US" w:eastAsia="zh-CN" w:bidi="ar-SA"/>
        </w:rPr>
        <w:t xml:space="preserve">哈里瓦尔·阿不拉克 </w:t>
      </w:r>
    </w:p>
    <w:p w14:paraId="0375BE9C">
      <w:pPr>
        <w:keepNext w:val="0"/>
        <w:keepLines w:val="0"/>
        <w:pageBreakBefore w:val="0"/>
        <w:widowControl w:val="0"/>
        <w:kinsoku/>
        <w:wordWrap/>
        <w:overflowPunct/>
        <w:topLinePunct w:val="0"/>
        <w:bidi w:val="0"/>
        <w:snapToGrid/>
        <w:spacing w:line="560" w:lineRule="exact"/>
        <w:ind w:left="638" w:leftChars="304"/>
        <w:rPr>
          <w:rFonts w:hint="default" w:ascii="仿宋" w:hAnsi="仿宋" w:eastAsia="仿宋" w:cs="仿宋"/>
          <w:kern w:val="2"/>
          <w:sz w:val="32"/>
          <w:szCs w:val="32"/>
          <w:lang w:val="en-US" w:eastAsia="zh-CN" w:bidi="ar-SA"/>
        </w:rPr>
      </w:pPr>
      <w:r>
        <w:rPr>
          <w:rFonts w:hint="eastAsia" w:ascii="仿宋_GB2312" w:hAnsi="仿宋_GB2312" w:eastAsia="仿宋_GB2312" w:cs="仿宋_GB2312"/>
          <w:b/>
          <w:sz w:val="32"/>
          <w:szCs w:val="32"/>
          <w:highlight w:val="none"/>
        </w:rPr>
        <w:t>4、</w:t>
      </w:r>
      <w:r>
        <w:rPr>
          <w:rFonts w:hint="eastAsia" w:ascii="仿宋_GB2312" w:hAnsi="仿宋_GB2312" w:eastAsia="仿宋_GB2312" w:cs="仿宋_GB2312"/>
          <w:b/>
          <w:sz w:val="32"/>
          <w:szCs w:val="32"/>
          <w:highlight w:val="none"/>
          <w:lang w:val="en-US" w:eastAsia="zh-CN"/>
        </w:rPr>
        <w:t>项目行政主管单位：</w:t>
      </w:r>
      <w:r>
        <w:rPr>
          <w:rFonts w:hint="eastAsia" w:ascii="仿宋" w:hAnsi="仿宋" w:eastAsia="仿宋" w:cs="仿宋"/>
          <w:sz w:val="32"/>
          <w:szCs w:val="32"/>
          <w:lang w:val="en-US" w:eastAsia="zh-CN"/>
        </w:rPr>
        <w:t>托克逊县委统战部（民宗局）</w:t>
      </w:r>
    </w:p>
    <w:p w14:paraId="03F14CCC">
      <w:pPr>
        <w:keepNext w:val="0"/>
        <w:keepLines w:val="0"/>
        <w:pageBreakBefore w:val="0"/>
        <w:widowControl w:val="0"/>
        <w:kinsoku/>
        <w:wordWrap/>
        <w:overflowPunct/>
        <w:topLinePunct w:val="0"/>
        <w:bidi w:val="0"/>
        <w:snapToGrid/>
        <w:spacing w:line="560" w:lineRule="exact"/>
        <w:ind w:firstLine="1285" w:firstLineChars="400"/>
        <w:rPr>
          <w:rFonts w:hint="default" w:ascii="仿宋_GB2312" w:hAnsi="仿宋_GB2312" w:eastAsia="仿宋_GB2312" w:cs="仿宋_GB2312"/>
          <w:b/>
          <w:sz w:val="32"/>
          <w:szCs w:val="32"/>
          <w:highlight w:val="none"/>
          <w:lang w:val="en-US" w:eastAsia="zh-CN"/>
        </w:rPr>
      </w:pPr>
      <w:r>
        <w:rPr>
          <w:rFonts w:hint="eastAsia" w:ascii="仿宋_GB2312" w:hAnsi="仿宋_GB2312" w:eastAsia="仿宋_GB2312" w:cs="仿宋_GB2312"/>
          <w:b/>
          <w:sz w:val="32"/>
          <w:szCs w:val="32"/>
          <w:highlight w:val="none"/>
          <w:lang w:val="en-US" w:eastAsia="zh-CN"/>
        </w:rPr>
        <w:t>项目行业主管单位：</w:t>
      </w:r>
      <w:r>
        <w:rPr>
          <w:rFonts w:hint="eastAsia" w:ascii="仿宋" w:hAnsi="仿宋" w:eastAsia="仿宋" w:cs="仿宋"/>
          <w:kern w:val="2"/>
          <w:sz w:val="32"/>
          <w:szCs w:val="32"/>
          <w:lang w:val="en-US" w:eastAsia="zh-CN" w:bidi="ar-SA"/>
        </w:rPr>
        <w:t>托克逊县委统战部</w:t>
      </w:r>
    </w:p>
    <w:p w14:paraId="6610D089">
      <w:pPr>
        <w:keepNext w:val="0"/>
        <w:keepLines w:val="0"/>
        <w:pageBreakBefore w:val="0"/>
        <w:widowControl w:val="0"/>
        <w:kinsoku/>
        <w:wordWrap/>
        <w:overflowPunct/>
        <w:topLinePunct w:val="0"/>
        <w:bidi w:val="0"/>
        <w:snapToGrid/>
        <w:spacing w:line="560" w:lineRule="exact"/>
        <w:ind w:firstLine="643" w:firstLineChars="200"/>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5、项目建设性质：</w:t>
      </w:r>
      <w:r>
        <w:rPr>
          <w:rFonts w:hint="eastAsia" w:ascii="仿宋" w:hAnsi="仿宋" w:eastAsia="仿宋" w:cs="仿宋"/>
          <w:kern w:val="2"/>
          <w:sz w:val="32"/>
          <w:szCs w:val="32"/>
          <w:lang w:val="en-US" w:eastAsia="zh-CN" w:bidi="ar-SA"/>
        </w:rPr>
        <w:t>新建</w:t>
      </w:r>
    </w:p>
    <w:p w14:paraId="2B217092">
      <w:pPr>
        <w:keepNext w:val="0"/>
        <w:keepLines w:val="0"/>
        <w:pageBreakBefore w:val="0"/>
        <w:widowControl w:val="0"/>
        <w:kinsoku/>
        <w:wordWrap/>
        <w:overflowPunct/>
        <w:topLinePunct w:val="0"/>
        <w:bidi w:val="0"/>
        <w:snapToGrid/>
        <w:spacing w:line="560" w:lineRule="exact"/>
        <w:ind w:firstLine="643" w:firstLineChars="200"/>
        <w:jc w:val="left"/>
        <w:rPr>
          <w:rFonts w:ascii="仿宋_GB2312" w:hAnsi="仿宋_GB2312" w:eastAsia="仿宋_GB2312" w:cs="仿宋_GB2312"/>
          <w:bCs/>
          <w:sz w:val="32"/>
          <w:szCs w:val="32"/>
        </w:rPr>
      </w:pPr>
      <w:r>
        <w:rPr>
          <w:rFonts w:hint="eastAsia" w:ascii="仿宋_GB2312" w:hAnsi="仿宋_GB2312" w:eastAsia="仿宋_GB2312" w:cs="仿宋_GB2312"/>
          <w:b/>
          <w:sz w:val="32"/>
          <w:szCs w:val="32"/>
        </w:rPr>
        <w:t>6、项目类别：</w:t>
      </w:r>
      <w:r>
        <w:rPr>
          <w:rFonts w:hint="default" w:ascii="仿宋" w:hAnsi="仿宋" w:eastAsia="仿宋" w:cs="仿宋"/>
          <w:kern w:val="2"/>
          <w:sz w:val="32"/>
          <w:szCs w:val="32"/>
          <w:lang w:val="en-US" w:eastAsia="zh-CN" w:bidi="ar-SA"/>
        </w:rPr>
        <w:t>农村环境整治</w:t>
      </w:r>
      <w:bookmarkStart w:id="0" w:name="_GoBack"/>
      <w:bookmarkEnd w:id="0"/>
    </w:p>
    <w:p w14:paraId="73D3A855">
      <w:pPr>
        <w:keepNext w:val="0"/>
        <w:keepLines w:val="0"/>
        <w:pageBreakBefore w:val="0"/>
        <w:widowControl w:val="0"/>
        <w:kinsoku/>
        <w:wordWrap/>
        <w:overflowPunct/>
        <w:topLinePunct w:val="0"/>
        <w:bidi w:val="0"/>
        <w:snapToGrid/>
        <w:spacing w:line="560" w:lineRule="exact"/>
        <w:ind w:firstLine="643"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
          <w:sz w:val="32"/>
          <w:szCs w:val="32"/>
        </w:rPr>
        <w:t>7、项目建设地点：</w:t>
      </w:r>
      <w:r>
        <w:rPr>
          <w:rFonts w:hint="eastAsia" w:ascii="仿宋" w:hAnsi="仿宋" w:eastAsia="仿宋" w:cs="仿宋"/>
          <w:kern w:val="2"/>
          <w:sz w:val="32"/>
          <w:szCs w:val="32"/>
          <w:lang w:val="en-US" w:eastAsia="zh-CN" w:bidi="ar-SA"/>
        </w:rPr>
        <w:t>喀拉布拉克村</w:t>
      </w:r>
    </w:p>
    <w:p w14:paraId="5FBC82DD">
      <w:pPr>
        <w:keepNext w:val="0"/>
        <w:keepLines w:val="0"/>
        <w:pageBreakBefore w:val="0"/>
        <w:widowControl w:val="0"/>
        <w:kinsoku/>
        <w:wordWrap/>
        <w:overflowPunct/>
        <w:topLinePunct w:val="0"/>
        <w:bidi w:val="0"/>
        <w:snapToGrid/>
        <w:spacing w:line="560" w:lineRule="exact"/>
        <w:ind w:firstLine="643" w:firstLineChars="200"/>
        <w:jc w:val="left"/>
        <w:rPr>
          <w:rFonts w:ascii="仿宋_GB2312" w:hAnsi="仿宋_GB2312" w:eastAsia="仿宋_GB2312" w:cs="仿宋_GB2312"/>
          <w:bCs/>
          <w:sz w:val="32"/>
          <w:szCs w:val="32"/>
        </w:rPr>
      </w:pPr>
      <w:r>
        <w:rPr>
          <w:rFonts w:hint="eastAsia" w:ascii="仿宋_GB2312" w:hAnsi="仿宋_GB2312" w:eastAsia="仿宋_GB2312" w:cs="仿宋_GB2312"/>
          <w:b/>
          <w:sz w:val="32"/>
          <w:szCs w:val="32"/>
        </w:rPr>
        <w:t>8、项目总投资</w:t>
      </w:r>
      <w:r>
        <w:rPr>
          <w:rFonts w:hint="eastAsia" w:ascii="仿宋_GB2312" w:hAnsi="仿宋_GB2312" w:eastAsia="仿宋_GB2312" w:cs="仿宋_GB2312"/>
          <w:bCs/>
          <w:sz w:val="32"/>
          <w:szCs w:val="32"/>
        </w:rPr>
        <w:t>：</w:t>
      </w:r>
      <w:r>
        <w:rPr>
          <w:rFonts w:hint="eastAsia" w:ascii="仿宋" w:hAnsi="仿宋" w:eastAsia="仿宋" w:cs="仿宋"/>
          <w:kern w:val="2"/>
          <w:sz w:val="32"/>
          <w:szCs w:val="32"/>
          <w:lang w:val="en-US" w:eastAsia="zh-CN" w:bidi="ar-SA"/>
        </w:rPr>
        <w:t>72万元</w:t>
      </w:r>
    </w:p>
    <w:p w14:paraId="543F694D">
      <w:pPr>
        <w:keepNext w:val="0"/>
        <w:keepLines w:val="0"/>
        <w:pageBreakBefore w:val="0"/>
        <w:widowControl w:val="0"/>
        <w:kinsoku/>
        <w:wordWrap/>
        <w:overflowPunct/>
        <w:topLinePunct w:val="0"/>
        <w:bidi w:val="0"/>
        <w:snapToGrid/>
        <w:spacing w:line="560" w:lineRule="exact"/>
        <w:ind w:firstLine="643" w:firstLineChars="200"/>
        <w:rPr>
          <w:rFonts w:hint="eastAsia" w:ascii="仿宋" w:hAnsi="仿宋" w:eastAsia="仿宋" w:cs="仿宋"/>
          <w:kern w:val="2"/>
          <w:sz w:val="32"/>
          <w:szCs w:val="32"/>
          <w:lang w:val="en-US" w:eastAsia="zh-CN" w:bidi="ar-SA"/>
        </w:rPr>
      </w:pPr>
      <w:r>
        <w:rPr>
          <w:rFonts w:hint="eastAsia" w:ascii="仿宋_GB2312" w:hAnsi="仿宋_GB2312" w:eastAsia="仿宋_GB2312" w:cs="仿宋_GB2312"/>
          <w:b/>
          <w:sz w:val="32"/>
          <w:szCs w:val="32"/>
        </w:rPr>
        <w:t>9、主要建设内容与规模：</w:t>
      </w:r>
      <w:r>
        <w:rPr>
          <w:rFonts w:hint="eastAsia" w:ascii="仿宋" w:hAnsi="仿宋" w:eastAsia="仿宋" w:cs="仿宋"/>
          <w:kern w:val="2"/>
          <w:sz w:val="32"/>
          <w:szCs w:val="32"/>
          <w:lang w:val="en-US" w:eastAsia="zh-CN" w:bidi="ar-SA"/>
        </w:rPr>
        <w:t>计划为喀拉布拉克村1组至7组村内长10公里的巷道安装6米高的太阳能路灯400盏，每盏约1800元，项目总投资约72万元。</w:t>
      </w:r>
    </w:p>
    <w:p w14:paraId="5DFBBDDC">
      <w:pPr>
        <w:pStyle w:val="13"/>
        <w:keepNext w:val="0"/>
        <w:keepLines w:val="0"/>
        <w:pageBreakBefore w:val="0"/>
        <w:widowControl w:val="0"/>
        <w:kinsoku/>
        <w:wordWrap/>
        <w:overflowPunct/>
        <w:topLinePunct w:val="0"/>
        <w:bidi w:val="0"/>
        <w:snapToGrid/>
        <w:spacing w:line="560" w:lineRule="exact"/>
        <w:ind w:firstLine="640" w:firstLineChars="200"/>
        <w:rPr>
          <w:rFonts w:ascii="黑体" w:hAnsi="黑体" w:eastAsia="黑体"/>
          <w:bCs/>
          <w:color w:val="auto"/>
          <w:sz w:val="32"/>
          <w:szCs w:val="32"/>
        </w:rPr>
      </w:pPr>
      <w:r>
        <w:rPr>
          <w:rFonts w:hint="eastAsia" w:ascii="黑体" w:hAnsi="黑体" w:eastAsia="黑体"/>
          <w:bCs/>
          <w:color w:val="auto"/>
          <w:sz w:val="32"/>
          <w:szCs w:val="32"/>
        </w:rPr>
        <w:t xml:space="preserve">二、项目区基本情况及建设的必要性、可行性： </w:t>
      </w:r>
    </w:p>
    <w:p w14:paraId="58FA126C">
      <w:pPr>
        <w:keepNext w:val="0"/>
        <w:keepLines w:val="0"/>
        <w:pageBreakBefore w:val="0"/>
        <w:widowControl w:val="0"/>
        <w:kinsoku/>
        <w:wordWrap/>
        <w:overflowPunct/>
        <w:topLinePunct w:val="0"/>
        <w:bidi w:val="0"/>
        <w:snapToGrid/>
        <w:spacing w:line="560" w:lineRule="exact"/>
        <w:ind w:firstLine="643" w:firstLineChars="200"/>
        <w:jc w:val="left"/>
        <w:rPr>
          <w:rFonts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1、项目区基本情况</w:t>
      </w:r>
    </w:p>
    <w:p w14:paraId="7A4946CC">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郭勒布依乡喀拉布拉克村地处托克逊县城北部，与托克逊县主城区仅13km左右，全村共有900户2486人其中脱贫户28户79人、三类户8户27人。喀拉布拉克村居民生产收入主要来源于种植花生、红枣、高粱、杏子、葡萄、甜瓜、棉花等。随着乡村经济的发展，郭勒布依乡喀拉布拉克村的村民生活环境有了显著改善，但是公共区域照明设施仍然相对落后，需要大力改善。</w:t>
      </w:r>
    </w:p>
    <w:p w14:paraId="1194B2AA">
      <w:pPr>
        <w:keepNext w:val="0"/>
        <w:keepLines w:val="0"/>
        <w:pageBreakBefore w:val="0"/>
        <w:widowControl w:val="0"/>
        <w:kinsoku/>
        <w:wordWrap/>
        <w:overflowPunct/>
        <w:topLinePunct w:val="0"/>
        <w:bidi w:val="0"/>
        <w:snapToGrid/>
        <w:spacing w:line="560" w:lineRule="exact"/>
        <w:ind w:firstLine="643" w:firstLineChars="200"/>
        <w:jc w:val="left"/>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2、项目建设的必要性</w:t>
      </w:r>
    </w:p>
    <w:p w14:paraId="2B275BF3">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郭勒布依乡喀拉布拉克村地处托克逊县城北部，与托克逊县主城区仅13km左右，是郭勒布依乡至吐鲁番的重要的交通枢纽，但近年来，随着乡村经济的发展，郭勒布依乡喀拉布拉克村的村民生活环境有了显著改善，但是基础设施仍然相对落后，为进一步改善村民的居住环境，夜间群众出行的安全性，公共照明工程是十分必要的。</w:t>
      </w:r>
    </w:p>
    <w:p w14:paraId="4872A048">
      <w:pPr>
        <w:keepNext w:val="0"/>
        <w:keepLines w:val="0"/>
        <w:pageBreakBefore w:val="0"/>
        <w:widowControl w:val="0"/>
        <w:kinsoku/>
        <w:wordWrap/>
        <w:overflowPunct/>
        <w:topLinePunct w:val="0"/>
        <w:bidi w:val="0"/>
        <w:snapToGrid/>
        <w:spacing w:line="560" w:lineRule="exact"/>
        <w:ind w:left="420" w:leftChars="200"/>
        <w:jc w:val="left"/>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3、项目建设的可行性</w:t>
      </w:r>
    </w:p>
    <w:p w14:paraId="03DDFE5D">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郭勒布依乡喀拉布拉克村地处十分重要地理位置，为居民提供更加舒适的居住环境，减少夜间交通事故发生，给群众安全出行带来便利，实施公共照明工程是干部和群众共同愿望。</w:t>
      </w:r>
    </w:p>
    <w:p w14:paraId="105CED3E">
      <w:pPr>
        <w:keepNext w:val="0"/>
        <w:keepLines w:val="0"/>
        <w:pageBreakBefore w:val="0"/>
        <w:widowControl w:val="0"/>
        <w:kinsoku/>
        <w:wordWrap/>
        <w:overflowPunct/>
        <w:topLinePunct w:val="0"/>
        <w:bidi w:val="0"/>
        <w:snapToGrid/>
        <w:spacing w:line="560" w:lineRule="exact"/>
        <w:ind w:firstLine="640" w:firstLineChars="200"/>
        <w:jc w:val="left"/>
        <w:rPr>
          <w:rFonts w:ascii="仿宋_GB2312" w:hAnsi="仿宋_GB2312" w:eastAsia="仿宋_GB2312" w:cs="仿宋_GB2312"/>
          <w:color w:val="auto"/>
          <w:sz w:val="32"/>
          <w:szCs w:val="32"/>
        </w:rPr>
      </w:pPr>
      <w:r>
        <w:rPr>
          <w:rFonts w:hint="eastAsia" w:ascii="黑体" w:hAnsi="黑体" w:eastAsia="黑体"/>
          <w:color w:val="auto"/>
          <w:sz w:val="32"/>
          <w:szCs w:val="32"/>
        </w:rPr>
        <w:t>三、资金筹措及投资概算</w:t>
      </w:r>
      <w:r>
        <w:rPr>
          <w:rFonts w:hint="eastAsia" w:ascii="仿宋_GB2312" w:hAnsi="宋体" w:eastAsia="仿宋_GB2312"/>
          <w:color w:val="auto"/>
          <w:sz w:val="32"/>
          <w:szCs w:val="32"/>
        </w:rPr>
        <w:t>：</w:t>
      </w:r>
    </w:p>
    <w:p w14:paraId="71765691">
      <w:pPr>
        <w:pStyle w:val="14"/>
        <w:keepNext w:val="0"/>
        <w:keepLines w:val="0"/>
        <w:pageBreakBefore w:val="0"/>
        <w:widowControl w:val="0"/>
        <w:numPr>
          <w:ilvl w:val="0"/>
          <w:numId w:val="0"/>
        </w:numPr>
        <w:kinsoku w:val="0"/>
        <w:wordWrap/>
        <w:overflowPunct w:val="0"/>
        <w:topLinePunct w:val="0"/>
        <w:autoSpaceDE w:val="0"/>
        <w:autoSpaceDN w:val="0"/>
        <w:bidi w:val="0"/>
        <w:adjustRightInd/>
        <w:snapToGrid/>
        <w:spacing w:line="520" w:lineRule="exact"/>
        <w:ind w:firstLine="643" w:firstLineChars="200"/>
        <w:textAlignment w:val="auto"/>
        <w:rPr>
          <w:rFonts w:hint="eastAsia" w:ascii="仿宋" w:hAnsi="仿宋" w:eastAsia="仿宋" w:cs="仿宋"/>
          <w:kern w:val="2"/>
          <w:sz w:val="32"/>
          <w:szCs w:val="32"/>
          <w:lang w:val="en-US" w:eastAsia="zh-CN" w:bidi="ar-SA"/>
        </w:rPr>
      </w:pPr>
      <w:r>
        <w:rPr>
          <w:rFonts w:hint="eastAsia" w:ascii="仿宋_GB2312" w:hAnsi="仿宋_GB2312" w:eastAsia="仿宋_GB2312" w:cs="仿宋_GB2312"/>
          <w:b/>
          <w:color w:val="auto"/>
          <w:sz w:val="32"/>
          <w:szCs w:val="32"/>
        </w:rPr>
        <w:t>1、资金来源：</w:t>
      </w:r>
      <w:r>
        <w:rPr>
          <w:rFonts w:hint="eastAsia" w:ascii="仿宋" w:hAnsi="仿宋" w:eastAsia="仿宋" w:cs="仿宋"/>
          <w:kern w:val="2"/>
          <w:sz w:val="32"/>
          <w:szCs w:val="32"/>
          <w:lang w:val="en-US" w:eastAsia="zh-CN" w:bidi="ar-SA"/>
        </w:rPr>
        <w:t>财政衔接推进乡村振兴补助资金。</w:t>
      </w:r>
    </w:p>
    <w:p w14:paraId="45C25032">
      <w:pPr>
        <w:keepNext w:val="0"/>
        <w:keepLines w:val="0"/>
        <w:pageBreakBefore w:val="0"/>
        <w:widowControl w:val="0"/>
        <w:kinsoku/>
        <w:wordWrap/>
        <w:overflowPunct/>
        <w:topLinePunct w:val="0"/>
        <w:bidi w:val="0"/>
        <w:snapToGrid/>
        <w:spacing w:line="560" w:lineRule="exact"/>
        <w:ind w:firstLine="643" w:firstLineChars="200"/>
        <w:rPr>
          <w:rFonts w:hint="eastAsia" w:ascii="仿宋" w:hAnsi="仿宋" w:eastAsia="仿宋" w:cs="仿宋"/>
          <w:kern w:val="2"/>
          <w:sz w:val="32"/>
          <w:szCs w:val="32"/>
          <w:lang w:val="en-US" w:eastAsia="zh-CN" w:bidi="ar-SA"/>
        </w:rPr>
      </w:pPr>
      <w:r>
        <w:rPr>
          <w:rFonts w:hint="eastAsia" w:ascii="仿宋_GB2312" w:hAnsi="宋体" w:eastAsia="仿宋_GB2312" w:cs="仿宋_GB2312"/>
          <w:b/>
          <w:bCs/>
          <w:color w:val="auto"/>
          <w:sz w:val="32"/>
          <w:szCs w:val="32"/>
        </w:rPr>
        <w:t>2、投资概算:</w:t>
      </w:r>
      <w:r>
        <w:rPr>
          <w:rFonts w:hint="eastAsia" w:ascii="仿宋" w:hAnsi="仿宋" w:eastAsia="仿宋" w:cs="仿宋"/>
          <w:kern w:val="2"/>
          <w:sz w:val="32"/>
          <w:szCs w:val="32"/>
          <w:lang w:val="en-US" w:eastAsia="zh-CN" w:bidi="ar-SA"/>
        </w:rPr>
        <w:t>计划为喀拉布拉克村1组至7组村内长10公里的巷道安装6米高的太阳能路灯400盏，每盏约1800元，项目总投资约72万元。</w:t>
      </w:r>
    </w:p>
    <w:p w14:paraId="3E279B07">
      <w:pPr>
        <w:keepNext w:val="0"/>
        <w:keepLines w:val="0"/>
        <w:pageBreakBefore w:val="0"/>
        <w:widowControl w:val="0"/>
        <w:kinsoku/>
        <w:wordWrap/>
        <w:overflowPunct/>
        <w:topLinePunct w:val="0"/>
        <w:bidi w:val="0"/>
        <w:snapToGrid/>
        <w:spacing w:line="560" w:lineRule="exact"/>
        <w:ind w:firstLine="640" w:firstLineChars="200"/>
        <w:jc w:val="left"/>
        <w:rPr>
          <w:rFonts w:ascii="仿宋_GB2312" w:hAnsi="仿宋_GB2312" w:eastAsia="仿宋_GB2312" w:cs="仿宋_GB2312"/>
          <w:color w:val="auto"/>
          <w:sz w:val="32"/>
          <w:szCs w:val="32"/>
        </w:rPr>
      </w:pPr>
      <w:r>
        <w:rPr>
          <w:rFonts w:hint="eastAsia" w:ascii="黑体" w:hAnsi="黑体" w:eastAsia="黑体"/>
          <w:color w:val="auto"/>
          <w:sz w:val="32"/>
          <w:szCs w:val="32"/>
        </w:rPr>
        <w:t>四、项目实施进度计划</w:t>
      </w:r>
    </w:p>
    <w:p w14:paraId="0C933AD2">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2025年7月：完成项目前期手续，招投标手续办理；</w:t>
      </w:r>
    </w:p>
    <w:p w14:paraId="30D6263F">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2025年10月底前：项目实施完毕，组织相关部门进行验收。</w:t>
      </w:r>
    </w:p>
    <w:p w14:paraId="5947902C">
      <w:pPr>
        <w:keepNext w:val="0"/>
        <w:keepLines w:val="0"/>
        <w:pageBreakBefore w:val="0"/>
        <w:widowControl w:val="0"/>
        <w:kinsoku/>
        <w:wordWrap/>
        <w:overflowPunct/>
        <w:topLinePunct w:val="0"/>
        <w:bidi w:val="0"/>
        <w:snapToGrid/>
        <w:spacing w:line="560" w:lineRule="exact"/>
        <w:ind w:firstLine="640" w:firstLineChars="200"/>
        <w:jc w:val="left"/>
        <w:rPr>
          <w:rFonts w:ascii="黑体" w:hAnsi="黑体" w:eastAsia="黑体"/>
          <w:color w:val="auto"/>
          <w:sz w:val="32"/>
          <w:szCs w:val="32"/>
        </w:rPr>
      </w:pPr>
      <w:r>
        <w:rPr>
          <w:rFonts w:hint="eastAsia" w:ascii="黑体" w:hAnsi="黑体" w:eastAsia="黑体"/>
          <w:color w:val="auto"/>
          <w:sz w:val="32"/>
          <w:szCs w:val="32"/>
        </w:rPr>
        <w:t>五、项目组织实施能力与内控管理措施</w:t>
      </w:r>
    </w:p>
    <w:p w14:paraId="3E791E62">
      <w:pPr>
        <w:keepNext w:val="0"/>
        <w:keepLines w:val="0"/>
        <w:pageBreakBefore w:val="0"/>
        <w:widowControl w:val="0"/>
        <w:kinsoku/>
        <w:wordWrap/>
        <w:overflowPunct/>
        <w:topLinePunct w:val="0"/>
        <w:bidi w:val="0"/>
        <w:snapToGrid/>
        <w:spacing w:line="560" w:lineRule="exact"/>
        <w:ind w:firstLine="643" w:firstLineChars="200"/>
        <w:jc w:val="left"/>
        <w:rPr>
          <w:rFonts w:ascii="仿宋_GB2312" w:hAnsi="仿宋_GB2312" w:eastAsia="仿宋_GB2312" w:cs="仿宋_GB2312"/>
          <w:b/>
          <w:bCs/>
          <w:color w:val="auto"/>
          <w:sz w:val="32"/>
          <w:szCs w:val="32"/>
        </w:rPr>
      </w:pP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highlight w:val="none"/>
          <w:lang w:val="en-US" w:eastAsia="zh-CN"/>
        </w:rPr>
        <w:t>一</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color w:val="auto"/>
          <w:sz w:val="32"/>
          <w:szCs w:val="32"/>
        </w:rPr>
        <w:t>组织领导机构及职责分工</w:t>
      </w:r>
    </w:p>
    <w:p w14:paraId="1E1CBC67">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为加强项目监督和技术指导，按期完成建设任务，根据《托克逊县郭勒布依乡财政衔接推进乡村振兴补助金(巩固拓展脱贫攻坚成果和乡村振兴任务)项目管理办法（暂行）》规定成立项目管理组织机构，项目管理工作实行分级负责制。项目组相关领导机构如下：</w:t>
      </w:r>
    </w:p>
    <w:p w14:paraId="3C9F43B4">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组  长:哈里瓦尔·阿布拉克   乡党委副书记、乡长 </w:t>
      </w:r>
    </w:p>
    <w:p w14:paraId="5C12CFA5">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副组长:苏涛                 乡党委委员、常务副乡长 </w:t>
      </w:r>
    </w:p>
    <w:p w14:paraId="1B19932D">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成  员:郭理                 乡项目办主任</w:t>
      </w:r>
    </w:p>
    <w:p w14:paraId="62789992">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阿迪拉古丽·吾曼尔          乡纪检办干部 </w:t>
      </w:r>
    </w:p>
    <w:p w14:paraId="5C91D69A">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热孜亚·阿不来提            乡村振兴办主任</w:t>
      </w:r>
    </w:p>
    <w:p w14:paraId="5C41F075">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木阿热木·买合木提          乡财政所所长 </w:t>
      </w:r>
    </w:p>
    <w:p w14:paraId="68D38828">
      <w:pPr>
        <w:keepNext w:val="0"/>
        <w:keepLines w:val="0"/>
        <w:pageBreakBefore w:val="0"/>
        <w:widowControl w:val="0"/>
        <w:kinsoku/>
        <w:wordWrap/>
        <w:overflowPunct/>
        <w:topLinePunct w:val="0"/>
        <w:bidi w:val="0"/>
        <w:snapToGrid/>
        <w:spacing w:line="560" w:lineRule="exact"/>
        <w:ind w:firstLine="640" w:firstLineChars="200"/>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麦尔哈巴·肉孜              乡项目办干部 </w:t>
      </w:r>
    </w:p>
    <w:p w14:paraId="46568C58">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郭勒布依乡喀拉布拉克村      第一书记、党支部书记</w:t>
      </w:r>
    </w:p>
    <w:p w14:paraId="32F78EC7">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（1）成立以村第一书记为组长，村党支部书记为副组长、各职能小组负责人为成员的领导小组，负责项目的领导、协调、实施、督促、指导等工作，为项目建设提供组织保障。</w:t>
      </w:r>
    </w:p>
    <w:p w14:paraId="22A53CE8">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（2）乡村振兴、纪检、财政所等部门为项目实施的监督单位。负责项目实施全过程的监督、检查，资金审批及管理。</w:t>
      </w:r>
    </w:p>
    <w:p w14:paraId="3ED80EE4">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郭勒布依乡为项目实施主体。乡和行政村分别成立项目实施领导小组，明确1名副科级领导专抓此项工作，主要负责宣传发动、组织实施和协助村里并进行指导，帮助落实任务；负责组织开展验收、项目档案的归档等工作。</w:t>
      </w:r>
    </w:p>
    <w:p w14:paraId="07EBAAA3">
      <w:pPr>
        <w:keepNext w:val="0"/>
        <w:keepLines w:val="0"/>
        <w:pageBreakBefore w:val="0"/>
        <w:widowControl w:val="0"/>
        <w:kinsoku/>
        <w:wordWrap/>
        <w:overflowPunct/>
        <w:topLinePunct w:val="0"/>
        <w:bidi w:val="0"/>
        <w:snapToGrid/>
        <w:spacing w:line="560" w:lineRule="exact"/>
        <w:ind w:firstLine="643" w:firstLineChars="200"/>
        <w:jc w:val="left"/>
        <w:rPr>
          <w:rFonts w:ascii="仿宋_GB2312" w:hAnsi="仿宋_GB2312" w:eastAsia="仿宋_GB2312" w:cs="仿宋_GB2312"/>
          <w:b/>
          <w:bCs/>
          <w:color w:val="auto"/>
          <w:sz w:val="32"/>
          <w:szCs w:val="32"/>
        </w:rPr>
      </w:pP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color w:val="auto"/>
          <w:sz w:val="32"/>
          <w:szCs w:val="32"/>
        </w:rPr>
        <w:t>项目招标及采购管理</w:t>
      </w:r>
    </w:p>
    <w:p w14:paraId="2D33B95A">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该项目建设采用投标制，由郭勒布依乡人民政府选择有资质的招标代理机构进行招标，依据《中华人民共和国招标投标法》《中华人民共和国政府采购法》以及《郭勒布依乡人民政府招投标采购管理办法》，通过公开招标方式，择优选择供应商，供应商通过竞争中标后依法签订采购合同，并严格履行合同。</w:t>
      </w:r>
    </w:p>
    <w:p w14:paraId="0D583AF5">
      <w:pPr>
        <w:keepNext w:val="0"/>
        <w:keepLines w:val="0"/>
        <w:pageBreakBefore w:val="0"/>
        <w:widowControl w:val="0"/>
        <w:numPr>
          <w:ilvl w:val="0"/>
          <w:numId w:val="0"/>
        </w:numPr>
        <w:kinsoku/>
        <w:wordWrap/>
        <w:overflowPunct/>
        <w:topLinePunct w:val="0"/>
        <w:bidi w:val="0"/>
        <w:snapToGrid/>
        <w:spacing w:line="560" w:lineRule="exact"/>
        <w:ind w:firstLine="643" w:firstLineChars="200"/>
        <w:jc w:val="left"/>
        <w:rPr>
          <w:rFonts w:ascii="仿宋_GB2312" w:hAnsi="仿宋_GB2312" w:eastAsia="仿宋_GB2312" w:cs="仿宋_GB2312"/>
          <w:b/>
          <w:color w:val="auto"/>
          <w:sz w:val="32"/>
          <w:szCs w:val="32"/>
        </w:rPr>
      </w:pP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lang w:val="en-US" w:eastAsia="zh-CN"/>
        </w:rPr>
        <w:t>三</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color w:val="auto"/>
          <w:sz w:val="32"/>
          <w:szCs w:val="32"/>
        </w:rPr>
        <w:t>合同签订与管理</w:t>
      </w:r>
    </w:p>
    <w:p w14:paraId="0E5AA229">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新疆维吾尔自治区合同格式条款监督条例》《托克逊县郭勒布依乡合同管理办法》等相关要求，我乡根据单位合同审核流程严格审核合同内容，完成合同会签程序，并与中标单位签订合同，合同双方严格履行各自的义务和责任，按照合同的要求履行合同的承诺，在履行合同过程中，及时纠正违背合同承诺的行为，确保项目管理工作规范到位，合法合规。</w:t>
      </w:r>
    </w:p>
    <w:p w14:paraId="2416498B">
      <w:pPr>
        <w:keepNext w:val="0"/>
        <w:keepLines w:val="0"/>
        <w:pageBreakBefore w:val="0"/>
        <w:widowControl w:val="0"/>
        <w:numPr>
          <w:ilvl w:val="0"/>
          <w:numId w:val="0"/>
        </w:numPr>
        <w:kinsoku/>
        <w:wordWrap/>
        <w:overflowPunct/>
        <w:topLinePunct w:val="0"/>
        <w:bidi w:val="0"/>
        <w:snapToGrid/>
        <w:spacing w:line="560" w:lineRule="exact"/>
        <w:ind w:firstLine="643" w:firstLineChars="200"/>
        <w:jc w:val="left"/>
        <w:rPr>
          <w:rFonts w:ascii="仿宋_GB2312" w:hAnsi="仿宋_GB2312" w:eastAsia="仿宋_GB2312" w:cs="仿宋_GB2312"/>
          <w:b/>
          <w:color w:val="auto"/>
          <w:sz w:val="32"/>
          <w:szCs w:val="32"/>
        </w:rPr>
      </w:pPr>
      <w:r>
        <w:rPr>
          <w:rFonts w:hint="eastAsia" w:ascii="仿宋_GB2312" w:hAnsi="仿宋_GB2312" w:eastAsia="仿宋_GB2312" w:cs="仿宋_GB2312"/>
          <w:b/>
          <w:sz w:val="32"/>
          <w:szCs w:val="32"/>
          <w:highlight w:val="none"/>
          <w:lang w:val="en-US" w:eastAsia="zh-CN"/>
        </w:rPr>
        <w:t>（四）</w:t>
      </w:r>
      <w:r>
        <w:rPr>
          <w:rFonts w:hint="eastAsia" w:ascii="仿宋_GB2312" w:hAnsi="仿宋_GB2312" w:eastAsia="仿宋_GB2312" w:cs="仿宋_GB2312"/>
          <w:b/>
          <w:color w:val="auto"/>
          <w:sz w:val="32"/>
          <w:szCs w:val="32"/>
        </w:rPr>
        <w:t>项目实施与监督检查</w:t>
      </w:r>
    </w:p>
    <w:p w14:paraId="2BAFD20D">
      <w:pPr>
        <w:keepNext w:val="0"/>
        <w:keepLines w:val="0"/>
        <w:pageBreakBefore w:val="0"/>
        <w:widowControl w:val="0"/>
        <w:kinsoku/>
        <w:wordWrap/>
        <w:overflowPunct/>
        <w:topLinePunct w:val="0"/>
        <w:bidi w:val="0"/>
        <w:snapToGrid/>
        <w:spacing w:line="560" w:lineRule="exact"/>
        <w:ind w:firstLine="640" w:firstLineChars="200"/>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新疆维吾尔自治区衔接推进乡村振兴补助资金管理办法》文件精神，由县乡村振兴领导小组办公室组合第二章第九条规定：托克逊县委农村工作领导小组是衔接推进乡村振兴补助资金和项目管理的第一责任主体，组长是第一责任人，全面负责衔接推进乡村振兴补助资金和项目管理、绩效评价、监督检查等各项工作。为保质保量按时完成该项目，需实行目标管理责任制，明确领导小组各成员的职责，全面推行项目建设责任制、项目法人责任制，建立健全衔接推进乡村振兴补助资产公开公示、定期巡查、绩效考核、结果反馈等检查机制，对项目经营运行、收益分配、后期管护等环节进行全程监督，保障衔接推进乡村振兴补助资产安全有效。</w:t>
      </w:r>
    </w:p>
    <w:p w14:paraId="0849F99B">
      <w:pPr>
        <w:keepNext w:val="0"/>
        <w:keepLines w:val="0"/>
        <w:pageBreakBefore w:val="0"/>
        <w:widowControl w:val="0"/>
        <w:numPr>
          <w:ilvl w:val="0"/>
          <w:numId w:val="0"/>
        </w:numPr>
        <w:kinsoku/>
        <w:wordWrap/>
        <w:overflowPunct/>
        <w:topLinePunct w:val="0"/>
        <w:bidi w:val="0"/>
        <w:snapToGrid/>
        <w:spacing w:line="560" w:lineRule="exact"/>
        <w:ind w:firstLine="643" w:firstLineChars="200"/>
        <w:jc w:val="left"/>
        <w:rPr>
          <w:rFonts w:ascii="仿宋_GB2312" w:hAnsi="仿宋_GB2312" w:eastAsia="仿宋_GB2312" w:cs="仿宋_GB2312"/>
          <w:b/>
          <w:color w:val="auto"/>
          <w:sz w:val="32"/>
          <w:szCs w:val="32"/>
        </w:rPr>
      </w:pPr>
      <w:r>
        <w:rPr>
          <w:rFonts w:hint="eastAsia" w:ascii="仿宋_GB2312" w:hAnsi="仿宋_GB2312" w:eastAsia="仿宋_GB2312" w:cs="仿宋_GB2312"/>
          <w:b/>
          <w:kern w:val="2"/>
          <w:sz w:val="32"/>
          <w:szCs w:val="32"/>
          <w:highlight w:val="none"/>
          <w:lang w:val="en-US" w:eastAsia="zh-CN" w:bidi="ar-SA"/>
        </w:rPr>
        <w:t>（五）</w:t>
      </w:r>
      <w:r>
        <w:rPr>
          <w:rFonts w:hint="eastAsia" w:ascii="仿宋_GB2312" w:hAnsi="仿宋_GB2312" w:eastAsia="仿宋_GB2312" w:cs="仿宋_GB2312"/>
          <w:b/>
          <w:color w:val="auto"/>
          <w:sz w:val="32"/>
          <w:szCs w:val="32"/>
        </w:rPr>
        <w:t>资金使用和管理</w:t>
      </w:r>
    </w:p>
    <w:p w14:paraId="723D7A6E">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严格按照&lt;关于印发《新疆维吾尔自治区财政衔接推进乡村振兴补助资金（巩固拓展脱贫攻坚成果和乡村振兴任务）项目管理办法（暂行）》的通知（新乡振〔2021〕32号）&gt;《关于批复实施2024年中央财政衔接推进乡村振兴补助资金项目的通知》（托党农领发〔2023〕5号）等相关文件要求。项目实施单位依据项目计划和实施进度,提出支付申请并提供相关真实、合规的证明材料，制定资金使用计划，经审核后按照国库集中支付管理制度的规定和程序及时支付资金。严格执行专款专用，杜绝挤占、挪用项目资金，严禁虚列支出、以拨代支虚增项目进度。项目资金支付后,在审计或检查中发现资金使用存在违法违规问题的，及时追回、收回。对资金使用严格监管，防止资金使用不精准、虚报冒领。</w:t>
      </w:r>
    </w:p>
    <w:p w14:paraId="002CB49D">
      <w:pPr>
        <w:pStyle w:val="12"/>
        <w:keepNext w:val="0"/>
        <w:keepLines w:val="0"/>
        <w:pageBreakBefore w:val="0"/>
        <w:widowControl w:val="0"/>
        <w:numPr>
          <w:ilvl w:val="0"/>
          <w:numId w:val="0"/>
        </w:numPr>
        <w:kinsoku/>
        <w:wordWrap/>
        <w:overflowPunct/>
        <w:topLinePunct w:val="0"/>
        <w:bidi w:val="0"/>
        <w:snapToGrid/>
        <w:spacing w:line="560" w:lineRule="exact"/>
        <w:ind w:firstLine="643" w:firstLineChars="200"/>
        <w:rPr>
          <w:rFonts w:ascii="仿宋_GB2312" w:hAnsi="仿宋_GB2312" w:cs="仿宋_GB2312"/>
          <w:b/>
          <w:color w:val="auto"/>
          <w:sz w:val="32"/>
          <w:szCs w:val="32"/>
        </w:rPr>
      </w:pPr>
      <w:r>
        <w:rPr>
          <w:rFonts w:hint="eastAsia" w:ascii="仿宋_GB2312" w:hAnsi="仿宋_GB2312" w:eastAsia="仿宋_GB2312" w:cs="仿宋_GB2312"/>
          <w:b/>
          <w:kern w:val="2"/>
          <w:sz w:val="32"/>
          <w:szCs w:val="32"/>
          <w:highlight w:val="none"/>
          <w:lang w:val="en-US" w:eastAsia="zh-CN" w:bidi="ar-SA"/>
        </w:rPr>
        <w:t>（六）</w:t>
      </w:r>
      <w:r>
        <w:rPr>
          <w:rFonts w:hint="eastAsia" w:ascii="仿宋_GB2312" w:hAnsi="仿宋_GB2312" w:cs="仿宋_GB2312"/>
          <w:b/>
          <w:color w:val="auto"/>
          <w:kern w:val="2"/>
          <w:sz w:val="32"/>
          <w:szCs w:val="32"/>
          <w:lang w:val="en-US" w:eastAsia="zh-CN" w:bidi="ar-SA"/>
        </w:rPr>
        <w:t>项目</w:t>
      </w:r>
      <w:r>
        <w:rPr>
          <w:rFonts w:hint="eastAsia" w:ascii="仿宋_GB2312" w:hAnsi="仿宋_GB2312" w:cs="仿宋_GB2312"/>
          <w:b/>
          <w:color w:val="auto"/>
          <w:sz w:val="32"/>
          <w:szCs w:val="32"/>
        </w:rPr>
        <w:t>验收管理</w:t>
      </w:r>
    </w:p>
    <w:p w14:paraId="6ABCC5A3">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w:t>
      </w:r>
      <w:r>
        <w:rPr>
          <w:rFonts w:hint="default" w:ascii="仿宋" w:hAnsi="仿宋" w:eastAsia="仿宋" w:cs="仿宋"/>
          <w:kern w:val="2"/>
          <w:sz w:val="32"/>
          <w:szCs w:val="32"/>
          <w:lang w:val="en-US" w:eastAsia="zh-CN" w:bidi="ar-SA"/>
        </w:rPr>
        <w:t>《新疆维吾尔自治区财政衔接推进乡村振兴补助资金（巩固拓展脱贫攻坚成果和乡村振兴任务）项目管理办法（暂行）》的通知（新乡振〔2021〕32号）</w:t>
      </w:r>
      <w:r>
        <w:rPr>
          <w:rFonts w:hint="eastAsia" w:ascii="仿宋" w:hAnsi="仿宋" w:eastAsia="仿宋" w:cs="仿宋"/>
          <w:kern w:val="2"/>
          <w:sz w:val="32"/>
          <w:szCs w:val="32"/>
          <w:lang w:val="en-US" w:eastAsia="zh-CN" w:bidi="ar-SA"/>
        </w:rPr>
        <w:t>文件精神，坚持项目竣工验收制度，遵照属地管理、“谁审批、谁验收”的原则。按照村、镇、县三个级别逐级开展验收工作。村级由村第一书记组织村党支部书记、经济发展组成员组织验收。镇级由常务、副镇长组织项目办、财政所、安全生产办验收。镇、村两级验收合格后，报县乡村振兴局和行业部门申请县级验收。</w:t>
      </w:r>
    </w:p>
    <w:p w14:paraId="28E9298A">
      <w:pPr>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sz w:val="32"/>
          <w:szCs w:val="32"/>
          <w:lang w:val="en-US" w:eastAsia="zh-CN"/>
        </w:rPr>
        <w:t>（七）项目公告公示</w:t>
      </w:r>
    </w:p>
    <w:p w14:paraId="5F9542D4">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项目实施严格按照&lt;关于印发《新疆维吾尔自治区财政衔接推进乡村振兴补助资金（巩固拓展脱贫攻坚成果和乡村振兴任务）项目管理办法（暂行）》的通知（新乡振〔2021〕32号）&gt;文件精神，按事前、事中、事后公示公告，公示公告主要以村委会、乡政府公示栏、项目公示牌、村委会告知等形式公示公告，公示公告时间不少于7天。县级通过县政府网站、政务公示栏等形式进行公告公示。形成固定资产的，在项目区进行永久性公示，公示内容包括项目名称、投资规模及来源、项目地点、项目建设内容、项目建设期限、主管部门及责任人、施工单位及责任人、受益户名单、监督电话等。</w:t>
      </w:r>
    </w:p>
    <w:p w14:paraId="3C4148AC">
      <w:pPr>
        <w:keepLines w:val="0"/>
        <w:pageBreakBefore w:val="0"/>
        <w:widowControl w:val="0"/>
        <w:numPr>
          <w:ilvl w:val="0"/>
          <w:numId w:val="0"/>
        </w:numPr>
        <w:kinsoku/>
        <w:wordWrap/>
        <w:overflowPunct/>
        <w:topLinePunct w:val="0"/>
        <w:autoSpaceDE w:val="0"/>
        <w:autoSpaceDN/>
        <w:bidi w:val="0"/>
        <w:adjustRightInd/>
        <w:snapToGrid/>
        <w:spacing w:line="520" w:lineRule="exact"/>
        <w:ind w:firstLine="321" w:firstLineChars="100"/>
        <w:textAlignment w:val="auto"/>
        <w:rPr>
          <w:rFonts w:ascii="仿宋_GB2312" w:hAnsi="仿宋_GB2312" w:cs="仿宋_GB2312"/>
          <w:b/>
          <w:color w:val="auto"/>
          <w:sz w:val="32"/>
          <w:szCs w:val="32"/>
        </w:rPr>
      </w:pPr>
      <w:r>
        <w:rPr>
          <w:rFonts w:hint="eastAsia" w:ascii="仿宋_GB2312" w:hAnsi="仿宋_GB2312" w:eastAsia="仿宋_GB2312" w:cs="仿宋_GB2312"/>
          <w:b/>
          <w:sz w:val="32"/>
          <w:szCs w:val="32"/>
          <w:highlight w:val="none"/>
          <w:lang w:val="en-US" w:eastAsia="zh-CN"/>
        </w:rPr>
        <w:t>（</w:t>
      </w:r>
      <w:r>
        <w:rPr>
          <w:rFonts w:hint="eastAsia" w:ascii="仿宋_GB2312" w:hAnsi="仿宋_GB2312" w:eastAsia="仿宋_GB2312" w:cs="仿宋_GB2312"/>
          <w:b/>
          <w:bCs/>
          <w:sz w:val="32"/>
          <w:szCs w:val="32"/>
          <w:lang w:val="en-US" w:eastAsia="zh-CN"/>
        </w:rPr>
        <w:t>八）项目后期管护及运营管理</w:t>
      </w:r>
    </w:p>
    <w:p w14:paraId="4AC6082C">
      <w:pPr>
        <w:keepNext w:val="0"/>
        <w:keepLines w:val="0"/>
        <w:pageBreakBefore w:val="0"/>
        <w:widowControl w:val="0"/>
        <w:kinsoku/>
        <w:wordWrap/>
        <w:overflowPunct/>
        <w:topLinePunct w:val="0"/>
        <w:bidi w:val="0"/>
        <w:snapToGrid/>
        <w:spacing w:line="560" w:lineRule="exact"/>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 w:hAnsi="仿宋" w:eastAsia="仿宋" w:cs="仿宋"/>
          <w:kern w:val="2"/>
          <w:sz w:val="32"/>
          <w:szCs w:val="32"/>
          <w:lang w:val="en-US" w:eastAsia="zh-CN" w:bidi="ar-SA"/>
        </w:rPr>
        <w:t>根据《关于加强扶贫项目资产后续管理的实施意见》（新政办函〔2021〕149号）、《关于加强扶贫项目资产后续管理实施细则的通知》规定，一是遵照属地管理的原则，资产由项目实施所在地村委会所有并负责后续管理，任何有关该项目的事项，需经村民代表大会讨论通过。二是建立后续管理监管工作领导小组，明确具体办事机构和工作人员，落实后续管理措施和办法。三是成立项目监督管理小组等组织，监督项目实施单位管理情况，及时妥善解决项目后续管理中出现的问题，积极向镇人民政府和有关部门反映项目后续管理工作中出现的新情况、新问题和意见建议。四是全面跟踪项目运行管理和效益情况，做好后续管理评估。五是对自然灾害造成的损失，原则上由项目所在村委会自行解决</w:t>
      </w:r>
      <w:r>
        <w:rPr>
          <w:rFonts w:hint="default" w:ascii="仿宋" w:hAnsi="仿宋" w:eastAsia="仿宋" w:cs="仿宋"/>
          <w:kern w:val="2"/>
          <w:sz w:val="32"/>
          <w:szCs w:val="32"/>
          <w:lang w:val="en-US" w:eastAsia="zh-CN" w:bidi="ar-SA"/>
        </w:rPr>
        <w:t>。</w:t>
      </w:r>
    </w:p>
    <w:p w14:paraId="1333B484">
      <w:pPr>
        <w:keepNext w:val="0"/>
        <w:keepLines w:val="0"/>
        <w:pageBreakBefore w:val="0"/>
        <w:widowControl w:val="0"/>
        <w:kinsoku/>
        <w:wordWrap/>
        <w:overflowPunct/>
        <w:topLinePunct w:val="0"/>
        <w:bidi w:val="0"/>
        <w:snapToGrid/>
        <w:spacing w:line="560" w:lineRule="exact"/>
        <w:ind w:firstLine="640" w:firstLineChars="200"/>
        <w:jc w:val="left"/>
        <w:rPr>
          <w:rFonts w:hint="eastAsia" w:ascii="黑体" w:hAnsi="黑体" w:eastAsia="黑体"/>
          <w:color w:val="auto"/>
          <w:sz w:val="32"/>
          <w:szCs w:val="32"/>
        </w:rPr>
      </w:pPr>
      <w:r>
        <w:rPr>
          <w:rFonts w:hint="eastAsia" w:ascii="黑体" w:hAnsi="黑体" w:eastAsia="黑体"/>
          <w:color w:val="auto"/>
          <w:sz w:val="32"/>
          <w:szCs w:val="32"/>
        </w:rPr>
        <w:t>六、利益联结机制</w:t>
      </w:r>
    </w:p>
    <w:p w14:paraId="73DB7CE2">
      <w:pPr>
        <w:keepNext w:val="0"/>
        <w:keepLines w:val="0"/>
        <w:pageBreakBefore w:val="0"/>
        <w:widowControl w:val="0"/>
        <w:kinsoku/>
        <w:wordWrap/>
        <w:overflowPunct/>
        <w:topLinePunct w:val="0"/>
        <w:bidi w:val="0"/>
        <w:snapToGrid/>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项目的实施覆盖群众900户2486人，其中脱贫户28户79人，监测对象8户27人。该项目的实施，可减少常规能源消耗，并兼顾社会、生态效益，提高群众生活水平及改善环境质量，进一步完善喀拉布拉克村道路照明条件，方便辖区群众生活，提升夜间安全系数，促进夜间经济发展。</w:t>
      </w:r>
    </w:p>
    <w:p w14:paraId="15C80BFB">
      <w:pPr>
        <w:keepNext w:val="0"/>
        <w:keepLines w:val="0"/>
        <w:pageBreakBefore w:val="0"/>
        <w:widowControl w:val="0"/>
        <w:kinsoku/>
        <w:wordWrap/>
        <w:overflowPunct/>
        <w:topLinePunct w:val="0"/>
        <w:bidi w:val="0"/>
        <w:snapToGrid/>
        <w:spacing w:line="560" w:lineRule="exact"/>
        <w:ind w:firstLine="640" w:firstLineChars="200"/>
        <w:jc w:val="left"/>
        <w:rPr>
          <w:rFonts w:ascii="黑体" w:hAnsi="黑体" w:eastAsia="黑体"/>
          <w:b/>
          <w:bCs/>
          <w:color w:val="auto"/>
          <w:sz w:val="32"/>
          <w:szCs w:val="32"/>
        </w:rPr>
      </w:pPr>
      <w:r>
        <w:rPr>
          <w:rFonts w:hint="eastAsia" w:ascii="黑体" w:hAnsi="黑体" w:eastAsia="黑体"/>
          <w:color w:val="auto"/>
          <w:sz w:val="32"/>
          <w:szCs w:val="32"/>
        </w:rPr>
        <w:t>七、项目绩效目标及效益分析</w:t>
      </w:r>
    </w:p>
    <w:p w14:paraId="6A209665">
      <w:pPr>
        <w:keepNext w:val="0"/>
        <w:keepLines w:val="0"/>
        <w:pageBreakBefore w:val="0"/>
        <w:widowControl w:val="0"/>
        <w:kinsoku/>
        <w:wordWrap/>
        <w:overflowPunct/>
        <w:topLinePunct w:val="0"/>
        <w:bidi w:val="0"/>
        <w:snapToGrid/>
        <w:spacing w:line="560" w:lineRule="exact"/>
        <w:ind w:firstLine="643" w:firstLineChars="200"/>
        <w:rPr>
          <w:rFonts w:hint="eastAsia" w:ascii="仿宋" w:hAnsi="仿宋" w:eastAsia="仿宋" w:cs="仿宋"/>
          <w:kern w:val="2"/>
          <w:sz w:val="32"/>
          <w:szCs w:val="32"/>
          <w:lang w:val="en-US" w:eastAsia="zh-CN" w:bidi="ar-SA"/>
        </w:rPr>
      </w:pPr>
      <w:r>
        <w:rPr>
          <w:rFonts w:hint="eastAsia" w:ascii="仿宋_GB2312" w:hAnsi="仿宋_GB2312" w:eastAsia="仿宋_GB2312" w:cs="仿宋_GB2312"/>
          <w:b/>
          <w:bCs/>
          <w:color w:val="auto"/>
          <w:sz w:val="32"/>
          <w:szCs w:val="32"/>
        </w:rPr>
        <w:t>1、年度总体目标：</w:t>
      </w:r>
      <w:r>
        <w:rPr>
          <w:rFonts w:hint="eastAsia" w:ascii="仿宋" w:hAnsi="仿宋" w:eastAsia="仿宋" w:cs="仿宋"/>
          <w:kern w:val="2"/>
          <w:sz w:val="32"/>
          <w:szCs w:val="32"/>
          <w:lang w:val="en-US" w:eastAsia="zh-CN" w:bidi="ar-SA"/>
        </w:rPr>
        <w:t>计划为喀拉布拉克村1组至7组村内长10公里的巷道安装6米高的太阳能路灯400盏，每盏约1800元，项目总投资约72万元。通过项目实施，极大地改善村民生活质量，改善村民的夜间照明条件，提高村民的生活质量和安全性。</w:t>
      </w:r>
    </w:p>
    <w:p w14:paraId="05E36098">
      <w:pPr>
        <w:pStyle w:val="1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both"/>
        <w:textAlignment w:val="auto"/>
        <w:rPr>
          <w:rFonts w:hint="eastAsia" w:ascii="仿宋" w:hAnsi="仿宋" w:eastAsia="仿宋" w:cs="仿宋"/>
          <w:kern w:val="2"/>
          <w:sz w:val="32"/>
          <w:szCs w:val="32"/>
          <w:lang w:val="en-US" w:eastAsia="zh-CN" w:bidi="ar-SA"/>
        </w:rPr>
      </w:pPr>
      <w:r>
        <w:rPr>
          <w:rFonts w:hint="eastAsia" w:ascii="仿宋_GB2312" w:hAnsi="仿宋_GB2312" w:eastAsia="仿宋_GB2312" w:cs="仿宋_GB2312"/>
          <w:b/>
          <w:bCs/>
          <w:sz w:val="32"/>
          <w:szCs w:val="32"/>
          <w:lang w:val="en-US" w:eastAsia="zh-CN"/>
        </w:rPr>
        <w:t>2、直接效益：</w:t>
      </w:r>
      <w:r>
        <w:rPr>
          <w:rFonts w:hint="eastAsia" w:ascii="仿宋" w:hAnsi="仿宋" w:eastAsia="仿宋" w:cs="仿宋"/>
          <w:kern w:val="2"/>
          <w:sz w:val="32"/>
          <w:szCs w:val="32"/>
          <w:lang w:val="en-US" w:eastAsia="zh-CN" w:bidi="ar-SA"/>
        </w:rPr>
        <w:t>一是项目的实施可以推动村庄基础设施的完善和升级，提高村民的生活品质。二是改善村民生活质量，提高夜间照明条件。三是提升村庄整体形象吸引更多的游客。四是活跃夜间经济，为群众夜间生活提供明亮环境，促进夜间经济发展。五是节约能源，太阳能路灯可以减少能源消耗，减少电力浪费。</w:t>
      </w:r>
    </w:p>
    <w:p w14:paraId="4B640F06">
      <w:pPr>
        <w:pStyle w:val="12"/>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kern w:val="2"/>
          <w:sz w:val="32"/>
          <w:szCs w:val="32"/>
          <w:lang w:val="en-US" w:eastAsia="zh-CN" w:bidi="ar-SA"/>
        </w:rPr>
      </w:pPr>
      <w:r>
        <w:rPr>
          <w:rFonts w:hint="eastAsia" w:ascii="仿宋_GB2312" w:hAnsi="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rPr>
        <w:t>、间接效益：</w:t>
      </w:r>
      <w:r>
        <w:rPr>
          <w:rFonts w:hint="eastAsia" w:ascii="仿宋" w:hAnsi="仿宋" w:eastAsia="仿宋" w:cs="仿宋"/>
          <w:kern w:val="2"/>
          <w:sz w:val="32"/>
          <w:szCs w:val="32"/>
          <w:lang w:val="en-US" w:eastAsia="zh-CN" w:bidi="ar-SA"/>
        </w:rPr>
        <w:t>一是该项目可减少资源消耗。二是能够改善夜间道路情况，提高安全系数。三是加快乡村振兴建设，提升发展步伐。</w:t>
      </w:r>
    </w:p>
    <w:p w14:paraId="7E9FA7EF">
      <w:pPr>
        <w:keepNext w:val="0"/>
        <w:keepLines w:val="0"/>
        <w:pageBreakBefore w:val="0"/>
        <w:widowControl w:val="0"/>
        <w:kinsoku/>
        <w:wordWrap/>
        <w:overflowPunct/>
        <w:topLinePunct w:val="0"/>
        <w:bidi w:val="0"/>
        <w:snapToGrid/>
        <w:spacing w:line="560" w:lineRule="exact"/>
        <w:ind w:firstLine="643" w:firstLineChars="200"/>
        <w:rPr>
          <w:rFonts w:hint="eastAsia" w:ascii="仿宋" w:hAnsi="仿宋" w:eastAsia="仿宋" w:cs="仿宋"/>
          <w:kern w:val="2"/>
          <w:sz w:val="32"/>
          <w:szCs w:val="32"/>
          <w:lang w:val="en-US" w:eastAsia="zh-CN" w:bidi="ar-SA"/>
        </w:rPr>
      </w:pPr>
      <w:r>
        <w:rPr>
          <w:rFonts w:hint="eastAsia" w:ascii="仿宋_GB2312" w:hAnsi="仿宋_GB2312" w:eastAsia="仿宋_GB2312" w:cs="仿宋_GB2312"/>
          <w:b/>
          <w:bCs/>
          <w:color w:val="auto"/>
          <w:sz w:val="32"/>
          <w:szCs w:val="32"/>
          <w:lang w:val="en-US" w:eastAsia="zh-CN"/>
        </w:rPr>
        <w:t>4</w:t>
      </w:r>
      <w:r>
        <w:rPr>
          <w:rFonts w:hint="eastAsia" w:ascii="仿宋_GB2312" w:hAnsi="仿宋_GB2312" w:eastAsia="仿宋_GB2312" w:cs="仿宋_GB2312"/>
          <w:b/>
          <w:bCs/>
          <w:color w:val="auto"/>
          <w:sz w:val="32"/>
          <w:szCs w:val="32"/>
        </w:rPr>
        <w:t>、社会效益</w:t>
      </w:r>
      <w:r>
        <w:rPr>
          <w:rFonts w:hint="eastAsia" w:ascii="仿宋_GB2312" w:hAnsi="仿宋_GB2312" w:eastAsia="仿宋_GB2312" w:cs="仿宋_GB2312"/>
          <w:b/>
          <w:bCs/>
          <w:color w:val="auto"/>
          <w:sz w:val="32"/>
          <w:szCs w:val="32"/>
          <w:highlight w:val="none"/>
        </w:rPr>
        <w:t>：</w:t>
      </w:r>
      <w:r>
        <w:rPr>
          <w:rFonts w:hint="eastAsia" w:ascii="仿宋" w:hAnsi="仿宋" w:eastAsia="仿宋" w:cs="仿宋"/>
          <w:kern w:val="2"/>
          <w:sz w:val="32"/>
          <w:szCs w:val="32"/>
          <w:lang w:val="en-US" w:eastAsia="zh-CN" w:bidi="ar-SA"/>
        </w:rPr>
        <w:t>提高群众生活水平及改善环境质量，进一步完善喀拉布拉克村道路照明条件，方便辖区群众生活，提升夜间安全系数，促进夜间经济发展。该项目覆盖群众900户2486人，其中脱贫户28户79人，监测对象8户27人。</w:t>
      </w:r>
    </w:p>
    <w:p w14:paraId="1EEB3D89">
      <w:pPr>
        <w:keepNext w:val="0"/>
        <w:keepLines w:val="0"/>
        <w:pageBreakBefore w:val="0"/>
        <w:widowControl w:val="0"/>
        <w:kinsoku/>
        <w:wordWrap/>
        <w:overflowPunct/>
        <w:topLinePunct w:val="0"/>
        <w:bidi w:val="0"/>
        <w:snapToGrid/>
        <w:spacing w:line="560" w:lineRule="exact"/>
        <w:ind w:firstLine="643" w:firstLineChars="200"/>
        <w:rPr>
          <w:rFonts w:hint="eastAsia" w:ascii="仿宋" w:hAnsi="仿宋" w:eastAsia="仿宋" w:cs="仿宋"/>
          <w:kern w:val="2"/>
          <w:sz w:val="32"/>
          <w:szCs w:val="32"/>
          <w:lang w:val="en-US" w:eastAsia="zh-CN" w:bidi="ar-SA"/>
        </w:rPr>
      </w:pPr>
      <w:r>
        <w:rPr>
          <w:rFonts w:hint="eastAsia" w:ascii="仿宋_GB2312" w:hAnsi="仿宋_GB2312" w:eastAsia="仿宋_GB2312" w:cs="仿宋_GB2312"/>
          <w:b/>
          <w:bCs/>
          <w:color w:val="auto"/>
          <w:sz w:val="32"/>
          <w:szCs w:val="32"/>
          <w:highlight w:val="none"/>
          <w:lang w:val="en-US" w:eastAsia="zh-CN"/>
        </w:rPr>
        <w:t>5</w:t>
      </w:r>
      <w:r>
        <w:rPr>
          <w:rFonts w:hint="eastAsia" w:ascii="仿宋_GB2312" w:hAnsi="仿宋_GB2312" w:eastAsia="仿宋_GB2312" w:cs="仿宋_GB2312"/>
          <w:b/>
          <w:bCs/>
          <w:color w:val="auto"/>
          <w:sz w:val="32"/>
          <w:szCs w:val="32"/>
          <w:highlight w:val="none"/>
        </w:rPr>
        <w:t>、可持续影响指标：</w:t>
      </w:r>
      <w:r>
        <w:rPr>
          <w:rFonts w:hint="eastAsia" w:ascii="仿宋" w:hAnsi="仿宋" w:eastAsia="仿宋" w:cs="仿宋"/>
          <w:kern w:val="2"/>
          <w:sz w:val="32"/>
          <w:szCs w:val="32"/>
          <w:lang w:val="en-US" w:eastAsia="zh-CN" w:bidi="ar-SA"/>
        </w:rPr>
        <w:t>项目的实施能够为郭勒布依乡喀拉布拉克村群众安全出行提供了安全保障，提升本村综合服务能力，进一步改善群众生活品质特别是人居环境，太阳能路灯使用年限可达5年。</w:t>
      </w:r>
    </w:p>
    <w:p w14:paraId="334415C2">
      <w:pPr>
        <w:pStyle w:val="13"/>
        <w:keepNext w:val="0"/>
        <w:keepLines w:val="0"/>
        <w:pageBreakBefore w:val="0"/>
        <w:widowControl w:val="0"/>
        <w:kinsoku/>
        <w:wordWrap/>
        <w:overflowPunct/>
        <w:topLinePunct w:val="0"/>
        <w:bidi w:val="0"/>
        <w:snapToGrid/>
        <w:spacing w:line="560" w:lineRule="exact"/>
        <w:ind w:firstLine="641"/>
        <w:rPr>
          <w:rFonts w:hint="default" w:ascii="仿宋" w:hAnsi="仿宋" w:eastAsia="仿宋" w:cs="仿宋"/>
          <w:color w:val="auto"/>
          <w:kern w:val="2"/>
          <w:sz w:val="32"/>
          <w:szCs w:val="32"/>
          <w:lang w:val="en-US" w:eastAsia="zh-CN" w:bidi="ar-SA"/>
        </w:rPr>
      </w:pPr>
      <w:r>
        <w:rPr>
          <w:rFonts w:hint="eastAsia" w:ascii="仿宋_GB2312" w:hAnsi="仿宋_GB2312" w:cs="仿宋_GB2312"/>
          <w:color w:val="auto"/>
          <w:sz w:val="32"/>
          <w:szCs w:val="32"/>
        </w:rPr>
        <w:t xml:space="preserve">   </w:t>
      </w:r>
      <w:r>
        <w:rPr>
          <w:rFonts w:hint="eastAsia" w:ascii="仿宋_GB2312" w:hAnsi="仿宋_GB2312" w:cs="仿宋_GB2312"/>
          <w:b/>
          <w:bCs/>
          <w:color w:val="auto"/>
          <w:sz w:val="32"/>
          <w:szCs w:val="32"/>
          <w:lang w:val="en-US" w:eastAsia="zh-CN"/>
        </w:rPr>
        <w:t>6</w:t>
      </w:r>
      <w:r>
        <w:rPr>
          <w:rFonts w:hint="eastAsia" w:ascii="仿宋_GB2312" w:hAnsi="仿宋_GB2312" w:cs="仿宋_GB2312"/>
          <w:b/>
          <w:bCs/>
          <w:color w:val="auto"/>
          <w:sz w:val="32"/>
          <w:szCs w:val="32"/>
        </w:rPr>
        <w:t>、</w:t>
      </w:r>
      <w:r>
        <w:rPr>
          <w:rFonts w:hint="eastAsia" w:ascii="仿宋_GB2312" w:hAnsi="仿宋_GB2312" w:eastAsia="仿宋_GB2312" w:cs="仿宋_GB2312"/>
          <w:b/>
          <w:bCs/>
          <w:color w:val="auto"/>
          <w:kern w:val="2"/>
          <w:sz w:val="32"/>
          <w:szCs w:val="32"/>
          <w:highlight w:val="none"/>
          <w:lang w:val="en-US" w:eastAsia="zh-CN" w:bidi="ar-SA"/>
        </w:rPr>
        <w:t>服务对象满意度：</w:t>
      </w:r>
      <w:r>
        <w:rPr>
          <w:rFonts w:hint="eastAsia" w:ascii="仿宋" w:hAnsi="仿宋" w:eastAsia="仿宋" w:cs="仿宋"/>
          <w:color w:val="auto"/>
          <w:kern w:val="2"/>
          <w:sz w:val="32"/>
          <w:szCs w:val="32"/>
          <w:lang w:val="en-US" w:eastAsia="zh-CN" w:bidi="ar-SA"/>
        </w:rPr>
        <w:t>项目实施投入使用后，预计项目区受益群众满意度可达到90%以上，受益脱贫和监测人口满意度可达到95%以上。</w:t>
      </w:r>
    </w:p>
    <w:p w14:paraId="5655F40F">
      <w:pPr>
        <w:pStyle w:val="13"/>
        <w:keepNext w:val="0"/>
        <w:keepLines w:val="0"/>
        <w:pageBreakBefore w:val="0"/>
        <w:widowControl w:val="0"/>
        <w:kinsoku/>
        <w:wordWrap/>
        <w:overflowPunct/>
        <w:topLinePunct w:val="0"/>
        <w:bidi w:val="0"/>
        <w:snapToGrid/>
        <w:spacing w:line="560" w:lineRule="exact"/>
        <w:ind w:firstLine="641"/>
        <w:textAlignment w:val="auto"/>
        <w:rPr>
          <w:rFonts w:ascii="黑体" w:hAnsi="黑体" w:eastAsia="黑体" w:cs="黑体"/>
          <w:b/>
          <w:bCs/>
          <w:color w:val="auto"/>
          <w:sz w:val="32"/>
          <w:szCs w:val="32"/>
        </w:rPr>
      </w:pPr>
      <w:r>
        <w:rPr>
          <w:rFonts w:hint="eastAsia" w:ascii="黑体" w:hAnsi="黑体" w:eastAsia="黑体" w:cs="黑体"/>
          <w:color w:val="auto"/>
          <w:sz w:val="32"/>
          <w:szCs w:val="32"/>
        </w:rPr>
        <w:t>八、</w:t>
      </w:r>
      <w:r>
        <w:rPr>
          <w:rFonts w:ascii="黑体" w:hAnsi="黑体" w:eastAsia="黑体" w:cs="黑体"/>
          <w:color w:val="auto"/>
          <w:sz w:val="32"/>
          <w:szCs w:val="32"/>
        </w:rPr>
        <w:t>风险防范机制</w:t>
      </w:r>
    </w:p>
    <w:p w14:paraId="429C9B96">
      <w:pPr>
        <w:pStyle w:val="14"/>
        <w:keepNext w:val="0"/>
        <w:keepLines w:val="0"/>
        <w:pageBreakBefore w:val="0"/>
        <w:widowControl w:val="0"/>
        <w:kinsoku/>
        <w:wordWrap/>
        <w:overflowPunct/>
        <w:topLinePunct w:val="0"/>
        <w:bidi w:val="0"/>
        <w:snapToGrid/>
        <w:spacing w:line="560" w:lineRule="exact"/>
        <w:ind w:firstLine="643"/>
        <w:textAlignment w:val="auto"/>
        <w:rPr>
          <w:rFonts w:hint="eastAsia" w:ascii="仿宋" w:hAnsi="仿宋" w:eastAsia="仿宋" w:cs="仿宋"/>
          <w:color w:val="auto"/>
          <w:kern w:val="2"/>
          <w:sz w:val="32"/>
          <w:szCs w:val="32"/>
          <w:lang w:val="en-US" w:eastAsia="zh-CN" w:bidi="ar-SA"/>
        </w:rPr>
      </w:pPr>
      <w:r>
        <w:rPr>
          <w:rFonts w:hint="eastAsia" w:ascii="仿宋_GB2312" w:hAnsi="仿宋_GB2312" w:eastAsia="仿宋_GB2312" w:cs="仿宋_GB2312"/>
          <w:b/>
          <w:bCs/>
          <w:color w:val="auto"/>
          <w:sz w:val="32"/>
          <w:szCs w:val="32"/>
        </w:rPr>
        <w:t xml:space="preserve"> </w:t>
      </w:r>
      <w:r>
        <w:rPr>
          <w:rFonts w:hint="eastAsia" w:ascii="仿宋_GB2312" w:hAnsi="仿宋_GB2312" w:eastAsia="仿宋_GB2312" w:cs="仿宋_GB2312"/>
          <w:b/>
          <w:bCs/>
          <w:sz w:val="28"/>
          <w:szCs w:val="28"/>
          <w:lang w:val="en-US" w:eastAsia="zh-CN"/>
        </w:rPr>
        <w:t>（一）</w:t>
      </w:r>
      <w:r>
        <w:rPr>
          <w:rFonts w:hint="eastAsia" w:ascii="仿宋_GB2312" w:hAnsi="仿宋_GB2312" w:eastAsia="仿宋_GB2312" w:cs="仿宋_GB2312"/>
          <w:b/>
          <w:bCs/>
          <w:color w:val="auto"/>
          <w:sz w:val="32"/>
          <w:szCs w:val="32"/>
        </w:rPr>
        <w:t>主要风险因素：</w:t>
      </w:r>
      <w:r>
        <w:rPr>
          <w:rFonts w:hint="eastAsia" w:ascii="仿宋" w:hAnsi="仿宋" w:eastAsia="仿宋" w:cs="仿宋"/>
          <w:color w:val="auto"/>
          <w:kern w:val="2"/>
          <w:sz w:val="32"/>
          <w:szCs w:val="32"/>
          <w:lang w:val="en-US" w:eastAsia="zh-CN" w:bidi="ar-SA"/>
        </w:rPr>
        <w:t>一是项目实施过程中，施工噪声可能影响周边群众，并施工人员安全意识不高、施工设备风险及施工单位内部管理不善等问题方面会对当地村庄和群众造成一些影响。二是太阳能路灯质量风险：采购的路灯应严格把控验收质量，以防质量不合格，造成资金浪费。三是市场价格风险：实际采购路灯时，可能存在市场价格变动风险，导致实际价格与预算不符。</w:t>
      </w:r>
    </w:p>
    <w:p w14:paraId="63CE2F7E">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仿宋" w:hAnsi="仿宋" w:eastAsia="仿宋" w:cs="仿宋"/>
          <w:color w:val="auto"/>
          <w:kern w:val="2"/>
          <w:sz w:val="32"/>
          <w:szCs w:val="32"/>
          <w:lang w:val="en-US" w:eastAsia="zh-CN" w:bidi="ar-SA"/>
        </w:rPr>
      </w:pPr>
      <w:r>
        <w:rPr>
          <w:rFonts w:hint="eastAsia" w:ascii="仿宋_GB2312" w:hAnsi="仿宋_GB2312" w:eastAsia="仿宋_GB2312" w:cs="仿宋_GB2312"/>
          <w:b/>
          <w:bCs/>
          <w:sz w:val="28"/>
          <w:szCs w:val="28"/>
          <w:lang w:val="en-US" w:eastAsia="zh-CN"/>
        </w:rPr>
        <w:t>（二）</w:t>
      </w:r>
      <w:r>
        <w:rPr>
          <w:rFonts w:hint="eastAsia" w:ascii="仿宋_GB2312" w:hAnsi="仿宋_GB2312" w:eastAsia="仿宋_GB2312" w:cs="仿宋_GB2312"/>
          <w:b/>
          <w:bCs/>
          <w:color w:val="auto"/>
          <w:sz w:val="32"/>
          <w:szCs w:val="32"/>
        </w:rPr>
        <w:t>防范化解措施：</w:t>
      </w:r>
      <w:r>
        <w:rPr>
          <w:rFonts w:hint="eastAsia" w:ascii="仿宋" w:hAnsi="仿宋" w:eastAsia="仿宋" w:cs="仿宋"/>
          <w:color w:val="auto"/>
          <w:kern w:val="2"/>
          <w:sz w:val="32"/>
          <w:szCs w:val="32"/>
          <w:lang w:val="en-US" w:eastAsia="zh-CN" w:bidi="ar-SA"/>
        </w:rPr>
        <w:t>一是噪声的污染防治是一个总体工程，在各个环节均做到良好的控制，施工沿线的噪声影响才可达到最低限度，施工单位加强工程车辆驾驶人员交通安全教育，施工车辆按指定线路行驶，在穿越村庄、人口密集区域要减速慢行。二是对施工人员开展对安全意识的培训和宣讲，检查施工设备使用许可证等材料，确保施工设备无隐患。三是严格按照要求采取政府采购，对厂家资质进行仔细核对，购买正规路灯和相关保险。通过询价、招标等方式选择质量合格，服务有保障的采购方，降低采购成本，确保项目产品质量和服务质量。</w:t>
      </w:r>
    </w:p>
    <w:sectPr>
      <w:pgSz w:w="11906" w:h="16838"/>
      <w:pgMar w:top="2098" w:right="1531" w:bottom="1984" w:left="1531"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FA6C887-D54F-47F9-A3A8-320BDA42D58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0CEB1D3B-0D80-4CBB-BAE8-36507068BE03}"/>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embedRegular r:id="rId3" w:fontKey="{67769A74-5B08-4AA5-9CE2-374CE99687BB}"/>
  </w:font>
  <w:font w:name="HYb2gj">
    <w:altName w:val="宋体"/>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embedRegular r:id="rId4" w:fontKey="{0DAC5B2B-E3C4-43E2-8B6D-51E435F68B28}"/>
  </w:font>
  <w:font w:name="方正小标宋简体">
    <w:panose1 w:val="02000000000000000000"/>
    <w:charset w:val="86"/>
    <w:family w:val="auto"/>
    <w:pitch w:val="default"/>
    <w:sig w:usb0="A00002BF" w:usb1="184F6CFA" w:usb2="00000012" w:usb3="00000000" w:csb0="00040001" w:csb1="00000000"/>
    <w:embedRegular r:id="rId5" w:fontKey="{2FA67BCD-B187-4BAF-B250-B8DF8B151731}"/>
  </w:font>
  <w:font w:name="仿宋">
    <w:panose1 w:val="02010609060101010101"/>
    <w:charset w:val="86"/>
    <w:family w:val="modern"/>
    <w:pitch w:val="default"/>
    <w:sig w:usb0="800002BF" w:usb1="38CF7CFA" w:usb2="00000016" w:usb3="00000000" w:csb0="00040001" w:csb1="00000000"/>
    <w:embedRegular r:id="rId6" w:fontKey="{FFDF6E94-32BE-474A-B818-CA3F981F27CC}"/>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YjFjMmIwMDJjMWYwZTEyYTM2YTY5OTY1ZThiNWIifQ=="/>
  </w:docVars>
  <w:rsids>
    <w:rsidRoot w:val="00CF5342"/>
    <w:rsid w:val="000D72F9"/>
    <w:rsid w:val="001D2FC3"/>
    <w:rsid w:val="00271350"/>
    <w:rsid w:val="006B0B88"/>
    <w:rsid w:val="0071605E"/>
    <w:rsid w:val="00A63D04"/>
    <w:rsid w:val="00A83FAB"/>
    <w:rsid w:val="00AB77F9"/>
    <w:rsid w:val="00B43FAF"/>
    <w:rsid w:val="00B57335"/>
    <w:rsid w:val="00B75A95"/>
    <w:rsid w:val="00CD2833"/>
    <w:rsid w:val="00CF5342"/>
    <w:rsid w:val="00D5063D"/>
    <w:rsid w:val="00DC16D0"/>
    <w:rsid w:val="00F8244C"/>
    <w:rsid w:val="01D053DA"/>
    <w:rsid w:val="03074A50"/>
    <w:rsid w:val="04253689"/>
    <w:rsid w:val="04AE7E13"/>
    <w:rsid w:val="07C028FD"/>
    <w:rsid w:val="08AE6300"/>
    <w:rsid w:val="0BAB0B82"/>
    <w:rsid w:val="0BBD13F4"/>
    <w:rsid w:val="0C732416"/>
    <w:rsid w:val="0C807B82"/>
    <w:rsid w:val="0CA72A82"/>
    <w:rsid w:val="0D1B1ACD"/>
    <w:rsid w:val="0D8A5EBF"/>
    <w:rsid w:val="0DC43F13"/>
    <w:rsid w:val="0DFE55E7"/>
    <w:rsid w:val="0E935DF8"/>
    <w:rsid w:val="0FA22032"/>
    <w:rsid w:val="105B1B61"/>
    <w:rsid w:val="10BE10ED"/>
    <w:rsid w:val="12B02035"/>
    <w:rsid w:val="13250FB0"/>
    <w:rsid w:val="1468384A"/>
    <w:rsid w:val="15A63843"/>
    <w:rsid w:val="163D0008"/>
    <w:rsid w:val="1853036D"/>
    <w:rsid w:val="18FC2680"/>
    <w:rsid w:val="19FF643B"/>
    <w:rsid w:val="1AAE5D2F"/>
    <w:rsid w:val="1C302C76"/>
    <w:rsid w:val="1C420E24"/>
    <w:rsid w:val="1E2A0A44"/>
    <w:rsid w:val="1EB370DF"/>
    <w:rsid w:val="1F50486C"/>
    <w:rsid w:val="1FB83802"/>
    <w:rsid w:val="201712B4"/>
    <w:rsid w:val="2075083A"/>
    <w:rsid w:val="20B16579"/>
    <w:rsid w:val="2144119B"/>
    <w:rsid w:val="215D1C0C"/>
    <w:rsid w:val="240837F9"/>
    <w:rsid w:val="243D2C42"/>
    <w:rsid w:val="250956C3"/>
    <w:rsid w:val="253908EB"/>
    <w:rsid w:val="256604EB"/>
    <w:rsid w:val="257741A5"/>
    <w:rsid w:val="26455605"/>
    <w:rsid w:val="26841D84"/>
    <w:rsid w:val="270311B0"/>
    <w:rsid w:val="276B4C73"/>
    <w:rsid w:val="288D35D5"/>
    <w:rsid w:val="29B96516"/>
    <w:rsid w:val="29F6324E"/>
    <w:rsid w:val="2A300F40"/>
    <w:rsid w:val="2A334260"/>
    <w:rsid w:val="2A3F4BF5"/>
    <w:rsid w:val="2A6B59EA"/>
    <w:rsid w:val="2AC834AA"/>
    <w:rsid w:val="2AE5640A"/>
    <w:rsid w:val="2B731902"/>
    <w:rsid w:val="2B735DE8"/>
    <w:rsid w:val="2BBE606A"/>
    <w:rsid w:val="2C844B41"/>
    <w:rsid w:val="2D713318"/>
    <w:rsid w:val="2D9708A4"/>
    <w:rsid w:val="31495169"/>
    <w:rsid w:val="3152520E"/>
    <w:rsid w:val="315C308A"/>
    <w:rsid w:val="32C87C2C"/>
    <w:rsid w:val="33430AA7"/>
    <w:rsid w:val="33EA7980"/>
    <w:rsid w:val="34C208FD"/>
    <w:rsid w:val="35E11E65"/>
    <w:rsid w:val="37D90437"/>
    <w:rsid w:val="37F54B45"/>
    <w:rsid w:val="39137979"/>
    <w:rsid w:val="39934616"/>
    <w:rsid w:val="3A862E19"/>
    <w:rsid w:val="3DFD4D3B"/>
    <w:rsid w:val="3EBD38F1"/>
    <w:rsid w:val="3F1E0E25"/>
    <w:rsid w:val="40CC265C"/>
    <w:rsid w:val="41C36C2C"/>
    <w:rsid w:val="426E5C20"/>
    <w:rsid w:val="43210932"/>
    <w:rsid w:val="432E2EE7"/>
    <w:rsid w:val="44AF4274"/>
    <w:rsid w:val="44FF2CEF"/>
    <w:rsid w:val="450847D3"/>
    <w:rsid w:val="4517434D"/>
    <w:rsid w:val="45F27D9D"/>
    <w:rsid w:val="467C5658"/>
    <w:rsid w:val="46BC3E73"/>
    <w:rsid w:val="47A85096"/>
    <w:rsid w:val="485F7552"/>
    <w:rsid w:val="48931F3C"/>
    <w:rsid w:val="48A37E10"/>
    <w:rsid w:val="493D00FA"/>
    <w:rsid w:val="4AC431B7"/>
    <w:rsid w:val="4B4155B6"/>
    <w:rsid w:val="4B931AB6"/>
    <w:rsid w:val="4BE36E91"/>
    <w:rsid w:val="4C355CB2"/>
    <w:rsid w:val="4CE20566"/>
    <w:rsid w:val="4CE70AA9"/>
    <w:rsid w:val="4CF3744D"/>
    <w:rsid w:val="4D5123C6"/>
    <w:rsid w:val="4D7B7211"/>
    <w:rsid w:val="4DDD38D5"/>
    <w:rsid w:val="4EAF2828"/>
    <w:rsid w:val="4EE6167D"/>
    <w:rsid w:val="4F2710C4"/>
    <w:rsid w:val="4FDE7BCF"/>
    <w:rsid w:val="509E3B74"/>
    <w:rsid w:val="519E35A5"/>
    <w:rsid w:val="52286598"/>
    <w:rsid w:val="52B136F7"/>
    <w:rsid w:val="52EA11CD"/>
    <w:rsid w:val="53486025"/>
    <w:rsid w:val="53933738"/>
    <w:rsid w:val="53A14B2E"/>
    <w:rsid w:val="53A3294B"/>
    <w:rsid w:val="540006A2"/>
    <w:rsid w:val="54974982"/>
    <w:rsid w:val="549D72AC"/>
    <w:rsid w:val="550774E8"/>
    <w:rsid w:val="551A003B"/>
    <w:rsid w:val="553F5C66"/>
    <w:rsid w:val="57457853"/>
    <w:rsid w:val="58CC56D3"/>
    <w:rsid w:val="59080063"/>
    <w:rsid w:val="5A7415A7"/>
    <w:rsid w:val="5A815FD4"/>
    <w:rsid w:val="5B0F7567"/>
    <w:rsid w:val="5B4330FE"/>
    <w:rsid w:val="5B6A2936"/>
    <w:rsid w:val="5D522484"/>
    <w:rsid w:val="5DE118B9"/>
    <w:rsid w:val="5DEC2690"/>
    <w:rsid w:val="5DF254FF"/>
    <w:rsid w:val="5F3C40C2"/>
    <w:rsid w:val="5FE62499"/>
    <w:rsid w:val="603315F8"/>
    <w:rsid w:val="62127F1E"/>
    <w:rsid w:val="62724F70"/>
    <w:rsid w:val="63950E07"/>
    <w:rsid w:val="63FF625C"/>
    <w:rsid w:val="642C3D6F"/>
    <w:rsid w:val="64EC254E"/>
    <w:rsid w:val="654C3747"/>
    <w:rsid w:val="65A5632D"/>
    <w:rsid w:val="65C30E05"/>
    <w:rsid w:val="67076932"/>
    <w:rsid w:val="67094ABA"/>
    <w:rsid w:val="68F24B59"/>
    <w:rsid w:val="69476A6F"/>
    <w:rsid w:val="694E3BF4"/>
    <w:rsid w:val="69DB2F77"/>
    <w:rsid w:val="6A853C4A"/>
    <w:rsid w:val="6A8E24FE"/>
    <w:rsid w:val="6AA933EA"/>
    <w:rsid w:val="6AC6238E"/>
    <w:rsid w:val="6B252511"/>
    <w:rsid w:val="6B5315AD"/>
    <w:rsid w:val="6BD57F38"/>
    <w:rsid w:val="6CDD50EB"/>
    <w:rsid w:val="6D14777A"/>
    <w:rsid w:val="6FE74798"/>
    <w:rsid w:val="6FFD220E"/>
    <w:rsid w:val="709D5B77"/>
    <w:rsid w:val="70C44AD9"/>
    <w:rsid w:val="711B7254"/>
    <w:rsid w:val="71EF3DD8"/>
    <w:rsid w:val="726245AA"/>
    <w:rsid w:val="729606F7"/>
    <w:rsid w:val="7299689D"/>
    <w:rsid w:val="7372081D"/>
    <w:rsid w:val="74B35591"/>
    <w:rsid w:val="74DA48CB"/>
    <w:rsid w:val="762878B8"/>
    <w:rsid w:val="76EE5DAF"/>
    <w:rsid w:val="76FD0D45"/>
    <w:rsid w:val="77D870BC"/>
    <w:rsid w:val="7A131F51"/>
    <w:rsid w:val="7AB7745D"/>
    <w:rsid w:val="7C8A307B"/>
    <w:rsid w:val="7CBE2D25"/>
    <w:rsid w:val="7D0F5CFF"/>
    <w:rsid w:val="7DE417E8"/>
    <w:rsid w:val="7E284F6A"/>
    <w:rsid w:val="7E5C2374"/>
    <w:rsid w:val="7FDF548C"/>
    <w:rsid w:val="7FEA1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黑体"/>
      <w:kern w:val="2"/>
      <w:sz w:val="21"/>
      <w:szCs w:val="22"/>
      <w:lang w:val="en-US" w:eastAsia="zh-CN" w:bidi="ar-SA"/>
    </w:rPr>
  </w:style>
  <w:style w:type="paragraph" w:styleId="4">
    <w:name w:val="heading 3"/>
    <w:basedOn w:val="1"/>
    <w:next w:val="1"/>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5">
    <w:name w:val="Body Text"/>
    <w:basedOn w:val="1"/>
    <w:next w:val="6"/>
    <w:qFormat/>
    <w:uiPriority w:val="0"/>
    <w:pPr>
      <w:spacing w:after="120"/>
    </w:p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Normal (Web)"/>
    <w:basedOn w:val="1"/>
    <w:qFormat/>
    <w:uiPriority w:val="0"/>
    <w:rPr>
      <w:sz w:val="24"/>
    </w:rPr>
  </w:style>
  <w:style w:type="paragraph" w:styleId="8">
    <w:name w:val="Title"/>
    <w:basedOn w:val="1"/>
    <w:next w:val="1"/>
    <w:qFormat/>
    <w:uiPriority w:val="0"/>
    <w:pPr>
      <w:spacing w:before="240" w:after="60"/>
      <w:jc w:val="center"/>
      <w:outlineLvl w:val="0"/>
    </w:pPr>
    <w:rPr>
      <w:rFonts w:ascii="Arial" w:hAnsi="Arial" w:cs="Arial"/>
      <w:b/>
      <w:bCs/>
      <w:sz w:val="32"/>
      <w:szCs w:val="32"/>
    </w:rPr>
  </w:style>
  <w:style w:type="paragraph" w:customStyle="1" w:styleId="11">
    <w:name w:val="Body Text First Indent1"/>
    <w:basedOn w:val="5"/>
    <w:next w:val="1"/>
    <w:qFormat/>
    <w:uiPriority w:val="0"/>
    <w:pPr>
      <w:spacing w:after="0"/>
      <w:ind w:firstLine="200" w:firstLineChars="200"/>
    </w:pPr>
  </w:style>
  <w:style w:type="paragraph" w:customStyle="1" w:styleId="12">
    <w:name w:val="_Style 1"/>
    <w:qFormat/>
    <w:uiPriority w:val="99"/>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customStyle="1" w:styleId="13">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4">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4235</Words>
  <Characters>4328</Characters>
  <Lines>31</Lines>
  <Paragraphs>8</Paragraphs>
  <TotalTime>14</TotalTime>
  <ScaleCrop>false</ScaleCrop>
  <LinksUpToDate>false</LinksUpToDate>
  <CharactersWithSpaces>4441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2024-01-11T11:13:00Z</dcterms:created>
  <dc:creator>Administrator</dc:creator>
  <cp:lastModifiedBy>Administrator</cp:lastModifiedBy>
  <cp:lastPrinted>2023-12-08T02:20:00Z</cp:lastPrinted>
  <dcterms:modified xsi:type="dcterms:W3CDTF">2025-07-03T01:56:03Z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AB6CABA44F1F4B35B1F0409AD922947B_13</vt:lpwstr>
  </property>
  <property fmtid="{D5CDD505-2E9C-101B-9397-08002B2CF9AE}" pid="4" name="KSOTemplateDocerSaveRecord">
    <vt:lpwstr>eyJoZGlkIjoiMGViYjFjMmIwMDJjMWYwZTEyYTM2YTY5OTY1ZThiNWIiLCJ1c2VySWQiOiI0MDgzNTQxMjQifQ==</vt:lpwstr>
  </property>
</Properties>
</file>