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widowControl w:val="0"/>
        <w:kinsoku/>
        <w:wordWrap/>
        <w:overflowPunct/>
        <w:topLinePunct w:val="0"/>
        <w:autoSpaceDE/>
        <w:autoSpaceDN/>
        <w:bidi w:val="0"/>
        <w:adjustRightInd/>
        <w:snapToGrid/>
        <w:spacing w:line="660" w:lineRule="exact"/>
        <w:jc w:val="center"/>
        <w:textAlignment w:val="auto"/>
        <w:rPr>
          <w:rFonts w:hint="default" w:ascii="Times New Roman" w:hAnsi="Times New Roman" w:eastAsia="方正小标宋简体" w:cs="Times New Roman"/>
          <w:b w:val="0"/>
          <w:bCs w:val="0"/>
          <w:color w:val="auto"/>
          <w:spacing w:val="0"/>
          <w:w w:val="100"/>
          <w:sz w:val="44"/>
          <w:szCs w:val="44"/>
          <w:highlight w:val="none"/>
          <w:shd w:val="clear" w:color="auto" w:fill="auto"/>
          <w:lang w:val="en-US" w:eastAsia="zh-CN"/>
        </w:rPr>
      </w:pPr>
    </w:p>
    <w:p>
      <w:pPr>
        <w:keepNext/>
        <w:keepLines w:val="0"/>
        <w:pageBreakBefore w:val="0"/>
        <w:widowControl w:val="0"/>
        <w:kinsoku/>
        <w:wordWrap/>
        <w:overflowPunct/>
        <w:topLinePunct w:val="0"/>
        <w:autoSpaceDE/>
        <w:autoSpaceDN/>
        <w:bidi w:val="0"/>
        <w:adjustRightInd/>
        <w:snapToGrid/>
        <w:spacing w:line="660" w:lineRule="exact"/>
        <w:jc w:val="center"/>
        <w:textAlignment w:val="auto"/>
        <w:rPr>
          <w:rFonts w:hint="default" w:ascii="Times New Roman" w:hAnsi="Times New Roman" w:eastAsia="方正小标宋简体" w:cs="Times New Roman"/>
          <w:b w:val="0"/>
          <w:bCs w:val="0"/>
          <w:color w:val="auto"/>
          <w:spacing w:val="0"/>
          <w:w w:val="100"/>
          <w:sz w:val="44"/>
          <w:szCs w:val="44"/>
          <w:highlight w:val="none"/>
          <w:shd w:val="clear" w:color="auto" w:fill="auto"/>
          <w:lang w:val="en-US" w:eastAsia="zh-CN"/>
        </w:rPr>
      </w:pPr>
    </w:p>
    <w:p>
      <w:pPr>
        <w:keepNext/>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方正小标宋简体" w:cs="Times New Roman"/>
          <w:b w:val="0"/>
          <w:bCs w:val="0"/>
          <w:color w:val="auto"/>
          <w:spacing w:val="0"/>
          <w:w w:val="100"/>
          <w:sz w:val="44"/>
          <w:szCs w:val="44"/>
          <w:highlight w:val="none"/>
          <w:shd w:val="clear" w:color="auto" w:fill="auto"/>
          <w:lang w:val="en-US" w:eastAsia="zh-CN"/>
        </w:rPr>
      </w:pPr>
      <w:r>
        <w:rPr>
          <w:rFonts w:hint="default" w:ascii="Times New Roman" w:hAnsi="Times New Roman" w:eastAsia="方正小标宋简体" w:cs="Times New Roman"/>
          <w:b w:val="0"/>
          <w:bCs w:val="0"/>
          <w:color w:val="auto"/>
          <w:spacing w:val="0"/>
          <w:w w:val="100"/>
          <w:sz w:val="44"/>
          <w:szCs w:val="44"/>
          <w:highlight w:val="none"/>
          <w:shd w:val="clear" w:color="auto" w:fill="auto"/>
          <w:lang w:val="en-US" w:eastAsia="zh-CN"/>
        </w:rPr>
        <w:t>伊拉湖镇林果提质增效项目</w:t>
      </w:r>
    </w:p>
    <w:p>
      <w:pPr>
        <w:keepNext/>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方正小标宋简体" w:cs="Times New Roman"/>
          <w:b w:val="0"/>
          <w:bCs w:val="0"/>
          <w:color w:val="auto"/>
          <w:spacing w:val="0"/>
          <w:w w:val="100"/>
          <w:sz w:val="44"/>
          <w:szCs w:val="44"/>
          <w:highlight w:val="none"/>
          <w:shd w:val="clear" w:color="auto" w:fill="auto"/>
          <w:lang w:val="en-US" w:eastAsia="zh-CN"/>
        </w:rPr>
      </w:pPr>
      <w:r>
        <w:rPr>
          <w:rFonts w:hint="default" w:ascii="Times New Roman" w:hAnsi="Times New Roman" w:eastAsia="方正小标宋简体" w:cs="Times New Roman"/>
          <w:b w:val="0"/>
          <w:bCs w:val="0"/>
          <w:color w:val="auto"/>
          <w:spacing w:val="0"/>
          <w:w w:val="100"/>
          <w:sz w:val="44"/>
          <w:szCs w:val="44"/>
          <w:highlight w:val="none"/>
          <w:shd w:val="clear" w:color="auto" w:fill="auto"/>
          <w:lang w:val="en-US" w:eastAsia="zh-CN"/>
        </w:rPr>
        <w:t>实施方案</w:t>
      </w:r>
    </w:p>
    <w:p>
      <w:pPr>
        <w:keepNext/>
        <w:keepLines w:val="0"/>
        <w:pageBreakBefore w:val="0"/>
        <w:widowControl w:val="0"/>
        <w:kinsoku/>
        <w:wordWrap/>
        <w:overflowPunct/>
        <w:topLinePunct w:val="0"/>
        <w:autoSpaceDE/>
        <w:autoSpaceDN/>
        <w:bidi w:val="0"/>
        <w:adjustRightInd/>
        <w:snapToGrid/>
        <w:spacing w:line="660" w:lineRule="exact"/>
        <w:jc w:val="center"/>
        <w:textAlignment w:val="auto"/>
        <w:rPr>
          <w:rFonts w:hint="default" w:ascii="Times New Roman" w:hAnsi="Times New Roman" w:eastAsia="方正小标宋简体" w:cs="Times New Roman"/>
          <w:b w:val="0"/>
          <w:bCs w:val="0"/>
          <w:color w:val="auto"/>
          <w:spacing w:val="0"/>
          <w:w w:val="100"/>
          <w:sz w:val="44"/>
          <w:szCs w:val="44"/>
          <w:highlight w:val="none"/>
          <w:shd w:val="clear" w:color="auto" w:fill="auto"/>
          <w:lang w:val="en-US" w:eastAsia="zh-CN"/>
        </w:rPr>
      </w:pPr>
    </w:p>
    <w:p>
      <w:pPr>
        <w:pStyle w:val="10"/>
        <w:rPr>
          <w:rFonts w:hint="default" w:ascii="Times New Roman" w:hAnsi="Times New Roman" w:eastAsia="方正小标宋简体" w:cs="Times New Roman"/>
          <w:b w:val="0"/>
          <w:bCs w:val="0"/>
          <w:color w:val="auto"/>
          <w:spacing w:val="0"/>
          <w:w w:val="100"/>
          <w:sz w:val="44"/>
          <w:szCs w:val="44"/>
          <w:highlight w:val="none"/>
          <w:shd w:val="clear" w:color="auto" w:fill="auto"/>
          <w:lang w:val="en-US" w:eastAsia="zh-CN"/>
        </w:rPr>
      </w:pPr>
    </w:p>
    <w:p>
      <w:pPr>
        <w:pStyle w:val="10"/>
        <w:rPr>
          <w:rFonts w:hint="default" w:ascii="Times New Roman" w:hAnsi="Times New Roman" w:eastAsia="方正小标宋简体" w:cs="Times New Roman"/>
          <w:b w:val="0"/>
          <w:bCs w:val="0"/>
          <w:color w:val="auto"/>
          <w:spacing w:val="0"/>
          <w:w w:val="100"/>
          <w:sz w:val="44"/>
          <w:szCs w:val="44"/>
          <w:highlight w:val="none"/>
          <w:shd w:val="clear" w:color="auto" w:fill="auto"/>
          <w:lang w:val="en-US" w:eastAsia="zh-CN"/>
        </w:rPr>
      </w:pPr>
    </w:p>
    <w:p>
      <w:pPr>
        <w:pStyle w:val="10"/>
        <w:rPr>
          <w:rFonts w:hint="default" w:ascii="Times New Roman" w:hAnsi="Times New Roman" w:eastAsia="方正小标宋简体" w:cs="Times New Roman"/>
          <w:b w:val="0"/>
          <w:bCs w:val="0"/>
          <w:color w:val="auto"/>
          <w:spacing w:val="0"/>
          <w:w w:val="100"/>
          <w:sz w:val="44"/>
          <w:szCs w:val="44"/>
          <w:highlight w:val="none"/>
          <w:shd w:val="clear" w:color="auto" w:fill="auto"/>
          <w:lang w:val="en-US" w:eastAsia="zh-CN"/>
        </w:rPr>
      </w:pPr>
    </w:p>
    <w:p>
      <w:pPr>
        <w:pStyle w:val="10"/>
        <w:rPr>
          <w:rFonts w:hint="default" w:ascii="Times New Roman" w:hAnsi="Times New Roman" w:eastAsia="方正小标宋简体" w:cs="Times New Roman"/>
          <w:b w:val="0"/>
          <w:bCs w:val="0"/>
          <w:color w:val="auto"/>
          <w:spacing w:val="0"/>
          <w:w w:val="100"/>
          <w:sz w:val="44"/>
          <w:szCs w:val="44"/>
          <w:highlight w:val="none"/>
          <w:shd w:val="clear" w:color="auto" w:fill="auto"/>
          <w:lang w:val="en-US" w:eastAsia="zh-CN"/>
        </w:rPr>
      </w:pPr>
    </w:p>
    <w:p>
      <w:pPr>
        <w:pStyle w:val="10"/>
        <w:rPr>
          <w:rFonts w:hint="default" w:ascii="Times New Roman" w:hAnsi="Times New Roman" w:eastAsia="方正小标宋简体" w:cs="Times New Roman"/>
          <w:b w:val="0"/>
          <w:bCs w:val="0"/>
          <w:color w:val="auto"/>
          <w:spacing w:val="0"/>
          <w:w w:val="100"/>
          <w:sz w:val="44"/>
          <w:szCs w:val="44"/>
          <w:highlight w:val="none"/>
          <w:shd w:val="clear" w:color="auto" w:fill="auto"/>
          <w:lang w:val="en-US" w:eastAsia="zh-CN"/>
        </w:rPr>
      </w:pPr>
    </w:p>
    <w:p>
      <w:pPr>
        <w:pStyle w:val="10"/>
        <w:rPr>
          <w:rFonts w:hint="default" w:ascii="Times New Roman" w:hAnsi="Times New Roman" w:eastAsia="方正小标宋简体" w:cs="Times New Roman"/>
          <w:b w:val="0"/>
          <w:bCs w:val="0"/>
          <w:color w:val="auto"/>
          <w:spacing w:val="0"/>
          <w:w w:val="100"/>
          <w:sz w:val="44"/>
          <w:szCs w:val="44"/>
          <w:highlight w:val="none"/>
          <w:shd w:val="clear" w:color="auto" w:fill="auto"/>
          <w:lang w:val="en-US" w:eastAsia="zh-CN"/>
        </w:rPr>
      </w:pPr>
    </w:p>
    <w:p>
      <w:pPr>
        <w:pStyle w:val="10"/>
        <w:rPr>
          <w:rFonts w:hint="default" w:ascii="Times New Roman" w:hAnsi="Times New Roman" w:eastAsia="方正小标宋简体" w:cs="Times New Roman"/>
          <w:b w:val="0"/>
          <w:bCs w:val="0"/>
          <w:color w:val="auto"/>
          <w:spacing w:val="0"/>
          <w:w w:val="100"/>
          <w:sz w:val="44"/>
          <w:szCs w:val="44"/>
          <w:highlight w:val="none"/>
          <w:shd w:val="clear" w:color="auto" w:fill="auto"/>
          <w:lang w:val="en-US" w:eastAsia="zh-CN"/>
        </w:rPr>
      </w:pPr>
    </w:p>
    <w:p>
      <w:pPr>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黑体" w:hAnsi="黑体" w:eastAsia="黑体" w:cs="黑体"/>
          <w:b w:val="0"/>
          <w:bCs w:val="0"/>
          <w:color w:val="auto"/>
          <w:kern w:val="2"/>
          <w:sz w:val="32"/>
          <w:szCs w:val="32"/>
          <w:highlight w:val="none"/>
          <w:lang w:val="en-US" w:eastAsia="zh-CN" w:bidi="ar-SA"/>
        </w:rPr>
      </w:pPr>
    </w:p>
    <w:p>
      <w:pPr>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黑体" w:hAnsi="黑体" w:eastAsia="黑体" w:cs="黑体"/>
          <w:b w:val="0"/>
          <w:bCs w:val="0"/>
          <w:color w:val="auto"/>
          <w:kern w:val="2"/>
          <w:sz w:val="32"/>
          <w:szCs w:val="32"/>
          <w:highlight w:val="none"/>
          <w:lang w:val="en-US" w:eastAsia="zh-CN" w:bidi="ar-SA"/>
        </w:rPr>
      </w:pPr>
    </w:p>
    <w:p>
      <w:pPr>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黑体" w:hAnsi="黑体" w:eastAsia="黑体" w:cs="黑体"/>
          <w:b w:val="0"/>
          <w:bCs w:val="0"/>
          <w:color w:val="auto"/>
          <w:kern w:val="2"/>
          <w:sz w:val="32"/>
          <w:szCs w:val="32"/>
          <w:highlight w:val="none"/>
          <w:lang w:val="en-US" w:eastAsia="zh-CN" w:bidi="ar-SA"/>
        </w:rPr>
      </w:pPr>
      <w:r>
        <w:rPr>
          <w:rFonts w:hint="eastAsia" w:ascii="黑体" w:hAnsi="黑体" w:eastAsia="黑体" w:cs="黑体"/>
          <w:b w:val="0"/>
          <w:bCs w:val="0"/>
          <w:color w:val="auto"/>
          <w:kern w:val="2"/>
          <w:sz w:val="32"/>
          <w:szCs w:val="32"/>
          <w:highlight w:val="none"/>
          <w:lang w:val="en-US" w:eastAsia="zh-CN" w:bidi="ar-SA"/>
        </w:rPr>
        <w:t>项 目  名 称：伊拉湖镇林果提质增效项目</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default" w:ascii="黑体" w:hAnsi="黑体" w:eastAsia="黑体" w:cs="黑体"/>
          <w:b w:val="0"/>
          <w:bCs w:val="0"/>
          <w:color w:val="auto"/>
          <w:kern w:val="2"/>
          <w:sz w:val="32"/>
          <w:szCs w:val="32"/>
          <w:highlight w:val="none"/>
          <w:lang w:val="en-US" w:eastAsia="zh-CN" w:bidi="ar-SA"/>
        </w:rPr>
      </w:pPr>
      <w:r>
        <w:rPr>
          <w:rFonts w:hint="eastAsia" w:ascii="黑体" w:hAnsi="黑体" w:eastAsia="黑体" w:cs="黑体"/>
          <w:b w:val="0"/>
          <w:bCs w:val="0"/>
          <w:color w:val="auto"/>
          <w:kern w:val="2"/>
          <w:sz w:val="32"/>
          <w:szCs w:val="32"/>
          <w:highlight w:val="none"/>
          <w:lang w:val="en-US" w:eastAsia="zh-CN" w:bidi="ar-SA"/>
        </w:rPr>
        <w:t>项目主管单位：托克逊县乡村振兴局</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default" w:ascii="黑体" w:hAnsi="黑体" w:eastAsia="黑体" w:cs="黑体"/>
          <w:b w:val="0"/>
          <w:bCs w:val="0"/>
          <w:color w:val="auto"/>
          <w:kern w:val="2"/>
          <w:sz w:val="32"/>
          <w:szCs w:val="32"/>
          <w:highlight w:val="none"/>
          <w:lang w:val="en-US" w:eastAsia="zh-CN" w:bidi="ar-SA"/>
        </w:rPr>
      </w:pPr>
      <w:r>
        <w:rPr>
          <w:rFonts w:hint="eastAsia" w:ascii="黑体" w:hAnsi="黑体" w:eastAsia="黑体" w:cs="黑体"/>
          <w:b w:val="0"/>
          <w:bCs w:val="0"/>
          <w:color w:val="auto"/>
          <w:kern w:val="2"/>
          <w:sz w:val="32"/>
          <w:szCs w:val="32"/>
          <w:highlight w:val="none"/>
          <w:lang w:val="en-US" w:eastAsia="zh-CN" w:bidi="ar-SA"/>
        </w:rPr>
        <w:t>项目实施单位：伊拉湖镇人民政府</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default" w:ascii="黑体" w:hAnsi="黑体" w:eastAsia="黑体" w:cs="黑体"/>
          <w:b w:val="0"/>
          <w:bCs w:val="0"/>
          <w:color w:val="auto"/>
          <w:kern w:val="2"/>
          <w:sz w:val="32"/>
          <w:szCs w:val="32"/>
          <w:highlight w:val="none"/>
          <w:lang w:val="en-US" w:eastAsia="zh-CN" w:bidi="ar-SA"/>
        </w:rPr>
      </w:pPr>
      <w:r>
        <w:rPr>
          <w:rFonts w:hint="eastAsia" w:ascii="黑体" w:hAnsi="黑体" w:eastAsia="黑体" w:cs="黑体"/>
          <w:b w:val="0"/>
          <w:bCs w:val="0"/>
          <w:color w:val="auto"/>
          <w:kern w:val="2"/>
          <w:sz w:val="32"/>
          <w:szCs w:val="32"/>
          <w:highlight w:val="none"/>
          <w:lang w:val="en-US" w:eastAsia="zh-CN" w:bidi="ar-SA"/>
        </w:rPr>
        <w:t>编 制  时 间：2025年1月12日</w:t>
      </w:r>
    </w:p>
    <w:p>
      <w:pPr>
        <w:pStyle w:val="2"/>
        <w:rPr>
          <w:rFonts w:hint="eastAsia"/>
          <w:color w:val="auto"/>
          <w:highlight w:val="none"/>
          <w:lang w:val="en-US" w:eastAsia="zh-CN"/>
        </w:rPr>
      </w:pPr>
    </w:p>
    <w:p>
      <w:pPr>
        <w:rPr>
          <w:rFonts w:hint="eastAsia"/>
          <w:color w:val="auto"/>
          <w:highlight w:val="none"/>
          <w:lang w:val="en-US" w:eastAsia="zh-CN"/>
        </w:rPr>
      </w:pPr>
    </w:p>
    <w:p>
      <w:pPr>
        <w:pStyle w:val="2"/>
        <w:rPr>
          <w:rFonts w:hint="eastAsia"/>
          <w:color w:val="auto"/>
          <w:highlight w:val="none"/>
          <w:lang w:val="en-US" w:eastAsia="zh-CN"/>
        </w:rPr>
      </w:pPr>
    </w:p>
    <w:p>
      <w:pPr>
        <w:keepNext/>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 w:val="0"/>
          <w:bCs w:val="0"/>
          <w:color w:val="auto"/>
          <w:spacing w:val="0"/>
          <w:w w:val="100"/>
          <w:sz w:val="44"/>
          <w:szCs w:val="44"/>
          <w:highlight w:val="none"/>
          <w:shd w:val="clear" w:color="auto" w:fill="auto"/>
          <w:lang w:val="en-US" w:eastAsia="zh-CN"/>
        </w:rPr>
      </w:pPr>
      <w:r>
        <w:rPr>
          <w:rFonts w:hint="default" w:ascii="Times New Roman" w:hAnsi="Times New Roman" w:eastAsia="方正小标宋简体" w:cs="Times New Roman"/>
          <w:b w:val="0"/>
          <w:bCs w:val="0"/>
          <w:color w:val="auto"/>
          <w:spacing w:val="0"/>
          <w:w w:val="100"/>
          <w:sz w:val="44"/>
          <w:szCs w:val="44"/>
          <w:highlight w:val="none"/>
          <w:shd w:val="clear" w:color="auto" w:fill="auto"/>
          <w:lang w:val="en-US" w:eastAsia="zh-CN"/>
        </w:rPr>
        <w:t>伊拉湖镇林果提质增效项目</w:t>
      </w:r>
    </w:p>
    <w:p>
      <w:pPr>
        <w:keepNext/>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 w:val="0"/>
          <w:bCs w:val="0"/>
          <w:color w:val="auto"/>
          <w:spacing w:val="0"/>
          <w:w w:val="100"/>
          <w:sz w:val="44"/>
          <w:szCs w:val="44"/>
          <w:highlight w:val="none"/>
          <w:shd w:val="clear" w:color="auto" w:fill="auto"/>
          <w:lang w:val="en-US" w:eastAsia="zh-CN"/>
        </w:rPr>
      </w:pPr>
      <w:r>
        <w:rPr>
          <w:rFonts w:hint="default" w:ascii="Times New Roman" w:hAnsi="Times New Roman" w:eastAsia="方正小标宋简体" w:cs="Times New Roman"/>
          <w:b w:val="0"/>
          <w:bCs w:val="0"/>
          <w:color w:val="auto"/>
          <w:spacing w:val="0"/>
          <w:w w:val="100"/>
          <w:sz w:val="44"/>
          <w:szCs w:val="44"/>
          <w:highlight w:val="none"/>
          <w:shd w:val="clear" w:color="auto" w:fill="auto"/>
          <w:lang w:val="en-US" w:eastAsia="zh-CN"/>
        </w:rPr>
        <w:t>实施方案</w:t>
      </w:r>
    </w:p>
    <w:p>
      <w:pPr>
        <w:pStyle w:val="11"/>
        <w:keepNext/>
        <w:keepLines w:val="0"/>
        <w:pageBreakBefore w:val="0"/>
        <w:widowControl w:val="0"/>
        <w:numPr>
          <w:ilvl w:val="0"/>
          <w:numId w:val="0"/>
        </w:numPr>
        <w:kinsoku/>
        <w:wordWrap/>
        <w:overflowPunct/>
        <w:topLinePunct w:val="0"/>
        <w:autoSpaceDE/>
        <w:autoSpaceDN/>
        <w:bidi w:val="0"/>
        <w:adjustRightInd/>
        <w:snapToGrid/>
        <w:spacing w:line="560" w:lineRule="exact"/>
        <w:ind w:leftChars="200"/>
        <w:jc w:val="both"/>
        <w:textAlignment w:val="auto"/>
        <w:rPr>
          <w:rFonts w:hint="eastAsia" w:ascii="黑体" w:hAnsi="黑体" w:eastAsia="黑体" w:cs="黑体"/>
          <w:color w:val="auto"/>
          <w:kern w:val="2"/>
          <w:sz w:val="32"/>
          <w:szCs w:val="32"/>
          <w:highlight w:val="none"/>
          <w:lang w:val="en-US" w:eastAsia="zh-CN" w:bidi="ar-SA"/>
        </w:rPr>
      </w:pPr>
    </w:p>
    <w:p>
      <w:pPr>
        <w:pStyle w:val="11"/>
        <w:keepNext/>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color w:val="auto"/>
          <w:kern w:val="2"/>
          <w:sz w:val="32"/>
          <w:szCs w:val="32"/>
          <w:highlight w:val="none"/>
          <w:lang w:val="en-US" w:eastAsia="zh-CN" w:bidi="ar-SA"/>
        </w:rPr>
      </w:pPr>
      <w:r>
        <w:rPr>
          <w:rFonts w:hint="eastAsia" w:ascii="黑体" w:hAnsi="黑体" w:eastAsia="黑体" w:cs="黑体"/>
          <w:color w:val="auto"/>
          <w:kern w:val="2"/>
          <w:sz w:val="32"/>
          <w:szCs w:val="32"/>
          <w:highlight w:val="none"/>
          <w:lang w:val="en-US" w:eastAsia="zh-CN" w:bidi="ar-SA"/>
        </w:rPr>
        <w:t>项目概况</w:t>
      </w:r>
    </w:p>
    <w:p>
      <w:pPr>
        <w:pStyle w:val="11"/>
        <w:keepNext/>
        <w:keepLines w:val="0"/>
        <w:pageBreakBefore w:val="0"/>
        <w:widowControl w:val="0"/>
        <w:numPr>
          <w:ilvl w:val="0"/>
          <w:numId w:val="0"/>
        </w:numPr>
        <w:kinsoku/>
        <w:wordWrap/>
        <w:overflowPunct/>
        <w:topLinePunct w:val="0"/>
        <w:autoSpaceDE/>
        <w:autoSpaceDN/>
        <w:bidi w:val="0"/>
        <w:adjustRightInd/>
        <w:snapToGrid/>
        <w:spacing w:line="560" w:lineRule="exact"/>
        <w:ind w:left="214" w:leftChars="102" w:firstLine="202" w:firstLineChars="63"/>
        <w:jc w:val="both"/>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1、项目</w:t>
      </w:r>
      <w:r>
        <w:rPr>
          <w:rFonts w:hint="eastAsia" w:ascii="仿宋_GB2312" w:hAnsi="仿宋_GB2312" w:eastAsia="仿宋_GB2312" w:cs="仿宋_GB2312"/>
          <w:b/>
          <w:color w:val="auto"/>
          <w:spacing w:val="-6"/>
          <w:kern w:val="2"/>
          <w:sz w:val="32"/>
          <w:szCs w:val="32"/>
          <w:highlight w:val="none"/>
          <w:lang w:val="en-US" w:eastAsia="zh-CN" w:bidi="ar-SA"/>
        </w:rPr>
        <w:t>名称</w:t>
      </w:r>
      <w:r>
        <w:rPr>
          <w:rFonts w:hint="eastAsia" w:ascii="仿宋_GB2312" w:hAnsi="仿宋_GB2312" w:eastAsia="仿宋_GB2312" w:cs="仿宋_GB2312"/>
          <w:b/>
          <w:bCs/>
          <w:color w:val="auto"/>
          <w:kern w:val="2"/>
          <w:sz w:val="32"/>
          <w:szCs w:val="32"/>
          <w:highlight w:val="none"/>
          <w:lang w:val="en-US" w:eastAsia="zh-CN" w:bidi="ar-SA"/>
        </w:rPr>
        <w:t>：</w:t>
      </w:r>
      <w:r>
        <w:rPr>
          <w:rFonts w:hint="eastAsia" w:ascii="仿宋_GB2312" w:hAnsi="仿宋_GB2312" w:eastAsia="仿宋_GB2312" w:cs="仿宋_GB2312"/>
          <w:color w:val="auto"/>
          <w:sz w:val="32"/>
          <w:szCs w:val="32"/>
          <w:highlight w:val="none"/>
        </w:rPr>
        <w:t>伊拉湖镇林果提质增效项目</w:t>
      </w:r>
    </w:p>
    <w:p>
      <w:pPr>
        <w:pStyle w:val="11"/>
        <w:keepNext/>
        <w:keepLines w:val="0"/>
        <w:pageBreakBefore w:val="0"/>
        <w:widowControl w:val="0"/>
        <w:numPr>
          <w:ilvl w:val="0"/>
          <w:numId w:val="0"/>
        </w:numPr>
        <w:kinsoku/>
        <w:wordWrap/>
        <w:overflowPunct/>
        <w:topLinePunct w:val="0"/>
        <w:autoSpaceDE/>
        <w:autoSpaceDN/>
        <w:bidi w:val="0"/>
        <w:adjustRightInd/>
        <w:snapToGrid/>
        <w:spacing w:line="560" w:lineRule="exact"/>
        <w:ind w:leftChars="200"/>
        <w:jc w:val="both"/>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2、项目库编号：</w:t>
      </w:r>
      <w:r>
        <w:rPr>
          <w:rFonts w:hint="eastAsia" w:ascii="仿宋_GB2312" w:hAnsi="仿宋_GB2312" w:eastAsia="仿宋_GB2312" w:cs="仿宋_GB2312"/>
          <w:b w:val="0"/>
          <w:bCs w:val="0"/>
          <w:color w:val="auto"/>
          <w:spacing w:val="-6"/>
          <w:w w:val="100"/>
          <w:kern w:val="2"/>
          <w:sz w:val="32"/>
          <w:szCs w:val="32"/>
          <w:highlight w:val="none"/>
          <w:u w:val="none"/>
          <w:lang w:val="en-US" w:eastAsia="zh-CN" w:bidi="ar-SA"/>
        </w:rPr>
        <w:t>TKX0054</w:t>
      </w:r>
    </w:p>
    <w:p>
      <w:pPr>
        <w:pStyle w:val="11"/>
        <w:keepNext/>
        <w:keepLines w:val="0"/>
        <w:pageBreakBefore w:val="0"/>
        <w:widowControl w:val="0"/>
        <w:numPr>
          <w:ilvl w:val="0"/>
          <w:numId w:val="0"/>
        </w:numPr>
        <w:kinsoku/>
        <w:wordWrap/>
        <w:overflowPunct/>
        <w:topLinePunct w:val="0"/>
        <w:autoSpaceDE/>
        <w:autoSpaceDN/>
        <w:bidi w:val="0"/>
        <w:adjustRightInd/>
        <w:snapToGrid/>
        <w:spacing w:line="560" w:lineRule="exact"/>
        <w:ind w:leftChars="200"/>
        <w:jc w:val="both"/>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3、项目建设单位及单位负责人：</w:t>
      </w:r>
      <w:r>
        <w:rPr>
          <w:rFonts w:hint="eastAsia" w:ascii="仿宋_GB2312" w:hAnsi="仿宋_GB2312" w:eastAsia="仿宋_GB2312" w:cs="仿宋_GB2312"/>
          <w:color w:val="auto"/>
          <w:sz w:val="32"/>
          <w:szCs w:val="32"/>
          <w:highlight w:val="none"/>
          <w:lang w:eastAsia="zh-CN"/>
        </w:rPr>
        <w:t>伊拉湖镇</w:t>
      </w:r>
      <w:r>
        <w:rPr>
          <w:rFonts w:hint="eastAsia" w:ascii="仿宋_GB2312" w:hAnsi="仿宋_GB2312" w:eastAsia="仿宋_GB2312" w:cs="仿宋_GB2312"/>
          <w:color w:val="auto"/>
          <w:sz w:val="32"/>
          <w:szCs w:val="32"/>
          <w:highlight w:val="none"/>
        </w:rPr>
        <w:t>人民政府（法人：</w:t>
      </w:r>
      <w:r>
        <w:rPr>
          <w:rFonts w:hint="eastAsia" w:ascii="仿宋_GB2312" w:hAnsi="仿宋_GB2312" w:eastAsia="仿宋_GB2312" w:cs="仿宋_GB2312"/>
          <w:color w:val="auto"/>
          <w:sz w:val="32"/>
          <w:szCs w:val="32"/>
          <w:highlight w:val="none"/>
          <w:lang w:eastAsia="zh-CN"/>
        </w:rPr>
        <w:t>伊拉湖镇</w:t>
      </w:r>
      <w:r>
        <w:rPr>
          <w:rFonts w:hint="eastAsia" w:ascii="仿宋_GB2312" w:hAnsi="仿宋_GB2312" w:eastAsia="仿宋_GB2312" w:cs="仿宋_GB2312"/>
          <w:color w:val="auto"/>
          <w:sz w:val="32"/>
          <w:szCs w:val="32"/>
          <w:highlight w:val="none"/>
        </w:rPr>
        <w:t>党委副书记、</w:t>
      </w:r>
      <w:r>
        <w:rPr>
          <w:rFonts w:hint="eastAsia" w:ascii="仿宋_GB2312" w:hAnsi="仿宋_GB2312" w:eastAsia="仿宋_GB2312" w:cs="仿宋_GB2312"/>
          <w:color w:val="auto"/>
          <w:sz w:val="32"/>
          <w:szCs w:val="32"/>
          <w:highlight w:val="none"/>
          <w:lang w:eastAsia="zh-CN"/>
        </w:rPr>
        <w:t>镇</w:t>
      </w:r>
      <w:r>
        <w:rPr>
          <w:rFonts w:hint="eastAsia" w:ascii="仿宋_GB2312" w:hAnsi="仿宋_GB2312" w:eastAsia="仿宋_GB2312" w:cs="仿宋_GB2312"/>
          <w:color w:val="auto"/>
          <w:sz w:val="32"/>
          <w:szCs w:val="32"/>
          <w:highlight w:val="none"/>
        </w:rPr>
        <w:t xml:space="preserve">长  </w:t>
      </w:r>
      <w:r>
        <w:rPr>
          <w:rFonts w:hint="eastAsia" w:ascii="仿宋_GB2312" w:hAnsi="仿宋_GB2312" w:eastAsia="仿宋_GB2312" w:cs="仿宋_GB2312"/>
          <w:color w:val="auto"/>
          <w:sz w:val="32"/>
          <w:szCs w:val="32"/>
          <w:highlight w:val="none"/>
          <w:lang w:eastAsia="zh-CN"/>
        </w:rPr>
        <w:t>阿里木江</w:t>
      </w:r>
      <w:r>
        <w:rPr>
          <w:rFonts w:hint="eastAsia" w:ascii="仿宋_GB2312" w:hAnsi="仿宋_GB2312" w:eastAsia="仿宋_GB2312" w:cs="仿宋_GB2312"/>
          <w:color w:val="auto"/>
          <w:sz w:val="32"/>
          <w:szCs w:val="32"/>
          <w:highlight w:val="none"/>
          <w:lang w:val="en-US" w:eastAsia="zh-CN"/>
        </w:rPr>
        <w:t>·热合木吐力）</w:t>
      </w:r>
    </w:p>
    <w:p>
      <w:pPr>
        <w:pStyle w:val="11"/>
        <w:keepNext/>
        <w:keepLines w:val="0"/>
        <w:pageBreakBefore w:val="0"/>
        <w:widowControl w:val="0"/>
        <w:numPr>
          <w:ilvl w:val="0"/>
          <w:numId w:val="0"/>
        </w:numPr>
        <w:kinsoku/>
        <w:wordWrap/>
        <w:overflowPunct/>
        <w:topLinePunct w:val="0"/>
        <w:autoSpaceDE/>
        <w:autoSpaceDN/>
        <w:bidi w:val="0"/>
        <w:adjustRightInd/>
        <w:snapToGrid/>
        <w:spacing w:line="560" w:lineRule="exact"/>
        <w:ind w:firstLine="964" w:firstLineChars="300"/>
        <w:jc w:val="both"/>
        <w:textAlignment w:val="auto"/>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项目负责人：</w:t>
      </w:r>
      <w:r>
        <w:rPr>
          <w:rFonts w:hint="eastAsia" w:ascii="仿宋_GB2312" w:hAnsi="仿宋_GB2312" w:eastAsia="仿宋_GB2312" w:cs="仿宋_GB2312"/>
          <w:b w:val="0"/>
          <w:bCs w:val="0"/>
          <w:color w:val="auto"/>
          <w:kern w:val="2"/>
          <w:sz w:val="32"/>
          <w:szCs w:val="32"/>
          <w:highlight w:val="none"/>
          <w:lang w:val="en-US" w:eastAsia="zh-CN" w:bidi="ar-SA"/>
        </w:rPr>
        <w:t>张丰</w:t>
      </w:r>
    </w:p>
    <w:p>
      <w:pPr>
        <w:pStyle w:val="11"/>
        <w:keepNext/>
        <w:keepLines w:val="0"/>
        <w:pageBreakBefore w:val="0"/>
        <w:widowControl w:val="0"/>
        <w:numPr>
          <w:ilvl w:val="0"/>
          <w:numId w:val="0"/>
        </w:numPr>
        <w:kinsoku/>
        <w:wordWrap/>
        <w:overflowPunct/>
        <w:topLinePunct w:val="0"/>
        <w:autoSpaceDE/>
        <w:autoSpaceDN/>
        <w:bidi w:val="0"/>
        <w:adjustRightInd/>
        <w:snapToGrid/>
        <w:spacing w:line="560" w:lineRule="exact"/>
        <w:ind w:leftChars="200"/>
        <w:jc w:val="both"/>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4、项目行政主管单位：</w:t>
      </w:r>
      <w:r>
        <w:rPr>
          <w:rFonts w:hint="eastAsia" w:ascii="仿宋_GB2312" w:hAnsi="仿宋_GB2312" w:eastAsia="仿宋_GB2312" w:cs="仿宋_GB2312"/>
          <w:b w:val="0"/>
          <w:bCs w:val="0"/>
          <w:color w:val="auto"/>
          <w:kern w:val="2"/>
          <w:sz w:val="32"/>
          <w:szCs w:val="32"/>
          <w:highlight w:val="none"/>
          <w:lang w:val="en-US" w:eastAsia="zh-CN" w:bidi="ar-SA"/>
        </w:rPr>
        <w:t>托克逊县乡村振兴局</w:t>
      </w:r>
    </w:p>
    <w:p>
      <w:pPr>
        <w:pStyle w:val="11"/>
        <w:keepNext/>
        <w:keepLines w:val="0"/>
        <w:pageBreakBefore w:val="0"/>
        <w:widowControl w:val="0"/>
        <w:numPr>
          <w:ilvl w:val="0"/>
          <w:numId w:val="0"/>
        </w:numPr>
        <w:kinsoku/>
        <w:wordWrap/>
        <w:overflowPunct/>
        <w:topLinePunct w:val="0"/>
        <w:autoSpaceDE/>
        <w:autoSpaceDN/>
        <w:bidi w:val="0"/>
        <w:adjustRightInd/>
        <w:snapToGrid/>
        <w:spacing w:line="560" w:lineRule="exact"/>
        <w:ind w:firstLine="964" w:firstLineChars="300"/>
        <w:jc w:val="both"/>
        <w:textAlignment w:val="auto"/>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项目行业主管单位：</w:t>
      </w:r>
      <w:r>
        <w:rPr>
          <w:rFonts w:hint="eastAsia" w:ascii="仿宋_GB2312" w:hAnsi="仿宋_GB2312" w:eastAsia="仿宋_GB2312" w:cs="仿宋_GB2312"/>
          <w:b w:val="0"/>
          <w:bCs w:val="0"/>
          <w:color w:val="auto"/>
          <w:kern w:val="2"/>
          <w:sz w:val="32"/>
          <w:szCs w:val="32"/>
          <w:highlight w:val="none"/>
          <w:lang w:val="en-US" w:eastAsia="zh-CN" w:bidi="ar-SA"/>
        </w:rPr>
        <w:t>托克逊县农业技术推广服务中心</w:t>
      </w:r>
    </w:p>
    <w:p>
      <w:pPr>
        <w:pStyle w:val="11"/>
        <w:keepNext/>
        <w:keepLines w:val="0"/>
        <w:pageBreakBefore w:val="0"/>
        <w:widowControl w:val="0"/>
        <w:numPr>
          <w:ilvl w:val="0"/>
          <w:numId w:val="0"/>
        </w:numPr>
        <w:kinsoku/>
        <w:wordWrap/>
        <w:overflowPunct/>
        <w:topLinePunct w:val="0"/>
        <w:autoSpaceDE/>
        <w:autoSpaceDN/>
        <w:bidi w:val="0"/>
        <w:adjustRightInd/>
        <w:snapToGrid/>
        <w:spacing w:line="560" w:lineRule="exact"/>
        <w:ind w:leftChars="200"/>
        <w:jc w:val="both"/>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5、项目建设性质：</w:t>
      </w:r>
      <w:r>
        <w:rPr>
          <w:rFonts w:hint="eastAsia" w:ascii="仿宋_GB2312" w:hAnsi="仿宋_GB2312" w:eastAsia="仿宋_GB2312" w:cs="仿宋_GB2312"/>
          <w:color w:val="auto"/>
          <w:sz w:val="32"/>
          <w:szCs w:val="32"/>
          <w:highlight w:val="none"/>
        </w:rPr>
        <w:t>新建</w:t>
      </w:r>
      <w:bookmarkStart w:id="0" w:name="_GoBack"/>
      <w:bookmarkEnd w:id="0"/>
    </w:p>
    <w:p>
      <w:pPr>
        <w:pStyle w:val="11"/>
        <w:keepNext/>
        <w:keepLines w:val="0"/>
        <w:pageBreakBefore w:val="0"/>
        <w:widowControl w:val="0"/>
        <w:numPr>
          <w:ilvl w:val="0"/>
          <w:numId w:val="0"/>
        </w:numPr>
        <w:kinsoku/>
        <w:wordWrap/>
        <w:overflowPunct/>
        <w:topLinePunct w:val="0"/>
        <w:autoSpaceDE/>
        <w:autoSpaceDN/>
        <w:bidi w:val="0"/>
        <w:adjustRightInd/>
        <w:snapToGrid/>
        <w:spacing w:line="560" w:lineRule="exact"/>
        <w:ind w:leftChars="200"/>
        <w:jc w:val="both"/>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6、项目类别：</w:t>
      </w:r>
      <w:r>
        <w:rPr>
          <w:rFonts w:hint="eastAsia" w:ascii="仿宋_GB2312" w:hAnsi="Calibri" w:eastAsia="仿宋_GB2312" w:cs="Times New Roman"/>
          <w:color w:val="auto"/>
          <w:sz w:val="32"/>
          <w:szCs w:val="32"/>
          <w:highlight w:val="none"/>
          <w:lang w:val="en-US" w:eastAsia="zh-CN"/>
        </w:rPr>
        <w:t>特色产业</w:t>
      </w:r>
    </w:p>
    <w:p>
      <w:pPr>
        <w:pStyle w:val="11"/>
        <w:keepNext/>
        <w:keepLines w:val="0"/>
        <w:pageBreakBefore w:val="0"/>
        <w:widowControl w:val="0"/>
        <w:numPr>
          <w:ilvl w:val="0"/>
          <w:numId w:val="0"/>
        </w:numPr>
        <w:kinsoku/>
        <w:wordWrap/>
        <w:overflowPunct/>
        <w:topLinePunct w:val="0"/>
        <w:autoSpaceDE/>
        <w:autoSpaceDN/>
        <w:bidi w:val="0"/>
        <w:adjustRightInd/>
        <w:snapToGrid/>
        <w:spacing w:line="560" w:lineRule="exact"/>
        <w:ind w:leftChars="200"/>
        <w:jc w:val="both"/>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7、建设地点：</w:t>
      </w:r>
      <w:r>
        <w:rPr>
          <w:rFonts w:hint="eastAsia" w:ascii="仿宋_GB2312" w:hAnsi="仿宋_GB2312" w:eastAsia="仿宋_GB2312" w:cs="仿宋_GB2312"/>
          <w:color w:val="auto"/>
          <w:kern w:val="2"/>
          <w:sz w:val="32"/>
          <w:szCs w:val="32"/>
          <w:highlight w:val="none"/>
          <w:lang w:val="en-US" w:eastAsia="zh-CN" w:bidi="ar-SA"/>
        </w:rPr>
        <w:t>伊拉湖镇郭若村、依提帕克村、安西村、阿克塔格村、布尔加依村</w:t>
      </w:r>
    </w:p>
    <w:p>
      <w:pPr>
        <w:pStyle w:val="11"/>
        <w:keepNext/>
        <w:keepLines w:val="0"/>
        <w:pageBreakBefore w:val="0"/>
        <w:widowControl w:val="0"/>
        <w:numPr>
          <w:ilvl w:val="0"/>
          <w:numId w:val="0"/>
        </w:numPr>
        <w:kinsoku/>
        <w:wordWrap/>
        <w:overflowPunct/>
        <w:topLinePunct w:val="0"/>
        <w:autoSpaceDE/>
        <w:autoSpaceDN/>
        <w:bidi w:val="0"/>
        <w:adjustRightInd/>
        <w:snapToGrid/>
        <w:spacing w:line="560" w:lineRule="exact"/>
        <w:ind w:leftChars="200"/>
        <w:jc w:val="both"/>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8、项目总投资：</w:t>
      </w:r>
      <w:r>
        <w:rPr>
          <w:rFonts w:hint="eastAsia" w:ascii="仿宋_GB2312" w:hAnsi="仿宋_GB2312" w:eastAsia="仿宋_GB2312" w:cs="仿宋_GB2312"/>
          <w:color w:val="auto"/>
          <w:spacing w:val="-6"/>
          <w:kern w:val="2"/>
          <w:sz w:val="32"/>
          <w:szCs w:val="32"/>
          <w:highlight w:val="none"/>
          <w:lang w:val="en-US" w:eastAsia="zh-CN" w:bidi="ar-SA"/>
        </w:rPr>
        <w:t>1.40475</w:t>
      </w:r>
      <w:r>
        <w:rPr>
          <w:rFonts w:hint="eastAsia" w:ascii="仿宋_GB2312" w:hAnsi="仿宋_GB2312" w:eastAsia="仿宋_GB2312" w:cs="仿宋_GB2312"/>
          <w:color w:val="auto"/>
          <w:kern w:val="2"/>
          <w:sz w:val="32"/>
          <w:szCs w:val="32"/>
          <w:highlight w:val="none"/>
          <w:lang w:val="en-US" w:eastAsia="zh-CN" w:bidi="ar-SA"/>
        </w:rPr>
        <w:t>万元</w:t>
      </w:r>
    </w:p>
    <w:p>
      <w:pPr>
        <w:pStyle w:val="11"/>
        <w:keepNext/>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21" w:firstLineChars="131"/>
        <w:jc w:val="both"/>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9、主要建设内容与规模：</w:t>
      </w:r>
      <w:r>
        <w:rPr>
          <w:rFonts w:hint="eastAsia" w:ascii="仿宋_GB2312" w:hAnsi="仿宋_GB2312" w:eastAsia="仿宋_GB2312" w:cs="仿宋_GB2312"/>
          <w:color w:val="auto"/>
          <w:spacing w:val="-6"/>
          <w:kern w:val="2"/>
          <w:sz w:val="32"/>
          <w:szCs w:val="32"/>
          <w:highlight w:val="none"/>
          <w:lang w:val="en-US" w:eastAsia="zh-CN" w:bidi="ar-SA"/>
        </w:rPr>
        <w:t>计划对伊拉湖镇脱贫户及监测户种植的杏树和枣树开展整形修剪给予补助。其中：对8户脱贫户和监测对象种植的48.5亩枣树进行修剪，每亩补助110元，小计约0.5335万元；对23户脱贫户及监测对象种植的102.5亩杏树进行修剪，每亩补助85元，小计约0.87125万元。项目总投资约1.40475万元。（最终补助亩数以实际发生量为准）。</w:t>
      </w:r>
    </w:p>
    <w:p>
      <w:pPr>
        <w:pStyle w:val="11"/>
        <w:keepNext/>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color w:val="auto"/>
          <w:kern w:val="2"/>
          <w:sz w:val="32"/>
          <w:szCs w:val="32"/>
          <w:highlight w:val="none"/>
          <w:lang w:val="en-US" w:eastAsia="zh-CN" w:bidi="ar-SA"/>
        </w:rPr>
      </w:pPr>
      <w:r>
        <w:rPr>
          <w:rFonts w:hint="eastAsia" w:ascii="黑体" w:hAnsi="黑体" w:eastAsia="黑体" w:cs="黑体"/>
          <w:color w:val="auto"/>
          <w:kern w:val="2"/>
          <w:sz w:val="32"/>
          <w:szCs w:val="32"/>
          <w:highlight w:val="none"/>
          <w:lang w:val="en-US" w:eastAsia="zh-CN" w:bidi="ar-SA"/>
        </w:rPr>
        <w:t>项目区基本情况及建设必要性、可行性</w:t>
      </w:r>
    </w:p>
    <w:p>
      <w:pPr>
        <w:keepNext/>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3" w:firstLineChars="200"/>
        <w:textAlignment w:val="auto"/>
        <w:outlineLvl w:val="9"/>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color w:val="auto"/>
          <w:sz w:val="32"/>
          <w:szCs w:val="32"/>
          <w:highlight w:val="none"/>
          <w:lang w:val="en-US" w:eastAsia="zh-CN"/>
        </w:rPr>
        <w:t>1、项目区基本情况：</w:t>
      </w:r>
      <w:r>
        <w:rPr>
          <w:rFonts w:hint="eastAsia" w:ascii="仿宋_GB2312" w:hAnsi="仿宋_GB2312" w:eastAsia="仿宋_GB2312" w:cs="仿宋_GB2312"/>
          <w:color w:val="auto"/>
          <w:spacing w:val="-6"/>
          <w:kern w:val="2"/>
          <w:sz w:val="32"/>
          <w:szCs w:val="32"/>
          <w:highlight w:val="none"/>
          <w:lang w:val="en-US" w:eastAsia="zh-CN" w:bidi="ar-SA"/>
        </w:rPr>
        <w:t>伊拉湖镇属典型大陆性暖温带荒漠气候，光热资源丰富，无霜期可达 219 天，降水量 5.7毫米，年均风速 8m/s。郭若村三面山地环绕，西、北面高而东部低，盆地自西北向东南倾斜的地貌特征，地势高低悬殊。由于托克逊县的地形地势，形成了极端干旱的暖温带内陆荒漠气候。其特点是。光照充足，热量丰富，降水量小，夏季炎热，冬季严寒，日差较大，无霜期长，风多风大，干热风严重。平均气温13.8℃，极端最高温度48℃，极端最低气温-25.5℃。全年≥10℃积温5334.9℃，无霜期平均219天。降水极少，气候干燥，蒸发量大，年均降水6.3 mm，最多23.8 mm，最少仅0.5 mm，为全国最小值。年均蒸发量3744 mm。项目区不利于农牧业生产的气候主要有干旱、大风、干热风等。</w:t>
      </w:r>
    </w:p>
    <w:p>
      <w:pPr>
        <w:keepNext/>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3" w:firstLineChars="200"/>
        <w:textAlignment w:val="auto"/>
        <w:outlineLvl w:val="9"/>
        <w:rPr>
          <w:rFonts w:hint="eastAsia" w:ascii="仿宋_GB2312" w:hAnsi="仿宋_GB2312" w:eastAsia="仿宋_GB2312" w:cs="仿宋_GB2312"/>
          <w:color w:val="auto"/>
          <w:spacing w:val="-6"/>
          <w:kern w:val="2"/>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rPr>
        <w:t>2、建设的必要性：</w:t>
      </w:r>
      <w:r>
        <w:rPr>
          <w:rFonts w:hint="eastAsia" w:ascii="仿宋_GB2312" w:hAnsi="仿宋_GB2312" w:eastAsia="仿宋_GB2312" w:cs="仿宋_GB2312"/>
          <w:color w:val="auto"/>
          <w:spacing w:val="-6"/>
          <w:kern w:val="2"/>
          <w:sz w:val="32"/>
          <w:szCs w:val="32"/>
          <w:highlight w:val="none"/>
          <w:lang w:val="en-US" w:eastAsia="zh-CN" w:bidi="ar-SA"/>
        </w:rPr>
        <w:t>一是提高林果产量和品质。通过修剪，可以有效调整林果的树形结构，使树冠分布均匀，光照充足，通风良好，从而提高林果的产量和品质。</w:t>
      </w:r>
    </w:p>
    <w:p>
      <w:pPr>
        <w:keepNext/>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16" w:firstLineChars="200"/>
        <w:textAlignment w:val="auto"/>
        <w:outlineLvl w:val="9"/>
        <w:rPr>
          <w:rFonts w:hint="eastAsia" w:ascii="仿宋_GB2312" w:hAnsi="仿宋_GB2312" w:eastAsia="仿宋_GB2312" w:cs="仿宋_GB2312"/>
          <w:color w:val="auto"/>
          <w:spacing w:val="-6"/>
          <w:kern w:val="2"/>
          <w:sz w:val="32"/>
          <w:szCs w:val="32"/>
          <w:highlight w:val="none"/>
          <w:lang w:val="en-US" w:eastAsia="zh-CN" w:bidi="ar-SA"/>
        </w:rPr>
      </w:pPr>
      <w:r>
        <w:rPr>
          <w:rFonts w:hint="eastAsia" w:ascii="仿宋_GB2312" w:hAnsi="仿宋_GB2312" w:eastAsia="仿宋_GB2312" w:cs="仿宋_GB2312"/>
          <w:color w:val="auto"/>
          <w:spacing w:val="-6"/>
          <w:kern w:val="2"/>
          <w:sz w:val="32"/>
          <w:szCs w:val="32"/>
          <w:highlight w:val="none"/>
          <w:lang w:val="en-US" w:eastAsia="zh-CN" w:bidi="ar-SA"/>
        </w:rPr>
        <w:t>二是延长林果树寿命。合理的修剪可以保持林果的健康生长，避免病虫害的侵袭，延长林果树的寿命。</w:t>
      </w:r>
    </w:p>
    <w:p>
      <w:pPr>
        <w:keepNext/>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16" w:firstLineChars="200"/>
        <w:textAlignment w:val="auto"/>
        <w:outlineLvl w:val="9"/>
        <w:rPr>
          <w:rFonts w:hint="eastAsia" w:ascii="仿宋_GB2312" w:hAnsi="仿宋_GB2312" w:eastAsia="仿宋_GB2312" w:cs="仿宋_GB2312"/>
          <w:color w:val="auto"/>
          <w:spacing w:val="-6"/>
          <w:kern w:val="2"/>
          <w:sz w:val="32"/>
          <w:szCs w:val="32"/>
          <w:highlight w:val="none"/>
          <w:lang w:val="en-US" w:eastAsia="zh-CN" w:bidi="ar-SA"/>
        </w:rPr>
      </w:pPr>
      <w:r>
        <w:rPr>
          <w:rFonts w:hint="eastAsia" w:ascii="仿宋_GB2312" w:hAnsi="仿宋_GB2312" w:eastAsia="仿宋_GB2312" w:cs="仿宋_GB2312"/>
          <w:color w:val="auto"/>
          <w:spacing w:val="-6"/>
          <w:kern w:val="2"/>
          <w:sz w:val="32"/>
          <w:szCs w:val="32"/>
          <w:highlight w:val="none"/>
          <w:lang w:val="en-US" w:eastAsia="zh-CN" w:bidi="ar-SA"/>
        </w:rPr>
        <w:t>三是促进林果产业可持续发展。红枣、杏树是我国重要的特色农产品之一，通过实施修剪补助项目，可以推动林果产业的可持续发展，提高农民的收入水平。</w:t>
      </w:r>
    </w:p>
    <w:p>
      <w:pPr>
        <w:keepNext/>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3" w:firstLineChars="200"/>
        <w:textAlignment w:val="auto"/>
        <w:outlineLvl w:val="9"/>
        <w:rPr>
          <w:rFonts w:hint="eastAsia" w:ascii="仿宋_GB2312" w:hAnsi="仿宋_GB2312" w:eastAsia="仿宋_GB2312" w:cs="仿宋_GB2312"/>
          <w:color w:val="auto"/>
          <w:spacing w:val="-6"/>
          <w:kern w:val="2"/>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rPr>
        <w:t>3、建设的可行性：</w:t>
      </w:r>
      <w:r>
        <w:rPr>
          <w:rFonts w:hint="eastAsia" w:ascii="仿宋_GB2312" w:hAnsi="仿宋_GB2312" w:eastAsia="仿宋_GB2312" w:cs="仿宋_GB2312"/>
          <w:color w:val="auto"/>
          <w:spacing w:val="-6"/>
          <w:kern w:val="2"/>
          <w:sz w:val="32"/>
          <w:szCs w:val="32"/>
          <w:highlight w:val="none"/>
          <w:lang w:val="en-US" w:eastAsia="zh-CN" w:bidi="ar-SA"/>
        </w:rPr>
        <w:t>一是林果修剪技术已经相当成熟，可以通过培训和指导，使农民掌握正确的修剪方法。同时，还可以利用现代科技手段，如无人机、智能识别等技术，提高修剪的效率和准确性。</w:t>
      </w:r>
    </w:p>
    <w:p>
      <w:pPr>
        <w:keepNext/>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16" w:firstLineChars="200"/>
        <w:textAlignment w:val="auto"/>
        <w:outlineLvl w:val="9"/>
        <w:rPr>
          <w:rFonts w:hint="default" w:ascii="仿宋_GB2312" w:hAnsi="仿宋_GB2312" w:eastAsia="仿宋_GB2312" w:cs="仿宋_GB2312"/>
          <w:color w:val="auto"/>
          <w:spacing w:val="-6"/>
          <w:kern w:val="2"/>
          <w:sz w:val="32"/>
          <w:szCs w:val="32"/>
          <w:highlight w:val="none"/>
          <w:lang w:val="en-US" w:eastAsia="zh-CN" w:bidi="ar-SA"/>
        </w:rPr>
      </w:pPr>
      <w:r>
        <w:rPr>
          <w:rFonts w:hint="eastAsia" w:ascii="仿宋_GB2312" w:hAnsi="仿宋_GB2312" w:eastAsia="仿宋_GB2312" w:cs="仿宋_GB2312"/>
          <w:color w:val="auto"/>
          <w:spacing w:val="-6"/>
          <w:kern w:val="2"/>
          <w:sz w:val="32"/>
          <w:szCs w:val="32"/>
          <w:highlight w:val="none"/>
          <w:lang w:val="en-US" w:eastAsia="zh-CN" w:bidi="ar-SA"/>
        </w:rPr>
        <w:t>二是虽然修剪补助项目需要一定的资金投入，但是通过提高林果的产量和品质，可以带来更大的经济效益。同时，政府可以通过财政补贴、税收优惠等方式，降低农民的经济负担。三是红枣产业是我国许多地区的重要支柱产业，实施修剪补助项目可以促进当地经济的发展，提高农民的生活水平。同时，还可以带动相关产业的发展，如旅游、加工等。</w:t>
      </w:r>
    </w:p>
    <w:p>
      <w:pPr>
        <w:pStyle w:val="11"/>
        <w:keepNext/>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color w:val="auto"/>
          <w:kern w:val="2"/>
          <w:sz w:val="32"/>
          <w:szCs w:val="32"/>
          <w:highlight w:val="none"/>
          <w:lang w:val="en-US" w:eastAsia="zh-CN" w:bidi="ar-SA"/>
        </w:rPr>
      </w:pPr>
      <w:r>
        <w:rPr>
          <w:rFonts w:hint="eastAsia" w:ascii="黑体" w:hAnsi="黑体" w:eastAsia="黑体" w:cs="黑体"/>
          <w:color w:val="auto"/>
          <w:kern w:val="2"/>
          <w:sz w:val="32"/>
          <w:szCs w:val="32"/>
          <w:highlight w:val="none"/>
          <w:lang w:val="en-US" w:eastAsia="zh-CN" w:bidi="ar-SA"/>
        </w:rPr>
        <w:t>资金筹措及投资概算</w:t>
      </w:r>
    </w:p>
    <w:p>
      <w:pPr>
        <w:keepNext/>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bCs/>
          <w:color w:val="auto"/>
          <w:sz w:val="32"/>
          <w:szCs w:val="32"/>
          <w:highlight w:val="none"/>
          <w:lang w:val="en-US" w:eastAsia="zh-CN"/>
        </w:rPr>
        <w:t>1、</w:t>
      </w:r>
      <w:r>
        <w:rPr>
          <w:rFonts w:hint="eastAsia" w:ascii="仿宋_GB2312" w:hAnsi="仿宋_GB2312" w:eastAsia="仿宋_GB2312" w:cs="仿宋_GB2312"/>
          <w:b/>
          <w:bCs/>
          <w:color w:val="auto"/>
          <w:sz w:val="32"/>
          <w:szCs w:val="32"/>
          <w:highlight w:val="none"/>
        </w:rPr>
        <w:t>资金来源：</w:t>
      </w:r>
      <w:r>
        <w:rPr>
          <w:rFonts w:hint="eastAsia" w:ascii="仿宋_GB2312" w:hAnsi="仿宋_GB2312" w:eastAsia="仿宋_GB2312" w:cs="仿宋_GB2312"/>
          <w:b w:val="0"/>
          <w:bCs w:val="0"/>
          <w:color w:val="auto"/>
          <w:sz w:val="32"/>
          <w:szCs w:val="32"/>
          <w:highlight w:val="none"/>
        </w:rPr>
        <w:t>财政衔接推进乡村振兴补助资金</w:t>
      </w:r>
      <w:r>
        <w:rPr>
          <w:rFonts w:hint="eastAsia" w:ascii="仿宋_GB2312" w:hAnsi="仿宋_GB2312" w:eastAsia="仿宋_GB2312" w:cs="仿宋_GB2312"/>
          <w:b w:val="0"/>
          <w:bCs w:val="0"/>
          <w:color w:val="auto"/>
          <w:sz w:val="32"/>
          <w:szCs w:val="32"/>
          <w:highlight w:val="none"/>
          <w:lang w:eastAsia="zh-CN"/>
        </w:rPr>
        <w:t>。</w:t>
      </w:r>
    </w:p>
    <w:p>
      <w:pPr>
        <w:keepLines w:val="0"/>
        <w:pageBreakBefore w:val="0"/>
        <w:widowControl w:val="0"/>
        <w:kinsoku/>
        <w:wordWrap/>
        <w:overflowPunct/>
        <w:topLinePunct w:val="0"/>
        <w:autoSpaceDE w:val="0"/>
        <w:autoSpaceDN/>
        <w:bidi w:val="0"/>
        <w:adjustRightInd/>
        <w:snapToGrid/>
        <w:spacing w:line="560" w:lineRule="exact"/>
        <w:ind w:left="0" w:leftChars="0" w:firstLine="643"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rPr>
        <w:t>投资</w:t>
      </w:r>
      <w:r>
        <w:rPr>
          <w:rFonts w:hint="eastAsia" w:ascii="仿宋_GB2312" w:hAnsi="仿宋_GB2312" w:eastAsia="仿宋_GB2312" w:cs="仿宋_GB2312"/>
          <w:b/>
          <w:bCs/>
          <w:color w:val="auto"/>
          <w:sz w:val="32"/>
          <w:szCs w:val="32"/>
          <w:highlight w:val="none"/>
          <w:lang w:val="en-US" w:eastAsia="zh-CN"/>
        </w:rPr>
        <w:t>概算</w:t>
      </w:r>
      <w:r>
        <w:rPr>
          <w:rFonts w:hint="eastAsia" w:ascii="仿宋_GB2312" w:hAnsi="仿宋_GB2312" w:eastAsia="仿宋_GB2312" w:cs="仿宋_GB2312"/>
          <w:b/>
          <w:bCs/>
          <w:color w:val="auto"/>
          <w:sz w:val="32"/>
          <w:szCs w:val="32"/>
          <w:highlight w:val="none"/>
        </w:rPr>
        <w:t>：</w:t>
      </w:r>
      <w:r>
        <w:rPr>
          <w:rFonts w:hint="eastAsia" w:ascii="仿宋_GB2312" w:hAnsi="仿宋_GB2312" w:eastAsia="仿宋_GB2312" w:cs="仿宋_GB2312"/>
          <w:color w:val="auto"/>
          <w:spacing w:val="-6"/>
          <w:kern w:val="2"/>
          <w:sz w:val="32"/>
          <w:szCs w:val="32"/>
          <w:highlight w:val="none"/>
          <w:lang w:val="en-US" w:eastAsia="zh-CN" w:bidi="ar-SA"/>
        </w:rPr>
        <w:t>计划对伊拉湖镇脱贫户及监测户种植的杏树和枣树开展整形修剪给予补助。其中：对8户脱贫户和监测对象种植的48.5亩枣树进行修剪，每亩补助110元，小计约0.5335万元；对23户脱贫户及监测对象种植的102.5亩杏树进行修剪，每亩补助85元，小计约0.87125万元。项目总投资约1.40475万元。（最终补助亩数以实际发生量为准）。</w:t>
      </w:r>
    </w:p>
    <w:p>
      <w:pPr>
        <w:pStyle w:val="11"/>
        <w:keepNext/>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color w:val="auto"/>
          <w:kern w:val="2"/>
          <w:sz w:val="32"/>
          <w:szCs w:val="32"/>
          <w:highlight w:val="none"/>
          <w:lang w:val="en-US" w:eastAsia="zh-CN" w:bidi="ar-SA"/>
        </w:rPr>
      </w:pPr>
      <w:r>
        <w:rPr>
          <w:rFonts w:hint="eastAsia" w:ascii="黑体" w:hAnsi="黑体" w:eastAsia="黑体" w:cs="黑体"/>
          <w:color w:val="auto"/>
          <w:kern w:val="2"/>
          <w:sz w:val="32"/>
          <w:szCs w:val="32"/>
          <w:highlight w:val="none"/>
          <w:lang w:val="en-US" w:eastAsia="zh-CN" w:bidi="ar-SA"/>
        </w:rPr>
        <w:t>项目实施进度计划</w:t>
      </w:r>
    </w:p>
    <w:p>
      <w:pPr>
        <w:pStyle w:val="11"/>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黑体"/>
          <w:b w:val="0"/>
          <w:bCs w:val="0"/>
          <w:color w:val="auto"/>
          <w:kern w:val="2"/>
          <w:sz w:val="32"/>
          <w:szCs w:val="32"/>
          <w:highlight w:val="none"/>
          <w:lang w:val="en-US" w:eastAsia="zh-CN" w:bidi="ar-SA"/>
        </w:rPr>
      </w:pPr>
      <w:r>
        <w:rPr>
          <w:rFonts w:hint="eastAsia" w:ascii="仿宋_GB2312" w:hAnsi="宋体" w:eastAsia="仿宋_GB2312" w:cs="黑体"/>
          <w:b w:val="0"/>
          <w:bCs w:val="0"/>
          <w:color w:val="auto"/>
          <w:kern w:val="2"/>
          <w:sz w:val="32"/>
          <w:szCs w:val="32"/>
          <w:highlight w:val="none"/>
          <w:lang w:val="en-US" w:eastAsia="zh-CN" w:bidi="ar-SA"/>
        </w:rPr>
        <w:t>2025年2月开始实施，进行枣树修剪补助对象的摸排和审核。</w:t>
      </w:r>
    </w:p>
    <w:p>
      <w:pPr>
        <w:pStyle w:val="11"/>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宋体" w:eastAsia="仿宋_GB2312" w:cs="黑体"/>
          <w:b w:val="0"/>
          <w:bCs w:val="0"/>
          <w:color w:val="auto"/>
          <w:kern w:val="2"/>
          <w:sz w:val="32"/>
          <w:szCs w:val="32"/>
          <w:highlight w:val="none"/>
          <w:lang w:val="en-US" w:eastAsia="zh-CN" w:bidi="ar-SA"/>
        </w:rPr>
        <w:t>2025年3月项目实施完毕，完成验收，发放修剪补助资金。</w:t>
      </w:r>
    </w:p>
    <w:p>
      <w:pPr>
        <w:pStyle w:val="11"/>
        <w:keepNext/>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color w:val="auto"/>
          <w:kern w:val="2"/>
          <w:sz w:val="32"/>
          <w:szCs w:val="32"/>
          <w:highlight w:val="none"/>
          <w:lang w:val="en-US" w:eastAsia="zh-CN" w:bidi="ar-SA"/>
        </w:rPr>
      </w:pPr>
      <w:r>
        <w:rPr>
          <w:rFonts w:hint="eastAsia" w:ascii="黑体" w:hAnsi="黑体" w:eastAsia="黑体" w:cs="黑体"/>
          <w:color w:val="auto"/>
          <w:kern w:val="2"/>
          <w:sz w:val="32"/>
          <w:szCs w:val="32"/>
          <w:highlight w:val="none"/>
          <w:lang w:val="en-US" w:eastAsia="zh-CN" w:bidi="ar-SA"/>
        </w:rPr>
        <w:t>项目组织实施能力与内控管理措施</w:t>
      </w:r>
    </w:p>
    <w:p>
      <w:pPr>
        <w:pStyle w:val="7"/>
        <w:keepLines w:val="0"/>
        <w:pageBreakBefore w:val="0"/>
        <w:widowControl w:val="0"/>
        <w:kinsoku/>
        <w:overflowPunct/>
        <w:topLinePunct w:val="0"/>
        <w:autoSpaceDN/>
        <w:bidi w:val="0"/>
        <w:adjustRightInd/>
        <w:snapToGrid/>
        <w:spacing w:after="0" w:line="560" w:lineRule="exact"/>
        <w:ind w:left="0" w:leftChars="0" w:firstLine="643" w:firstLineChars="200"/>
        <w:rPr>
          <w:rFonts w:hint="eastAsia"/>
          <w:color w:val="auto"/>
          <w:sz w:val="32"/>
          <w:szCs w:val="32"/>
          <w:highlight w:val="none"/>
          <w:lang w:val="en-US" w:eastAsia="zh-CN"/>
        </w:rPr>
      </w:pPr>
      <w:r>
        <w:rPr>
          <w:rFonts w:hint="eastAsia" w:ascii="楷体_GB2312" w:hAnsi="楷体_GB2312" w:eastAsia="楷体_GB2312" w:cs="楷体_GB2312"/>
          <w:b/>
          <w:bCs/>
          <w:color w:val="auto"/>
          <w:w w:val="100"/>
          <w:kern w:val="2"/>
          <w:sz w:val="32"/>
          <w:szCs w:val="32"/>
          <w:highlight w:val="none"/>
          <w:lang w:val="en-US" w:eastAsia="zh-CN" w:bidi="ar-SA"/>
        </w:rPr>
        <w:t>（一）建立组织体系。</w:t>
      </w:r>
      <w:r>
        <w:rPr>
          <w:rFonts w:hint="default" w:ascii="Times New Roman" w:hAnsi="Times New Roman" w:eastAsia="仿宋_GB2312" w:cs="Times New Roman"/>
          <w:b/>
          <w:bCs/>
          <w:color w:val="auto"/>
          <w:w w:val="100"/>
          <w:sz w:val="32"/>
          <w:szCs w:val="32"/>
          <w:highlight w:val="none"/>
          <w:lang w:val="en-US" w:eastAsia="zh-CN"/>
        </w:rPr>
        <w:t>一是</w:t>
      </w:r>
      <w:r>
        <w:rPr>
          <w:rFonts w:hint="default" w:ascii="Times New Roman" w:hAnsi="Times New Roman" w:eastAsia="仿宋_GB2312" w:cs="Times New Roman"/>
          <w:color w:val="auto"/>
          <w:w w:val="100"/>
          <w:sz w:val="32"/>
          <w:szCs w:val="32"/>
          <w:highlight w:val="none"/>
        </w:rPr>
        <w:t>成立以镇党委、政府</w:t>
      </w:r>
      <w:r>
        <w:rPr>
          <w:rFonts w:hint="eastAsia" w:ascii="Times New Roman" w:hAnsi="Times New Roman" w:eastAsia="仿宋_GB2312" w:cs="Times New Roman"/>
          <w:color w:val="auto"/>
          <w:w w:val="100"/>
          <w:sz w:val="32"/>
          <w:szCs w:val="32"/>
          <w:highlight w:val="none"/>
          <w:lang w:eastAsia="zh-CN"/>
        </w:rPr>
        <w:t>主要</w:t>
      </w:r>
      <w:r>
        <w:rPr>
          <w:rFonts w:hint="default" w:ascii="Times New Roman" w:hAnsi="Times New Roman" w:eastAsia="仿宋_GB2312" w:cs="Times New Roman"/>
          <w:color w:val="auto"/>
          <w:w w:val="100"/>
          <w:sz w:val="32"/>
          <w:szCs w:val="32"/>
          <w:highlight w:val="none"/>
        </w:rPr>
        <w:t>领导为组</w:t>
      </w:r>
      <w:r>
        <w:rPr>
          <w:rFonts w:hint="eastAsia" w:ascii="仿宋_GB2312" w:hAnsi="仿宋_GB2312" w:eastAsia="仿宋_GB2312" w:cs="仿宋_GB2312"/>
          <w:color w:val="auto"/>
          <w:w w:val="100"/>
          <w:sz w:val="32"/>
          <w:szCs w:val="32"/>
          <w:highlight w:val="none"/>
        </w:rPr>
        <w:t>长，镇</w:t>
      </w:r>
      <w:r>
        <w:rPr>
          <w:rFonts w:hint="eastAsia" w:ascii="仿宋_GB2312" w:hAnsi="仿宋_GB2312" w:eastAsia="仿宋_GB2312" w:cs="仿宋_GB2312"/>
          <w:color w:val="auto"/>
          <w:w w:val="100"/>
          <w:sz w:val="32"/>
          <w:szCs w:val="32"/>
          <w:highlight w:val="none"/>
          <w:lang w:val="en-US" w:eastAsia="zh-CN"/>
        </w:rPr>
        <w:t>项目</w:t>
      </w:r>
      <w:r>
        <w:rPr>
          <w:rFonts w:hint="eastAsia" w:ascii="仿宋_GB2312" w:hAnsi="仿宋_GB2312" w:eastAsia="仿宋_GB2312" w:cs="仿宋_GB2312"/>
          <w:color w:val="auto"/>
          <w:w w:val="100"/>
          <w:sz w:val="32"/>
          <w:szCs w:val="32"/>
          <w:highlight w:val="none"/>
        </w:rPr>
        <w:t>办、财政所等相关单位负责人为成员的领导小组，负责项目的领导、协调、实施、督促、指导等工作，为项目建设提供组织保障。</w:t>
      </w:r>
      <w:r>
        <w:rPr>
          <w:rFonts w:hint="eastAsia" w:ascii="仿宋_GB2312" w:hAnsi="仿宋_GB2312" w:eastAsia="仿宋_GB2312" w:cs="仿宋_GB2312"/>
          <w:b/>
          <w:bCs/>
          <w:color w:val="auto"/>
          <w:w w:val="100"/>
          <w:sz w:val="32"/>
          <w:szCs w:val="32"/>
          <w:highlight w:val="none"/>
          <w:lang w:val="en-US" w:eastAsia="zh-CN"/>
        </w:rPr>
        <w:t>二是</w:t>
      </w:r>
      <w:r>
        <w:rPr>
          <w:rFonts w:hint="eastAsia" w:ascii="仿宋_GB2312" w:hAnsi="仿宋_GB2312" w:eastAsia="仿宋_GB2312" w:cs="仿宋_GB2312"/>
          <w:color w:val="auto"/>
          <w:w w:val="100"/>
          <w:sz w:val="32"/>
          <w:szCs w:val="32"/>
          <w:highlight w:val="none"/>
        </w:rPr>
        <w:t>镇</w:t>
      </w:r>
      <w:r>
        <w:rPr>
          <w:rFonts w:hint="eastAsia" w:ascii="仿宋_GB2312" w:hAnsi="仿宋_GB2312" w:eastAsia="仿宋_GB2312" w:cs="仿宋_GB2312"/>
          <w:color w:val="auto"/>
          <w:w w:val="100"/>
          <w:sz w:val="32"/>
          <w:szCs w:val="32"/>
          <w:highlight w:val="none"/>
          <w:lang w:val="en-US" w:eastAsia="zh-CN"/>
        </w:rPr>
        <w:t>项目</w:t>
      </w:r>
      <w:r>
        <w:rPr>
          <w:rFonts w:hint="eastAsia" w:ascii="仿宋_GB2312" w:hAnsi="仿宋_GB2312" w:eastAsia="仿宋_GB2312" w:cs="仿宋_GB2312"/>
          <w:color w:val="auto"/>
          <w:w w:val="100"/>
          <w:sz w:val="32"/>
          <w:szCs w:val="32"/>
          <w:highlight w:val="none"/>
        </w:rPr>
        <w:t>办、纪检、财政所等部门为项目实施的监督单位。负责项目实施</w:t>
      </w:r>
      <w:r>
        <w:rPr>
          <w:rFonts w:hint="eastAsia" w:ascii="仿宋_GB2312" w:hAnsi="仿宋_GB2312" w:eastAsia="仿宋_GB2312" w:cs="仿宋_GB2312"/>
          <w:color w:val="auto"/>
          <w:w w:val="100"/>
          <w:sz w:val="32"/>
          <w:szCs w:val="32"/>
          <w:highlight w:val="none"/>
          <w:lang w:eastAsia="zh-CN"/>
        </w:rPr>
        <w:t>全过程</w:t>
      </w:r>
      <w:r>
        <w:rPr>
          <w:rFonts w:hint="eastAsia" w:ascii="仿宋_GB2312" w:hAnsi="仿宋_GB2312" w:eastAsia="仿宋_GB2312" w:cs="仿宋_GB2312"/>
          <w:color w:val="auto"/>
          <w:w w:val="100"/>
          <w:sz w:val="32"/>
          <w:szCs w:val="32"/>
          <w:highlight w:val="none"/>
        </w:rPr>
        <w:t>的监督、检查，资金审批及管理。</w:t>
      </w:r>
      <w:r>
        <w:rPr>
          <w:rFonts w:hint="eastAsia" w:ascii="仿宋_GB2312" w:hAnsi="仿宋_GB2312" w:eastAsia="仿宋_GB2312" w:cs="仿宋_GB2312"/>
          <w:b/>
          <w:bCs/>
          <w:color w:val="auto"/>
          <w:w w:val="100"/>
          <w:sz w:val="32"/>
          <w:szCs w:val="32"/>
          <w:highlight w:val="none"/>
          <w:lang w:val="en-US" w:eastAsia="zh-CN"/>
        </w:rPr>
        <w:t>三是</w:t>
      </w:r>
      <w:r>
        <w:rPr>
          <w:rFonts w:hint="eastAsia" w:ascii="仿宋_GB2312" w:hAnsi="仿宋_GB2312" w:eastAsia="仿宋_GB2312" w:cs="仿宋_GB2312"/>
          <w:color w:val="auto"/>
          <w:w w:val="100"/>
          <w:sz w:val="32"/>
          <w:szCs w:val="32"/>
          <w:highlight w:val="none"/>
          <w:lang w:val="en-US" w:eastAsia="zh-CN"/>
        </w:rPr>
        <w:t>农业农村局</w:t>
      </w:r>
      <w:r>
        <w:rPr>
          <w:rFonts w:hint="eastAsia" w:ascii="仿宋_GB2312" w:hAnsi="仿宋_GB2312" w:eastAsia="仿宋_GB2312" w:cs="仿宋_GB2312"/>
          <w:color w:val="auto"/>
          <w:w w:val="100"/>
          <w:sz w:val="32"/>
          <w:szCs w:val="32"/>
          <w:highlight w:val="none"/>
        </w:rPr>
        <w:t>为项目实施的技术指导单位，负责项目检测并组织工作人员进行指导服务。</w:t>
      </w:r>
      <w:r>
        <w:rPr>
          <w:rFonts w:hint="eastAsia" w:ascii="仿宋_GB2312" w:hAnsi="仿宋_GB2312" w:eastAsia="仿宋_GB2312" w:cs="仿宋_GB2312"/>
          <w:b/>
          <w:bCs/>
          <w:color w:val="auto"/>
          <w:spacing w:val="-6"/>
          <w:w w:val="100"/>
          <w:kern w:val="2"/>
          <w:sz w:val="32"/>
          <w:szCs w:val="32"/>
          <w:highlight w:val="none"/>
          <w:lang w:val="en-US" w:eastAsia="zh-CN" w:bidi="ar-SA"/>
        </w:rPr>
        <w:t>四是</w:t>
      </w:r>
      <w:r>
        <w:rPr>
          <w:rFonts w:hint="eastAsia" w:ascii="仿宋_GB2312" w:hAnsi="仿宋_GB2312" w:eastAsia="仿宋_GB2312" w:cs="仿宋_GB2312"/>
          <w:color w:val="auto"/>
          <w:spacing w:val="-6"/>
          <w:w w:val="100"/>
          <w:kern w:val="2"/>
          <w:sz w:val="32"/>
          <w:szCs w:val="32"/>
          <w:highlight w:val="none"/>
          <w:lang w:val="en-US" w:eastAsia="zh-CN" w:bidi="ar-SA"/>
        </w:rPr>
        <w:t>伊拉湖镇为项目实施主体。镇和行政村分别成立项目实施领导小组，明确1名副科级领导专抓此项工作，主要负责宣传发动、组织实施和协助村里并进行指导</w:t>
      </w:r>
      <w:r>
        <w:rPr>
          <w:rFonts w:hint="default" w:ascii="Times New Roman" w:hAnsi="Times New Roman" w:eastAsia="仿宋_GB2312" w:cs="Times New Roman"/>
          <w:color w:val="auto"/>
          <w:spacing w:val="-6"/>
          <w:w w:val="100"/>
          <w:kern w:val="2"/>
          <w:sz w:val="32"/>
          <w:szCs w:val="32"/>
          <w:highlight w:val="none"/>
          <w:lang w:val="en-US" w:eastAsia="zh-CN" w:bidi="ar-SA"/>
        </w:rPr>
        <w:t>，帮助落实任务；负责组织开展验收、项目档案的归档等工作。</w:t>
      </w:r>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楷体_GB2312" w:hAnsi="楷体_GB2312" w:eastAsia="楷体_GB2312" w:cs="楷体_GB2312"/>
          <w:b/>
          <w:bCs/>
          <w:color w:val="auto"/>
          <w:w w:val="100"/>
          <w:kern w:val="2"/>
          <w:sz w:val="32"/>
          <w:szCs w:val="32"/>
          <w:highlight w:val="none"/>
          <w:lang w:val="en-US" w:eastAsia="zh-CN" w:bidi="ar-SA"/>
        </w:rPr>
        <w:t>（二）</w:t>
      </w:r>
      <w:r>
        <w:rPr>
          <w:rFonts w:hint="eastAsia" w:ascii="仿宋_GB2312" w:hAnsi="仿宋_GB2312" w:eastAsia="仿宋_GB2312" w:cs="仿宋_GB2312"/>
          <w:b/>
          <w:bCs/>
          <w:color w:val="auto"/>
          <w:sz w:val="32"/>
          <w:szCs w:val="32"/>
          <w:highlight w:val="none"/>
          <w:lang w:val="en-US" w:eastAsia="zh-CN"/>
        </w:rPr>
        <w:t>项目管理</w:t>
      </w:r>
    </w:p>
    <w:p>
      <w:pPr>
        <w:keepNext w:val="0"/>
        <w:keepLines w:val="0"/>
        <w:pageBreakBefore w:val="0"/>
        <w:widowControl w:val="0"/>
        <w:kinsoku/>
        <w:wordWrap/>
        <w:overflowPunct/>
        <w:topLinePunct w:val="0"/>
        <w:autoSpaceDE w:val="0"/>
        <w:autoSpaceDN/>
        <w:bidi w:val="0"/>
        <w:adjustRightInd/>
        <w:snapToGrid/>
        <w:spacing w:line="560" w:lineRule="exact"/>
        <w:ind w:firstLine="643" w:firstLineChars="200"/>
        <w:textAlignment w:val="baseline"/>
        <w:rPr>
          <w:rFonts w:hint="eastAsia" w:ascii="Times New Roman" w:hAnsi="Times New Roman" w:eastAsia="仿宋_GB2312" w:cs="Times New Roman"/>
          <w:color w:val="auto"/>
          <w:spacing w:val="0"/>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1、支持对象。</w:t>
      </w:r>
      <w:r>
        <w:rPr>
          <w:rFonts w:hint="default" w:ascii="Times New Roman" w:hAnsi="Times New Roman" w:eastAsia="仿宋_GB2312" w:cs="Times New Roman"/>
          <w:color w:val="auto"/>
          <w:spacing w:val="0"/>
          <w:sz w:val="32"/>
          <w:szCs w:val="32"/>
          <w:highlight w:val="none"/>
          <w:lang w:val="en-US" w:eastAsia="zh-CN"/>
        </w:rPr>
        <w:t>纳入全国防返贫监测和衔接推进乡村振兴信息系统管理，有发展条件、发展愿望的帮扶对象，重点扶持监测对象家庭及人均纯收入万元以下脱贫户，家庭成员中有行政、事业单位</w:t>
      </w:r>
      <w:r>
        <w:rPr>
          <w:rFonts w:hint="eastAsia" w:ascii="Times New Roman" w:hAnsi="Times New Roman" w:eastAsia="仿宋_GB2312" w:cs="Times New Roman"/>
          <w:color w:val="auto"/>
          <w:spacing w:val="0"/>
          <w:sz w:val="32"/>
          <w:szCs w:val="32"/>
          <w:highlight w:val="none"/>
          <w:lang w:val="en-US" w:eastAsia="zh-CN"/>
        </w:rPr>
        <w:t>（包括国家机关、国企、事业单位等有固定收入的）</w:t>
      </w:r>
      <w:r>
        <w:rPr>
          <w:rFonts w:hint="default" w:ascii="Times New Roman" w:hAnsi="Times New Roman" w:eastAsia="仿宋_GB2312" w:cs="Times New Roman"/>
          <w:color w:val="auto"/>
          <w:spacing w:val="0"/>
          <w:sz w:val="32"/>
          <w:szCs w:val="32"/>
          <w:highlight w:val="none"/>
          <w:lang w:val="en-US" w:eastAsia="zh-CN"/>
        </w:rPr>
        <w:t>人员不纳入补助范围</w:t>
      </w:r>
      <w:r>
        <w:rPr>
          <w:rFonts w:hint="eastAsia" w:ascii="Times New Roman" w:hAnsi="Times New Roman" w:eastAsia="仿宋_GB2312" w:cs="Times New Roman"/>
          <w:color w:val="auto"/>
          <w:spacing w:val="0"/>
          <w:sz w:val="32"/>
          <w:szCs w:val="32"/>
          <w:highlight w:val="none"/>
          <w:lang w:val="en-US" w:eastAsia="zh-CN"/>
        </w:rPr>
        <w:t>。</w:t>
      </w:r>
    </w:p>
    <w:p>
      <w:pPr>
        <w:keepNext w:val="0"/>
        <w:keepLines w:val="0"/>
        <w:pageBreakBefore w:val="0"/>
        <w:widowControl w:val="0"/>
        <w:kinsoku/>
        <w:wordWrap/>
        <w:overflowPunct/>
        <w:topLinePunct w:val="0"/>
        <w:autoSpaceDE w:val="0"/>
        <w:autoSpaceDN/>
        <w:bidi w:val="0"/>
        <w:adjustRightInd/>
        <w:snapToGrid/>
        <w:spacing w:line="560" w:lineRule="exact"/>
        <w:ind w:firstLine="643" w:firstLineChars="200"/>
        <w:textAlignment w:val="baseline"/>
        <w:rPr>
          <w:rFonts w:hint="default" w:ascii="Times New Roman" w:hAnsi="Times New Roman" w:eastAsia="仿宋_GB2312" w:cs="Times New Roman"/>
          <w:color w:val="auto"/>
          <w:spacing w:val="0"/>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2、</w:t>
      </w:r>
      <w:r>
        <w:rPr>
          <w:rFonts w:hint="default" w:ascii="仿宋_GB2312" w:hAnsi="仿宋_GB2312" w:eastAsia="仿宋_GB2312" w:cs="仿宋_GB2312"/>
          <w:b/>
          <w:bCs/>
          <w:color w:val="auto"/>
          <w:kern w:val="2"/>
          <w:sz w:val="32"/>
          <w:szCs w:val="32"/>
          <w:highlight w:val="none"/>
          <w:lang w:val="en-US" w:eastAsia="zh-CN" w:bidi="ar-SA"/>
        </w:rPr>
        <w:t>补助限额</w:t>
      </w:r>
      <w:r>
        <w:rPr>
          <w:rFonts w:hint="default" w:ascii="Times New Roman" w:hAnsi="Times New Roman" w:eastAsia="楷体_GB2312" w:cs="Times New Roman"/>
          <w:b/>
          <w:bCs/>
          <w:color w:val="auto"/>
          <w:spacing w:val="0"/>
          <w:sz w:val="32"/>
          <w:szCs w:val="32"/>
          <w:highlight w:val="none"/>
          <w:lang w:val="en-US" w:eastAsia="zh-CN"/>
        </w:rPr>
        <w:t>。</w:t>
      </w:r>
      <w:r>
        <w:rPr>
          <w:rFonts w:hint="default" w:ascii="Times New Roman" w:hAnsi="Times New Roman" w:eastAsia="仿宋_GB2312" w:cs="Times New Roman"/>
          <w:color w:val="auto"/>
          <w:spacing w:val="0"/>
          <w:sz w:val="32"/>
          <w:szCs w:val="32"/>
          <w:highlight w:val="none"/>
          <w:lang w:val="en-US" w:eastAsia="zh-CN"/>
        </w:rPr>
        <w:t>单户享受累计补助资金不设限额，给予全额支持，不设比例要求，据实补助。</w:t>
      </w:r>
    </w:p>
    <w:p>
      <w:pPr>
        <w:keepNext w:val="0"/>
        <w:keepLines w:val="0"/>
        <w:pageBreakBefore w:val="0"/>
        <w:widowControl w:val="0"/>
        <w:kinsoku/>
        <w:wordWrap/>
        <w:overflowPunct/>
        <w:topLinePunct w:val="0"/>
        <w:autoSpaceDE w:val="0"/>
        <w:autoSpaceDN/>
        <w:bidi w:val="0"/>
        <w:adjustRightInd/>
        <w:snapToGrid/>
        <w:spacing w:line="560" w:lineRule="exact"/>
        <w:ind w:firstLine="643" w:firstLineChars="200"/>
        <w:textAlignment w:val="baseline"/>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bCs/>
          <w:color w:val="auto"/>
          <w:kern w:val="2"/>
          <w:sz w:val="32"/>
          <w:szCs w:val="32"/>
          <w:highlight w:val="none"/>
          <w:lang w:val="en-US" w:eastAsia="zh-CN" w:bidi="ar-SA"/>
        </w:rPr>
        <w:t>3、</w:t>
      </w:r>
      <w:r>
        <w:rPr>
          <w:rFonts w:hint="default" w:ascii="仿宋_GB2312" w:hAnsi="仿宋_GB2312" w:eastAsia="仿宋_GB2312" w:cs="仿宋_GB2312"/>
          <w:b/>
          <w:bCs/>
          <w:color w:val="auto"/>
          <w:kern w:val="2"/>
          <w:sz w:val="32"/>
          <w:szCs w:val="32"/>
          <w:highlight w:val="none"/>
          <w:lang w:val="en-US" w:eastAsia="zh-CN" w:bidi="ar-SA"/>
        </w:rPr>
        <w:t>支持范围。</w:t>
      </w:r>
      <w:r>
        <w:rPr>
          <w:rFonts w:hint="default" w:ascii="Times New Roman" w:hAnsi="Times New Roman" w:eastAsia="仿宋_GB2312" w:cs="Times New Roman"/>
          <w:b w:val="0"/>
          <w:bCs w:val="0"/>
          <w:color w:val="auto"/>
          <w:spacing w:val="0"/>
          <w:sz w:val="32"/>
          <w:szCs w:val="32"/>
          <w:highlight w:val="none"/>
          <w:lang w:val="en-US" w:eastAsia="zh-CN"/>
        </w:rPr>
        <w:t>围绕红枣和杏树整形修剪补助，引导帮扶对象实施林果等产业到户项目，重点支持扩大规模、提质增效、社会化服务等，对当年已获得财政资金扶持的项目在同一环节不再重复补助</w:t>
      </w:r>
      <w:r>
        <w:rPr>
          <w:rFonts w:hint="eastAsia" w:ascii="仿宋_GB2312" w:hAnsi="仿宋_GB2312" w:eastAsia="仿宋_GB2312" w:cs="仿宋_GB2312"/>
          <w:b w:val="0"/>
          <w:bCs w:val="0"/>
          <w:color w:val="auto"/>
          <w:sz w:val="32"/>
          <w:szCs w:val="32"/>
          <w:highlight w:val="none"/>
          <w:lang w:eastAsia="zh-CN"/>
        </w:rPr>
        <w:t>。</w:t>
      </w:r>
    </w:p>
    <w:p>
      <w:pPr>
        <w:keepNext w:val="0"/>
        <w:keepLines w:val="0"/>
        <w:pageBreakBefore w:val="0"/>
        <w:widowControl w:val="0"/>
        <w:kinsoku/>
        <w:wordWrap/>
        <w:overflowPunct/>
        <w:topLinePunct w:val="0"/>
        <w:autoSpaceDE w:val="0"/>
        <w:autoSpaceDN/>
        <w:bidi w:val="0"/>
        <w:adjustRightInd/>
        <w:snapToGrid/>
        <w:spacing w:line="560" w:lineRule="exact"/>
        <w:ind w:firstLine="643" w:firstLineChars="200"/>
        <w:textAlignment w:val="baseline"/>
        <w:rPr>
          <w:rFonts w:hint="eastAsia" w:ascii="Times New Roman" w:hAnsi="Times New Roman" w:eastAsia="仿宋_GB2312" w:cs="Times New Roman"/>
          <w:b w:val="0"/>
          <w:bCs w:val="0"/>
          <w:color w:val="auto"/>
          <w:spacing w:val="0"/>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4、</w:t>
      </w:r>
      <w:r>
        <w:rPr>
          <w:rFonts w:hint="default" w:ascii="仿宋_GB2312" w:hAnsi="仿宋_GB2312" w:eastAsia="仿宋_GB2312" w:cs="仿宋_GB2312"/>
          <w:b/>
          <w:bCs/>
          <w:color w:val="auto"/>
          <w:kern w:val="2"/>
          <w:sz w:val="32"/>
          <w:szCs w:val="32"/>
          <w:highlight w:val="none"/>
          <w:lang w:val="en-US" w:eastAsia="zh-CN" w:bidi="ar-SA"/>
        </w:rPr>
        <w:t>支持环节和标准</w:t>
      </w:r>
      <w:r>
        <w:rPr>
          <w:rFonts w:hint="eastAsia" w:ascii="仿宋_GB2312" w:hAnsi="仿宋_GB2312" w:eastAsia="仿宋_GB2312" w:cs="仿宋_GB2312"/>
          <w:b/>
          <w:bCs/>
          <w:color w:val="auto"/>
          <w:kern w:val="2"/>
          <w:sz w:val="32"/>
          <w:szCs w:val="32"/>
          <w:highlight w:val="none"/>
          <w:lang w:val="en-US" w:eastAsia="zh-CN" w:bidi="ar-SA"/>
        </w:rPr>
        <w:t>。</w:t>
      </w:r>
      <w:r>
        <w:rPr>
          <w:rFonts w:hint="default" w:ascii="Times New Roman" w:hAnsi="Times New Roman" w:eastAsia="仿宋_GB2312" w:cs="Times New Roman"/>
          <w:b w:val="0"/>
          <w:bCs w:val="0"/>
          <w:color w:val="auto"/>
          <w:spacing w:val="0"/>
          <w:kern w:val="2"/>
          <w:sz w:val="32"/>
          <w:szCs w:val="32"/>
          <w:highlight w:val="none"/>
          <w:lang w:val="en-US" w:eastAsia="zh-CN" w:bidi="ar-SA"/>
        </w:rPr>
        <w:t>林</w:t>
      </w:r>
      <w:r>
        <w:rPr>
          <w:rFonts w:hint="eastAsia" w:ascii="Times New Roman" w:hAnsi="Times New Roman" w:eastAsia="仿宋_GB2312" w:cs="Times New Roman"/>
          <w:b w:val="0"/>
          <w:bCs w:val="0"/>
          <w:color w:val="auto"/>
          <w:spacing w:val="0"/>
          <w:kern w:val="2"/>
          <w:sz w:val="32"/>
          <w:szCs w:val="32"/>
          <w:highlight w:val="none"/>
          <w:lang w:val="en-US" w:eastAsia="zh-CN" w:bidi="ar-SA"/>
        </w:rPr>
        <w:t>果种植面积在1亩以上的，对种植关键环节、薄弱环节给予适当补助。</w:t>
      </w:r>
    </w:p>
    <w:p>
      <w:pPr>
        <w:pStyle w:val="4"/>
        <w:keepNext/>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5、支持整形修剪。</w:t>
      </w:r>
      <w:r>
        <w:rPr>
          <w:rFonts w:hint="eastAsia" w:ascii="Times New Roman" w:hAnsi="Times New Roman" w:eastAsia="仿宋_GB2312" w:cs="Times New Roman"/>
          <w:b w:val="0"/>
          <w:bCs w:val="0"/>
          <w:color w:val="auto"/>
          <w:spacing w:val="0"/>
          <w:kern w:val="2"/>
          <w:sz w:val="32"/>
          <w:szCs w:val="32"/>
          <w:highlight w:val="none"/>
          <w:lang w:val="en-US" w:eastAsia="zh-CN" w:bidi="ar-SA"/>
        </w:rPr>
        <w:t>重点支持通过林果技术服务合作社、科技特派员、土专家、田秀才等开展林果修剪培训，指导农户自行修剪。按照红枣每亩110元、杏每亩85元的标准给予补助。</w:t>
      </w:r>
    </w:p>
    <w:p>
      <w:pPr>
        <w:pStyle w:val="4"/>
        <w:keepNext/>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default"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（三）</w:t>
      </w:r>
      <w:r>
        <w:rPr>
          <w:rFonts w:hint="default" w:ascii="仿宋_GB2312" w:hAnsi="仿宋_GB2312" w:eastAsia="仿宋_GB2312" w:cs="仿宋_GB2312"/>
          <w:b/>
          <w:bCs/>
          <w:color w:val="auto"/>
          <w:kern w:val="2"/>
          <w:sz w:val="32"/>
          <w:szCs w:val="32"/>
          <w:highlight w:val="none"/>
          <w:lang w:val="en-US" w:eastAsia="zh-CN" w:bidi="ar-SA"/>
        </w:rPr>
        <w:t>项目实施流程</w:t>
      </w:r>
    </w:p>
    <w:p>
      <w:pPr>
        <w:pStyle w:val="4"/>
        <w:keepNext/>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default" w:ascii="Times New Roman" w:hAnsi="Times New Roman" w:eastAsia="仿宋_GB2312" w:cs="Times New Roman"/>
          <w:color w:val="auto"/>
          <w:spacing w:val="0"/>
          <w:sz w:val="32"/>
          <w:szCs w:val="32"/>
          <w:highlight w:val="none"/>
        </w:rPr>
      </w:pPr>
      <w:r>
        <w:rPr>
          <w:rFonts w:hint="eastAsia" w:ascii="仿宋_GB2312" w:hAnsi="仿宋_GB2312" w:eastAsia="仿宋_GB2312" w:cs="仿宋_GB2312"/>
          <w:b/>
          <w:bCs/>
          <w:color w:val="auto"/>
          <w:kern w:val="2"/>
          <w:sz w:val="32"/>
          <w:szCs w:val="32"/>
          <w:highlight w:val="none"/>
          <w:lang w:val="en-US" w:eastAsia="zh-CN" w:bidi="ar-SA"/>
        </w:rPr>
        <w:t>1、</w:t>
      </w:r>
      <w:r>
        <w:rPr>
          <w:rFonts w:hint="default" w:ascii="仿宋_GB2312" w:hAnsi="仿宋_GB2312" w:eastAsia="仿宋_GB2312" w:cs="仿宋_GB2312"/>
          <w:b/>
          <w:bCs/>
          <w:color w:val="auto"/>
          <w:kern w:val="2"/>
          <w:sz w:val="32"/>
          <w:szCs w:val="32"/>
          <w:highlight w:val="none"/>
          <w:lang w:val="en-US" w:eastAsia="zh-CN" w:bidi="ar-SA"/>
        </w:rPr>
        <w:t>自主申请。</w:t>
      </w:r>
      <w:r>
        <w:rPr>
          <w:rFonts w:hint="default" w:ascii="Times New Roman" w:hAnsi="Times New Roman" w:eastAsia="仿宋_GB2312" w:cs="Times New Roman"/>
          <w:color w:val="auto"/>
          <w:spacing w:val="0"/>
          <w:sz w:val="32"/>
          <w:szCs w:val="32"/>
          <w:highlight w:val="none"/>
        </w:rPr>
        <w:t>补助对象对照产业到户项目申报条件和程序</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rPr>
        <w:t>自愿向所在村委会提出申请</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rPr>
        <w:t>村委会审核汇总</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rPr>
        <w:t>落实“四议两公开”民主决策程序后报乡镇人民政府进行合规性、合理性、真实性核查。</w:t>
      </w:r>
    </w:p>
    <w:p>
      <w:pPr>
        <w:pStyle w:val="4"/>
        <w:keepNext/>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default" w:ascii="Times New Roman" w:hAnsi="Times New Roman" w:eastAsia="仿宋_GB2312" w:cs="Times New Roman"/>
          <w:color w:val="auto"/>
          <w:spacing w:val="0"/>
          <w:sz w:val="32"/>
          <w:szCs w:val="32"/>
          <w:highlight w:val="none"/>
        </w:rPr>
      </w:pPr>
      <w:r>
        <w:rPr>
          <w:rFonts w:hint="eastAsia" w:ascii="仿宋_GB2312" w:hAnsi="仿宋_GB2312" w:eastAsia="仿宋_GB2312" w:cs="仿宋_GB2312"/>
          <w:b/>
          <w:bCs/>
          <w:color w:val="auto"/>
          <w:kern w:val="2"/>
          <w:sz w:val="32"/>
          <w:szCs w:val="32"/>
          <w:highlight w:val="none"/>
          <w:lang w:val="en-US" w:eastAsia="zh-CN" w:bidi="ar-SA"/>
        </w:rPr>
        <w:t>2、</w:t>
      </w:r>
      <w:r>
        <w:rPr>
          <w:rFonts w:hint="default" w:ascii="仿宋_GB2312" w:hAnsi="仿宋_GB2312" w:eastAsia="仿宋_GB2312" w:cs="仿宋_GB2312"/>
          <w:b/>
          <w:bCs/>
          <w:color w:val="auto"/>
          <w:kern w:val="2"/>
          <w:sz w:val="32"/>
          <w:szCs w:val="32"/>
          <w:highlight w:val="none"/>
          <w:lang w:val="en-US" w:eastAsia="zh-CN" w:bidi="ar-SA"/>
        </w:rPr>
        <w:t>审核批准。</w:t>
      </w:r>
      <w:r>
        <w:rPr>
          <w:rFonts w:hint="default" w:ascii="Times New Roman" w:hAnsi="Times New Roman" w:eastAsia="仿宋_GB2312" w:cs="Times New Roman"/>
          <w:color w:val="auto"/>
          <w:spacing w:val="0"/>
          <w:sz w:val="32"/>
          <w:szCs w:val="32"/>
          <w:highlight w:val="none"/>
        </w:rPr>
        <w:t>乡镇人民政府汇总各村申报材料</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rPr>
        <w:t>分类编制产业到户项目绩效目标</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rPr>
        <w:t>按程序报县级农业农村</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rPr>
        <w:t>乡村振兴</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rPr>
        <w:t>部门审核。县级农业农村</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rPr>
        <w:t>乡村振兴</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rPr>
        <w:t>部门牵头组织对乡镇申报产业到户项目进行审核论证。对审核通过的项目按程序列入衔接资金项目库</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en-US" w:eastAsia="zh-CN"/>
        </w:rPr>
        <w:t>乡镇统一</w:t>
      </w:r>
      <w:r>
        <w:rPr>
          <w:rFonts w:hint="default" w:ascii="Times New Roman" w:hAnsi="Times New Roman" w:eastAsia="仿宋_GB2312" w:cs="Times New Roman"/>
          <w:color w:val="auto"/>
          <w:spacing w:val="0"/>
          <w:sz w:val="32"/>
          <w:szCs w:val="32"/>
          <w:highlight w:val="none"/>
        </w:rPr>
        <w:t>编制项目实施方案</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rPr>
        <w:t>报</w:t>
      </w:r>
      <w:r>
        <w:rPr>
          <w:rFonts w:hint="default" w:ascii="Times New Roman" w:hAnsi="Times New Roman" w:eastAsia="仿宋_GB2312" w:cs="Times New Roman"/>
          <w:color w:val="auto"/>
          <w:spacing w:val="0"/>
          <w:kern w:val="2"/>
          <w:sz w:val="32"/>
          <w:szCs w:val="32"/>
          <w:highlight w:val="none"/>
          <w:lang w:val="en-US" w:eastAsia="zh-CN" w:bidi="ar-SA"/>
        </w:rPr>
        <w:t>县委农村工作领导小组暨乡村振兴领导小组</w:t>
      </w:r>
      <w:r>
        <w:rPr>
          <w:rFonts w:hint="default" w:ascii="Times New Roman" w:hAnsi="Times New Roman" w:eastAsia="仿宋_GB2312" w:cs="Times New Roman"/>
          <w:color w:val="auto"/>
          <w:spacing w:val="0"/>
          <w:sz w:val="32"/>
          <w:szCs w:val="32"/>
          <w:highlight w:val="none"/>
        </w:rPr>
        <w:t>审定。未按规定履行审批程序的项目</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rPr>
        <w:t>不得安排财政资金予以扶持。</w:t>
      </w:r>
    </w:p>
    <w:p>
      <w:pPr>
        <w:pStyle w:val="4"/>
        <w:keepNext/>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default" w:ascii="Times New Roman" w:hAnsi="Times New Roman" w:eastAsia="仿宋_GB2312" w:cs="Times New Roman"/>
          <w:color w:val="auto"/>
          <w:spacing w:val="0"/>
          <w:sz w:val="32"/>
          <w:szCs w:val="32"/>
          <w:highlight w:val="none"/>
        </w:rPr>
      </w:pPr>
      <w:r>
        <w:rPr>
          <w:rFonts w:hint="eastAsia" w:ascii="仿宋_GB2312" w:hAnsi="仿宋_GB2312" w:eastAsia="仿宋_GB2312" w:cs="仿宋_GB2312"/>
          <w:b/>
          <w:bCs/>
          <w:color w:val="auto"/>
          <w:kern w:val="2"/>
          <w:sz w:val="32"/>
          <w:szCs w:val="32"/>
          <w:highlight w:val="none"/>
          <w:lang w:val="en-US" w:eastAsia="zh-CN" w:bidi="ar-SA"/>
        </w:rPr>
        <w:t>3、</w:t>
      </w:r>
      <w:r>
        <w:rPr>
          <w:rFonts w:hint="default" w:ascii="仿宋_GB2312" w:hAnsi="仿宋_GB2312" w:eastAsia="仿宋_GB2312" w:cs="仿宋_GB2312"/>
          <w:b/>
          <w:bCs/>
          <w:color w:val="auto"/>
          <w:kern w:val="2"/>
          <w:sz w:val="32"/>
          <w:szCs w:val="32"/>
          <w:highlight w:val="none"/>
          <w:lang w:val="en-US" w:eastAsia="zh-CN" w:bidi="ar-SA"/>
        </w:rPr>
        <w:t>组织实施。</w:t>
      </w:r>
      <w:r>
        <w:rPr>
          <w:rFonts w:hint="default" w:ascii="仿宋_GB2312" w:hAnsi="仿宋_GB2312" w:eastAsia="仿宋_GB2312" w:cs="仿宋_GB2312"/>
          <w:b w:val="0"/>
          <w:bCs w:val="0"/>
          <w:color w:val="auto"/>
          <w:kern w:val="2"/>
          <w:sz w:val="32"/>
          <w:szCs w:val="32"/>
          <w:highlight w:val="none"/>
          <w:lang w:val="en-US" w:eastAsia="zh-CN" w:bidi="ar-SA"/>
        </w:rPr>
        <w:t>帮</w:t>
      </w:r>
      <w:r>
        <w:rPr>
          <w:rFonts w:hint="default" w:ascii="Times New Roman" w:hAnsi="Times New Roman" w:eastAsia="仿宋_GB2312" w:cs="Times New Roman"/>
          <w:b w:val="0"/>
          <w:bCs w:val="0"/>
          <w:color w:val="auto"/>
          <w:spacing w:val="0"/>
          <w:sz w:val="32"/>
          <w:szCs w:val="32"/>
          <w:highlight w:val="none"/>
        </w:rPr>
        <w:t>扶对</w:t>
      </w:r>
      <w:r>
        <w:rPr>
          <w:rFonts w:hint="default" w:ascii="Times New Roman" w:hAnsi="Times New Roman" w:eastAsia="仿宋_GB2312" w:cs="Times New Roman"/>
          <w:color w:val="auto"/>
          <w:spacing w:val="0"/>
          <w:sz w:val="32"/>
          <w:szCs w:val="32"/>
          <w:highlight w:val="none"/>
        </w:rPr>
        <w:t>象按照批准的申请计划实施产业到户项目。乡村两级根据产业类型、生产规律和生产周期</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rPr>
        <w:t>实时关注项目实施情况</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rPr>
        <w:t>严格把控项目实施进度和质量。县级各行业主管部门做好技术指导、跟踪服务</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rPr>
        <w:t>加强项目日常监督。</w:t>
      </w:r>
    </w:p>
    <w:p>
      <w:pPr>
        <w:pStyle w:val="4"/>
        <w:keepNext/>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default" w:ascii="Times New Roman" w:hAnsi="Times New Roman" w:eastAsia="仿宋_GB2312" w:cs="Times New Roman"/>
          <w:color w:val="auto"/>
          <w:spacing w:val="0"/>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default" w:ascii="仿宋_GB2312" w:hAnsi="仿宋_GB2312" w:eastAsia="仿宋_GB2312" w:cs="仿宋_GB2312"/>
          <w:b/>
          <w:bCs/>
          <w:color w:val="auto"/>
          <w:kern w:val="2"/>
          <w:sz w:val="32"/>
          <w:szCs w:val="32"/>
          <w:highlight w:val="none"/>
          <w:lang w:val="en-US" w:eastAsia="zh-CN" w:bidi="ar-SA"/>
        </w:rPr>
        <w:t>验收核查。</w:t>
      </w:r>
      <w:r>
        <w:rPr>
          <w:rFonts w:hint="default" w:ascii="Times New Roman" w:hAnsi="Times New Roman" w:eastAsia="仿宋_GB2312" w:cs="Times New Roman"/>
          <w:color w:val="auto"/>
          <w:spacing w:val="0"/>
          <w:sz w:val="32"/>
          <w:szCs w:val="32"/>
          <w:highlight w:val="none"/>
        </w:rPr>
        <w:t>产业到户项目实施完一批验收一批。帮扶对象实施的到户项目符合验收标准的</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rPr>
        <w:t>村委会初审后提出验收申请</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rPr>
        <w:t>由乡镇人民政府统一组织</w:t>
      </w:r>
      <w:r>
        <w:rPr>
          <w:rFonts w:hint="default" w:ascii="Times New Roman" w:hAnsi="Times New Roman" w:eastAsia="仿宋_GB2312" w:cs="Times New Roman"/>
          <w:color w:val="auto"/>
          <w:spacing w:val="0"/>
          <w:sz w:val="32"/>
          <w:szCs w:val="32"/>
          <w:highlight w:val="none"/>
          <w:lang w:val="en-US" w:eastAsia="zh-CN"/>
        </w:rPr>
        <w:t>全覆盖</w:t>
      </w:r>
      <w:r>
        <w:rPr>
          <w:rFonts w:hint="default" w:ascii="Times New Roman" w:hAnsi="Times New Roman" w:eastAsia="仿宋_GB2312" w:cs="Times New Roman"/>
          <w:color w:val="auto"/>
          <w:spacing w:val="0"/>
          <w:sz w:val="32"/>
          <w:szCs w:val="32"/>
          <w:highlight w:val="none"/>
        </w:rPr>
        <w:t>验收</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rPr>
        <w:t>对验收合格的出具验收意见报县级农业农村</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rPr>
        <w:t>乡村振兴</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rPr>
        <w:t>部门。县级农业农村</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rPr>
        <w:t>乡村振兴</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en-US" w:eastAsia="zh-CN"/>
        </w:rPr>
        <w:t>部门</w:t>
      </w:r>
      <w:r>
        <w:rPr>
          <w:rFonts w:hint="default" w:ascii="Times New Roman" w:hAnsi="Times New Roman" w:eastAsia="仿宋_GB2312" w:cs="Times New Roman"/>
          <w:color w:val="auto"/>
          <w:spacing w:val="0"/>
          <w:sz w:val="32"/>
          <w:szCs w:val="32"/>
          <w:highlight w:val="none"/>
        </w:rPr>
        <w:t>牵头组织</w:t>
      </w:r>
      <w:r>
        <w:rPr>
          <w:rFonts w:hint="default" w:ascii="Times New Roman" w:hAnsi="Times New Roman" w:eastAsia="仿宋_GB2312" w:cs="Times New Roman"/>
          <w:color w:val="auto"/>
          <w:spacing w:val="0"/>
          <w:sz w:val="32"/>
          <w:szCs w:val="32"/>
          <w:highlight w:val="none"/>
          <w:lang w:val="en-US" w:eastAsia="zh-CN"/>
        </w:rPr>
        <w:t>财政、林草等相关行业部门</w:t>
      </w:r>
      <w:r>
        <w:rPr>
          <w:rFonts w:hint="default" w:ascii="Times New Roman" w:hAnsi="Times New Roman" w:eastAsia="仿宋_GB2312" w:cs="Times New Roman"/>
          <w:color w:val="auto"/>
          <w:spacing w:val="0"/>
          <w:sz w:val="32"/>
          <w:szCs w:val="32"/>
          <w:highlight w:val="none"/>
        </w:rPr>
        <w:t>按不低于申请补助户数10%的比例进行随机抽查</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rPr>
        <w:t>对抽检整体合格的</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rPr>
        <w:t>给予综合验收意见</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en-US" w:eastAsia="zh-CN"/>
        </w:rPr>
        <w:t xml:space="preserve">   </w:t>
      </w:r>
    </w:p>
    <w:p>
      <w:pPr>
        <w:pStyle w:val="4"/>
        <w:keepNext/>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default" w:ascii="Times New Roman" w:hAnsi="Times New Roman" w:eastAsia="仿宋_GB2312" w:cs="Times New Roman"/>
          <w:color w:val="auto"/>
          <w:spacing w:val="0"/>
          <w:sz w:val="32"/>
          <w:szCs w:val="32"/>
          <w:highlight w:val="none"/>
        </w:rPr>
      </w:pPr>
      <w:r>
        <w:rPr>
          <w:rFonts w:hint="eastAsia" w:ascii="仿宋_GB2312" w:hAnsi="仿宋_GB2312" w:eastAsia="仿宋_GB2312" w:cs="仿宋_GB2312"/>
          <w:b/>
          <w:bCs/>
          <w:color w:val="auto"/>
          <w:kern w:val="2"/>
          <w:sz w:val="32"/>
          <w:szCs w:val="32"/>
          <w:highlight w:val="none"/>
          <w:lang w:val="en-US" w:eastAsia="zh-CN" w:bidi="ar-SA"/>
        </w:rPr>
        <w:t>5、</w:t>
      </w:r>
      <w:r>
        <w:rPr>
          <w:rFonts w:hint="default" w:ascii="仿宋_GB2312" w:hAnsi="仿宋_GB2312" w:eastAsia="仿宋_GB2312" w:cs="仿宋_GB2312"/>
          <w:b/>
          <w:bCs/>
          <w:color w:val="auto"/>
          <w:kern w:val="2"/>
          <w:sz w:val="32"/>
          <w:szCs w:val="32"/>
          <w:highlight w:val="none"/>
          <w:lang w:val="en-US" w:eastAsia="zh-CN" w:bidi="ar-SA"/>
        </w:rPr>
        <w:t>资金</w:t>
      </w:r>
      <w:r>
        <w:rPr>
          <w:rFonts w:hint="eastAsia" w:ascii="仿宋_GB2312" w:hAnsi="仿宋_GB2312" w:eastAsia="仿宋_GB2312" w:cs="仿宋_GB2312"/>
          <w:b/>
          <w:bCs/>
          <w:color w:val="auto"/>
          <w:kern w:val="2"/>
          <w:sz w:val="32"/>
          <w:szCs w:val="32"/>
          <w:highlight w:val="none"/>
          <w:lang w:val="en-US" w:eastAsia="zh-CN" w:bidi="ar-SA"/>
        </w:rPr>
        <w:t>拨付</w:t>
      </w:r>
      <w:r>
        <w:rPr>
          <w:rFonts w:hint="default" w:ascii="仿宋_GB2312" w:hAnsi="仿宋_GB2312" w:eastAsia="仿宋_GB2312" w:cs="仿宋_GB2312"/>
          <w:b/>
          <w:bCs/>
          <w:color w:val="auto"/>
          <w:kern w:val="2"/>
          <w:sz w:val="32"/>
          <w:szCs w:val="32"/>
          <w:highlight w:val="none"/>
          <w:lang w:val="en-US" w:eastAsia="zh-CN" w:bidi="ar-SA"/>
        </w:rPr>
        <w:t>。</w:t>
      </w:r>
      <w:r>
        <w:rPr>
          <w:rFonts w:hint="default" w:ascii="Times New Roman" w:hAnsi="Times New Roman" w:eastAsia="仿宋_GB2312" w:cs="Times New Roman"/>
          <w:color w:val="auto"/>
          <w:spacing w:val="0"/>
          <w:sz w:val="32"/>
          <w:szCs w:val="32"/>
          <w:highlight w:val="none"/>
        </w:rPr>
        <w:t>对综合验收合格的产业到户项目</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rPr>
        <w:t>由乡镇人民政府按照县级部门复核确定补助对象及金额</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rPr>
        <w:t>履行相关审批程序后</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rPr>
        <w:t>提交县级财政部门通过“一卡通”直接拨付补助资金。</w:t>
      </w:r>
    </w:p>
    <w:p>
      <w:pPr>
        <w:pStyle w:val="4"/>
        <w:keepNext/>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b w:val="0"/>
          <w:bCs w:val="0"/>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6、</w:t>
      </w:r>
      <w:r>
        <w:rPr>
          <w:rFonts w:hint="default" w:ascii="仿宋_GB2312" w:hAnsi="仿宋_GB2312" w:eastAsia="仿宋_GB2312" w:cs="仿宋_GB2312"/>
          <w:b/>
          <w:bCs/>
          <w:color w:val="auto"/>
          <w:kern w:val="2"/>
          <w:sz w:val="32"/>
          <w:szCs w:val="32"/>
          <w:highlight w:val="none"/>
          <w:lang w:val="en-US" w:eastAsia="zh-CN" w:bidi="ar-SA"/>
        </w:rPr>
        <w:t>公示公告。</w:t>
      </w:r>
      <w:r>
        <w:rPr>
          <w:rFonts w:hint="default" w:ascii="Times New Roman" w:hAnsi="Times New Roman" w:eastAsia="仿宋_GB2312" w:cs="Times New Roman"/>
          <w:color w:val="auto"/>
          <w:spacing w:val="0"/>
          <w:sz w:val="32"/>
          <w:szCs w:val="32"/>
          <w:highlight w:val="none"/>
        </w:rPr>
        <w:t>严格执行公告公示制度</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rPr>
        <w:t>对县级产业到户项目实施方案进行公告</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rPr>
        <w:t>对项目申报、验收结果等关键环节进行公示</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rPr>
        <w:t>主动接受社会各界监督。</w:t>
      </w:r>
    </w:p>
    <w:p>
      <w:pPr>
        <w:pStyle w:val="11"/>
        <w:keepNext/>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color w:val="auto"/>
          <w:kern w:val="2"/>
          <w:sz w:val="32"/>
          <w:szCs w:val="32"/>
          <w:highlight w:val="none"/>
          <w:lang w:val="en-US" w:eastAsia="zh-CN" w:bidi="ar-SA"/>
        </w:rPr>
      </w:pPr>
      <w:r>
        <w:rPr>
          <w:rFonts w:hint="eastAsia" w:ascii="黑体" w:hAnsi="黑体" w:eastAsia="黑体" w:cs="黑体"/>
          <w:color w:val="auto"/>
          <w:kern w:val="2"/>
          <w:sz w:val="32"/>
          <w:szCs w:val="32"/>
          <w:highlight w:val="none"/>
          <w:lang w:val="en-US" w:eastAsia="zh-CN" w:bidi="ar-SA"/>
        </w:rPr>
        <w:t>利益联结机制</w:t>
      </w:r>
    </w:p>
    <w:p>
      <w:pPr>
        <w:pStyle w:val="11"/>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w w:val="100"/>
          <w:kern w:val="2"/>
          <w:sz w:val="32"/>
          <w:szCs w:val="32"/>
          <w:highlight w:val="none"/>
          <w:lang w:val="en-US" w:eastAsia="zh-CN" w:bidi="ar-SA"/>
        </w:rPr>
      </w:pPr>
      <w:r>
        <w:rPr>
          <w:rFonts w:hint="default" w:ascii="Times New Roman" w:hAnsi="Times New Roman" w:eastAsia="仿宋_GB2312" w:cs="Times New Roman"/>
          <w:color w:val="auto"/>
          <w:w w:val="100"/>
          <w:kern w:val="2"/>
          <w:sz w:val="32"/>
          <w:szCs w:val="32"/>
          <w:highlight w:val="none"/>
          <w:lang w:val="en-US" w:eastAsia="zh-CN" w:bidi="ar-SA"/>
        </w:rPr>
        <w:t>通过实施修剪补助项目，一是促进枣树</w:t>
      </w:r>
      <w:r>
        <w:rPr>
          <w:rFonts w:hint="eastAsia" w:ascii="Times New Roman" w:hAnsi="Times New Roman" w:eastAsia="仿宋_GB2312" w:cs="Times New Roman"/>
          <w:color w:val="auto"/>
          <w:w w:val="100"/>
          <w:kern w:val="2"/>
          <w:sz w:val="32"/>
          <w:szCs w:val="32"/>
          <w:highlight w:val="none"/>
          <w:lang w:val="en-US" w:eastAsia="zh-CN" w:bidi="ar-SA"/>
        </w:rPr>
        <w:t>、杏树</w:t>
      </w:r>
      <w:r>
        <w:rPr>
          <w:rFonts w:hint="default" w:ascii="Times New Roman" w:hAnsi="Times New Roman" w:eastAsia="仿宋_GB2312" w:cs="Times New Roman"/>
          <w:color w:val="auto"/>
          <w:w w:val="100"/>
          <w:kern w:val="2"/>
          <w:sz w:val="32"/>
          <w:szCs w:val="32"/>
          <w:highlight w:val="none"/>
          <w:lang w:val="en-US" w:eastAsia="zh-CN" w:bidi="ar-SA"/>
        </w:rPr>
        <w:t>健康生长，提高果实产量。二是提高红枣</w:t>
      </w:r>
      <w:r>
        <w:rPr>
          <w:rFonts w:hint="eastAsia" w:ascii="Times New Roman" w:hAnsi="Times New Roman" w:eastAsia="仿宋_GB2312" w:cs="Times New Roman"/>
          <w:color w:val="auto"/>
          <w:w w:val="100"/>
          <w:kern w:val="2"/>
          <w:sz w:val="32"/>
          <w:szCs w:val="32"/>
          <w:highlight w:val="none"/>
          <w:lang w:val="en-US" w:eastAsia="zh-CN" w:bidi="ar-SA"/>
        </w:rPr>
        <w:t>、杏树</w:t>
      </w:r>
      <w:r>
        <w:rPr>
          <w:rFonts w:hint="default" w:ascii="Times New Roman" w:hAnsi="Times New Roman" w:eastAsia="仿宋_GB2312" w:cs="Times New Roman"/>
          <w:color w:val="auto"/>
          <w:w w:val="100"/>
          <w:kern w:val="2"/>
          <w:sz w:val="32"/>
          <w:szCs w:val="32"/>
          <w:highlight w:val="none"/>
          <w:lang w:val="en-US" w:eastAsia="zh-CN" w:bidi="ar-SA"/>
        </w:rPr>
        <w:t>产量和品质，</w:t>
      </w:r>
      <w:r>
        <w:rPr>
          <w:rFonts w:hint="eastAsia" w:ascii="仿宋_GB2312" w:hAnsi="仿宋_GB2312" w:eastAsia="仿宋_GB2312" w:cs="仿宋_GB2312"/>
          <w:color w:val="auto"/>
          <w:w w:val="100"/>
          <w:kern w:val="2"/>
          <w:sz w:val="32"/>
          <w:szCs w:val="32"/>
          <w:highlight w:val="none"/>
          <w:lang w:val="en-US" w:eastAsia="zh-CN" w:bidi="ar-SA"/>
        </w:rPr>
        <w:t>减少脱贫户及监测对象生产投入，项目实施预计可节省150户脱贫户及监测户林果修剪成本，还可带动增加脱贫户及监测对象全年总收入不低于1.40475万元。</w:t>
      </w:r>
      <w:r>
        <w:rPr>
          <w:rFonts w:hint="default" w:ascii="Times New Roman" w:hAnsi="Times New Roman" w:eastAsia="仿宋_GB2312" w:cs="Times New Roman"/>
          <w:color w:val="auto"/>
          <w:w w:val="100"/>
          <w:kern w:val="2"/>
          <w:sz w:val="32"/>
          <w:szCs w:val="32"/>
          <w:highlight w:val="none"/>
          <w:lang w:val="en-US" w:eastAsia="zh-CN" w:bidi="ar-SA"/>
        </w:rPr>
        <w:t>三是通过</w:t>
      </w:r>
      <w:r>
        <w:rPr>
          <w:rFonts w:hint="eastAsia" w:ascii="仿宋_GB2312" w:hAnsi="仿宋_GB2312" w:eastAsia="仿宋_GB2312" w:cs="仿宋_GB2312"/>
          <w:color w:val="auto"/>
          <w:w w:val="100"/>
          <w:kern w:val="2"/>
          <w:sz w:val="32"/>
          <w:szCs w:val="32"/>
          <w:highlight w:val="none"/>
          <w:lang w:val="en-US" w:eastAsia="zh-CN" w:bidi="ar-SA"/>
        </w:rPr>
        <w:t>补助，鼓励农民学习和掌握枣树、杏树修剪技术，提高整体修剪水平。枣树修剪惠及8户脱贫户和监测对象、杏树修剪惠及23户脱贫户和监测对象。</w:t>
      </w:r>
    </w:p>
    <w:p>
      <w:pPr>
        <w:pStyle w:val="11"/>
        <w:keepNext/>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s="黑体"/>
          <w:color w:val="auto"/>
          <w:kern w:val="2"/>
          <w:sz w:val="32"/>
          <w:szCs w:val="32"/>
          <w:highlight w:val="none"/>
          <w:lang w:val="en-US" w:eastAsia="zh-CN" w:bidi="ar-SA"/>
        </w:rPr>
      </w:pPr>
      <w:r>
        <w:rPr>
          <w:rFonts w:hint="eastAsia" w:ascii="黑体" w:hAnsi="黑体" w:eastAsia="黑体" w:cs="黑体"/>
          <w:color w:val="auto"/>
          <w:kern w:val="2"/>
          <w:sz w:val="32"/>
          <w:szCs w:val="32"/>
          <w:highlight w:val="none"/>
          <w:lang w:val="en-US" w:eastAsia="zh-CN" w:bidi="ar-SA"/>
        </w:rPr>
        <w:t>项目绩效目标及效益分析</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1、年度总体目标：</w:t>
      </w:r>
      <w:r>
        <w:rPr>
          <w:rFonts w:hint="eastAsia" w:ascii="仿宋_GB2312" w:hAnsi="仿宋_GB2312" w:eastAsia="仿宋_GB2312" w:cs="仿宋_GB2312"/>
          <w:b w:val="0"/>
          <w:bCs w:val="0"/>
          <w:color w:val="auto"/>
          <w:sz w:val="32"/>
          <w:szCs w:val="32"/>
          <w:highlight w:val="none"/>
          <w:lang w:val="en-US" w:eastAsia="zh-CN"/>
        </w:rPr>
        <w:t>计划对伊拉湖镇脱贫户及监测户种植的杏树和枣树开展整形修剪给予补助。其中：对8户脱贫户和监测对象种植的48.5亩枣树进行修剪，每亩补助110元；对23户脱贫户及监测对象种植的102.5亩杏树进行修剪，每亩补助85元，（最终补助亩数以实际发生量为准）。通过实施修剪补助项目，一是促进林果发育健康生长，提高果实产量。二是通过提高林果产量和品质，增加农民的经济收入。三是通过补助，鼓励农民学习和掌握林果树修剪技术，提高整体修剪水平，项目惠及31户脱贫户及监测户。</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left"/>
        <w:textAlignment w:val="auto"/>
        <w:rPr>
          <w:rFonts w:hint="default"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2、经济效益：</w:t>
      </w:r>
      <w:r>
        <w:rPr>
          <w:rFonts w:hint="eastAsia" w:ascii="仿宋_GB2312" w:hAnsi="仿宋_GB2312" w:eastAsia="仿宋_GB2312" w:cs="仿宋_GB2312"/>
          <w:b w:val="0"/>
          <w:bCs w:val="0"/>
          <w:color w:val="auto"/>
          <w:sz w:val="32"/>
          <w:szCs w:val="32"/>
          <w:highlight w:val="none"/>
          <w:lang w:val="en-US" w:eastAsia="zh-CN"/>
        </w:rPr>
        <w:t>一</w:t>
      </w:r>
      <w:r>
        <w:rPr>
          <w:rFonts w:hint="eastAsia" w:ascii="仿宋_GB2312" w:hAnsi="仿宋_GB2312" w:eastAsia="仿宋_GB2312" w:cs="仿宋_GB2312"/>
          <w:b w:val="0"/>
          <w:bCs w:val="0"/>
          <w:color w:val="auto"/>
          <w:sz w:val="32"/>
          <w:szCs w:val="32"/>
          <w:highlight w:val="none"/>
          <w:lang w:eastAsia="zh-CN"/>
        </w:rPr>
        <w:t>是提高脱贫户</w:t>
      </w:r>
      <w:r>
        <w:rPr>
          <w:rFonts w:hint="eastAsia" w:ascii="仿宋_GB2312" w:hAnsi="仿宋_GB2312" w:eastAsia="仿宋_GB2312" w:cs="仿宋_GB2312"/>
          <w:b w:val="0"/>
          <w:bCs w:val="0"/>
          <w:color w:val="auto"/>
          <w:sz w:val="32"/>
          <w:szCs w:val="32"/>
          <w:highlight w:val="none"/>
          <w:lang w:val="en-US" w:eastAsia="zh-CN"/>
        </w:rPr>
        <w:t>与</w:t>
      </w:r>
      <w:r>
        <w:rPr>
          <w:rFonts w:hint="eastAsia" w:ascii="仿宋_GB2312" w:hAnsi="仿宋_GB2312" w:eastAsia="仿宋_GB2312" w:cs="仿宋_GB2312"/>
          <w:b w:val="0"/>
          <w:bCs w:val="0"/>
          <w:color w:val="auto"/>
          <w:sz w:val="32"/>
          <w:szCs w:val="32"/>
          <w:highlight w:val="none"/>
          <w:lang w:eastAsia="zh-CN"/>
        </w:rPr>
        <w:t>监测</w:t>
      </w:r>
      <w:r>
        <w:rPr>
          <w:rFonts w:hint="eastAsia" w:ascii="仿宋_GB2312" w:hAnsi="仿宋_GB2312" w:eastAsia="仿宋_GB2312" w:cs="仿宋_GB2312"/>
          <w:b w:val="0"/>
          <w:bCs w:val="0"/>
          <w:color w:val="auto"/>
          <w:sz w:val="32"/>
          <w:szCs w:val="32"/>
          <w:highlight w:val="none"/>
          <w:lang w:val="en-US" w:eastAsia="zh-CN"/>
        </w:rPr>
        <w:t>对象</w:t>
      </w:r>
      <w:r>
        <w:rPr>
          <w:rFonts w:hint="eastAsia" w:ascii="仿宋_GB2312" w:hAnsi="仿宋_GB2312" w:eastAsia="仿宋_GB2312" w:cs="仿宋_GB2312"/>
          <w:b w:val="0"/>
          <w:bCs w:val="0"/>
          <w:color w:val="auto"/>
          <w:sz w:val="32"/>
          <w:szCs w:val="32"/>
          <w:highlight w:val="none"/>
          <w:lang w:eastAsia="zh-CN"/>
        </w:rPr>
        <w:t>收入，确保</w:t>
      </w:r>
      <w:r>
        <w:rPr>
          <w:rFonts w:hint="eastAsia" w:ascii="仿宋_GB2312" w:hAnsi="仿宋_GB2312" w:eastAsia="仿宋_GB2312" w:cs="仿宋_GB2312"/>
          <w:b w:val="0"/>
          <w:bCs w:val="0"/>
          <w:color w:val="auto"/>
          <w:sz w:val="32"/>
          <w:szCs w:val="32"/>
          <w:highlight w:val="none"/>
          <w:lang w:val="en-US" w:eastAsia="zh-CN"/>
        </w:rPr>
        <w:t>31户脱贫户和</w:t>
      </w:r>
      <w:r>
        <w:rPr>
          <w:rFonts w:hint="eastAsia" w:ascii="仿宋_GB2312" w:hAnsi="仿宋_GB2312" w:eastAsia="仿宋_GB2312" w:cs="仿宋_GB2312"/>
          <w:b w:val="0"/>
          <w:bCs w:val="0"/>
          <w:color w:val="auto"/>
          <w:sz w:val="32"/>
          <w:szCs w:val="32"/>
          <w:highlight w:val="none"/>
          <w:lang w:eastAsia="zh-CN"/>
        </w:rPr>
        <w:t>监测</w:t>
      </w:r>
      <w:r>
        <w:rPr>
          <w:rFonts w:hint="eastAsia" w:ascii="仿宋_GB2312" w:hAnsi="仿宋_GB2312" w:eastAsia="仿宋_GB2312" w:cs="仿宋_GB2312"/>
          <w:b w:val="0"/>
          <w:bCs w:val="0"/>
          <w:color w:val="auto"/>
          <w:sz w:val="32"/>
          <w:szCs w:val="32"/>
          <w:highlight w:val="none"/>
          <w:lang w:val="en-US" w:eastAsia="zh-CN"/>
        </w:rPr>
        <w:t>对象</w:t>
      </w:r>
      <w:r>
        <w:rPr>
          <w:rFonts w:hint="eastAsia" w:ascii="仿宋_GB2312" w:hAnsi="仿宋_GB2312" w:eastAsia="仿宋_GB2312" w:cs="仿宋_GB2312"/>
          <w:b w:val="0"/>
          <w:bCs w:val="0"/>
          <w:color w:val="auto"/>
          <w:sz w:val="32"/>
          <w:szCs w:val="32"/>
          <w:highlight w:val="none"/>
          <w:lang w:eastAsia="zh-CN"/>
        </w:rPr>
        <w:t>通过种植</w:t>
      </w:r>
      <w:r>
        <w:rPr>
          <w:rFonts w:hint="eastAsia" w:ascii="仿宋_GB2312" w:hAnsi="仿宋_GB2312" w:eastAsia="仿宋_GB2312" w:cs="仿宋_GB2312"/>
          <w:b w:val="0"/>
          <w:bCs w:val="0"/>
          <w:color w:val="auto"/>
          <w:sz w:val="32"/>
          <w:szCs w:val="32"/>
          <w:highlight w:val="none"/>
          <w:lang w:val="en-US" w:eastAsia="zh-CN"/>
        </w:rPr>
        <w:t>枣树、杏树</w:t>
      </w:r>
      <w:r>
        <w:rPr>
          <w:rFonts w:hint="eastAsia" w:ascii="仿宋_GB2312" w:hAnsi="仿宋_GB2312" w:eastAsia="仿宋_GB2312" w:cs="仿宋_GB2312"/>
          <w:b w:val="0"/>
          <w:bCs w:val="0"/>
          <w:color w:val="auto"/>
          <w:sz w:val="32"/>
          <w:szCs w:val="32"/>
          <w:highlight w:val="none"/>
          <w:lang w:eastAsia="zh-CN"/>
        </w:rPr>
        <w:t>增加收入，提高生活水平。</w:t>
      </w:r>
      <w:r>
        <w:rPr>
          <w:rFonts w:hint="eastAsia" w:ascii="仿宋_GB2312" w:hAnsi="仿宋_GB2312" w:eastAsia="仿宋_GB2312" w:cs="仿宋_GB2312"/>
          <w:b w:val="0"/>
          <w:bCs w:val="0"/>
          <w:color w:val="auto"/>
          <w:sz w:val="32"/>
          <w:szCs w:val="32"/>
          <w:highlight w:val="none"/>
          <w:lang w:val="en-US" w:eastAsia="zh-CN"/>
        </w:rPr>
        <w:t>二</w:t>
      </w:r>
      <w:r>
        <w:rPr>
          <w:rFonts w:hint="eastAsia" w:ascii="仿宋_GB2312" w:hAnsi="仿宋_GB2312" w:eastAsia="仿宋_GB2312" w:cs="仿宋_GB2312"/>
          <w:b w:val="0"/>
          <w:bCs w:val="0"/>
          <w:color w:val="auto"/>
          <w:sz w:val="32"/>
          <w:szCs w:val="32"/>
          <w:highlight w:val="none"/>
          <w:lang w:eastAsia="zh-CN"/>
        </w:rPr>
        <w:t>是激励脱贫户、监测对象积极参与枣树、</w:t>
      </w:r>
      <w:r>
        <w:rPr>
          <w:rFonts w:hint="eastAsia" w:ascii="仿宋_GB2312" w:hAnsi="仿宋_GB2312" w:eastAsia="仿宋_GB2312" w:cs="仿宋_GB2312"/>
          <w:b w:val="0"/>
          <w:bCs w:val="0"/>
          <w:color w:val="auto"/>
          <w:sz w:val="32"/>
          <w:szCs w:val="32"/>
          <w:highlight w:val="none"/>
          <w:lang w:val="en-US" w:eastAsia="zh-CN"/>
        </w:rPr>
        <w:t>杏树</w:t>
      </w:r>
      <w:r>
        <w:rPr>
          <w:rFonts w:hint="eastAsia" w:ascii="仿宋_GB2312" w:hAnsi="仿宋_GB2312" w:eastAsia="仿宋_GB2312" w:cs="仿宋_GB2312"/>
          <w:b w:val="0"/>
          <w:bCs w:val="0"/>
          <w:color w:val="auto"/>
          <w:sz w:val="32"/>
          <w:szCs w:val="32"/>
          <w:highlight w:val="none"/>
          <w:lang w:eastAsia="zh-CN"/>
        </w:rPr>
        <w:t>的修剪工作，以促进枣树的健康生长，提高红枣的产量和质量，进而增加他们的经济收入，带动增加脱贫和监测人口全年总收入</w:t>
      </w:r>
      <w:r>
        <w:rPr>
          <w:rFonts w:hint="eastAsia" w:ascii="仿宋_GB2312" w:hAnsi="仿宋_GB2312" w:eastAsia="仿宋_GB2312" w:cs="仿宋_GB2312"/>
          <w:color w:val="auto"/>
          <w:spacing w:val="-6"/>
          <w:kern w:val="2"/>
          <w:sz w:val="32"/>
          <w:szCs w:val="32"/>
          <w:highlight w:val="none"/>
          <w:lang w:val="en-US" w:eastAsia="zh-CN" w:bidi="ar-SA"/>
        </w:rPr>
        <w:t>1.40475</w:t>
      </w:r>
      <w:r>
        <w:rPr>
          <w:rFonts w:hint="eastAsia" w:ascii="仿宋_GB2312" w:hAnsi="仿宋_GB2312" w:eastAsia="仿宋_GB2312" w:cs="仿宋_GB2312"/>
          <w:b w:val="0"/>
          <w:bCs w:val="0"/>
          <w:color w:val="auto"/>
          <w:sz w:val="32"/>
          <w:szCs w:val="32"/>
          <w:highlight w:val="none"/>
          <w:lang w:eastAsia="zh-CN"/>
        </w:rPr>
        <w:t>万元。三是通过修剪，去除病弱枝、过密枝和交叉枝，使枣树养分分配更加合理，有利于果实的生长和发育，从而提高林果的产量和品质。四是通过项目的实施，村民可以学习和掌握</w:t>
      </w:r>
      <w:r>
        <w:rPr>
          <w:rFonts w:hint="eastAsia" w:ascii="仿宋_GB2312" w:hAnsi="仿宋_GB2312" w:eastAsia="仿宋_GB2312" w:cs="仿宋_GB2312"/>
          <w:b w:val="0"/>
          <w:bCs w:val="0"/>
          <w:color w:val="auto"/>
          <w:sz w:val="32"/>
          <w:szCs w:val="32"/>
          <w:highlight w:val="none"/>
          <w:lang w:val="en-US" w:eastAsia="zh-CN"/>
        </w:rPr>
        <w:t>林果</w:t>
      </w:r>
      <w:r>
        <w:rPr>
          <w:rFonts w:hint="eastAsia" w:ascii="仿宋_GB2312" w:hAnsi="仿宋_GB2312" w:eastAsia="仿宋_GB2312" w:cs="仿宋_GB2312"/>
          <w:b w:val="0"/>
          <w:bCs w:val="0"/>
          <w:color w:val="auto"/>
          <w:sz w:val="32"/>
          <w:szCs w:val="32"/>
          <w:highlight w:val="none"/>
          <w:lang w:eastAsia="zh-CN"/>
        </w:rPr>
        <w:t>修剪技术，提升他们的农业技能水平，为今后的农业生产打下基础。</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3、社会效益：</w:t>
      </w:r>
      <w:r>
        <w:rPr>
          <w:rFonts w:hint="eastAsia" w:ascii="仿宋_GB2312" w:hAnsi="仿宋_GB2312" w:eastAsia="仿宋_GB2312" w:cs="仿宋_GB2312"/>
          <w:color w:val="auto"/>
          <w:sz w:val="32"/>
          <w:szCs w:val="32"/>
          <w:highlight w:val="none"/>
        </w:rPr>
        <w:t>通过</w:t>
      </w:r>
      <w:r>
        <w:rPr>
          <w:rFonts w:hint="eastAsia" w:ascii="仿宋_GB2312" w:hAnsi="仿宋_GB2312" w:eastAsia="仿宋_GB2312" w:cs="仿宋_GB2312"/>
          <w:color w:val="auto"/>
          <w:sz w:val="32"/>
          <w:szCs w:val="32"/>
          <w:highlight w:val="none"/>
          <w:lang w:val="en-US" w:eastAsia="zh-CN"/>
        </w:rPr>
        <w:t>林果</w:t>
      </w:r>
      <w:r>
        <w:rPr>
          <w:rFonts w:hint="eastAsia" w:ascii="仿宋_GB2312" w:hAnsi="仿宋_GB2312" w:eastAsia="仿宋_GB2312" w:cs="仿宋_GB2312"/>
          <w:color w:val="auto"/>
          <w:sz w:val="32"/>
          <w:szCs w:val="32"/>
          <w:highlight w:val="none"/>
        </w:rPr>
        <w:t>修剪补助项目，帮助脱贫户和监测对象提高枣树种植效益，进一步</w:t>
      </w:r>
      <w:r>
        <w:rPr>
          <w:rFonts w:hint="eastAsia" w:ascii="仿宋_GB2312" w:hAnsi="仿宋_GB2312" w:eastAsia="仿宋_GB2312" w:cs="仿宋_GB2312"/>
          <w:color w:val="auto"/>
          <w:sz w:val="32"/>
          <w:szCs w:val="32"/>
          <w:highlight w:val="none"/>
          <w:lang w:eastAsia="zh-CN"/>
        </w:rPr>
        <w:t>巩固拓展脱贫攻坚成果</w:t>
      </w:r>
      <w:r>
        <w:rPr>
          <w:rFonts w:hint="eastAsia" w:ascii="仿宋_GB2312" w:hAnsi="仿宋_GB2312" w:eastAsia="仿宋_GB2312" w:cs="仿宋_GB2312"/>
          <w:color w:val="auto"/>
          <w:sz w:val="32"/>
          <w:szCs w:val="32"/>
          <w:highlight w:val="none"/>
        </w:rPr>
        <w:t>，促进当地村民的增收致富</w:t>
      </w:r>
      <w:r>
        <w:rPr>
          <w:rFonts w:hint="eastAsia" w:ascii="仿宋_GB2312" w:hAnsi="仿宋_GB2312" w:eastAsia="仿宋_GB2312" w:cs="仿宋_GB2312"/>
          <w:color w:val="auto"/>
          <w:sz w:val="32"/>
          <w:szCs w:val="32"/>
          <w:highlight w:val="none"/>
          <w:lang w:eastAsia="zh-CN"/>
        </w:rPr>
        <w:t>，项目实施覆盖伊拉湖镇</w:t>
      </w:r>
      <w:r>
        <w:rPr>
          <w:rFonts w:hint="eastAsia" w:ascii="仿宋_GB2312" w:hAnsi="仿宋_GB2312" w:eastAsia="仿宋_GB2312" w:cs="仿宋_GB2312"/>
          <w:color w:val="auto"/>
          <w:sz w:val="32"/>
          <w:szCs w:val="32"/>
          <w:highlight w:val="none"/>
          <w:lang w:val="en-US" w:eastAsia="zh-CN"/>
        </w:rPr>
        <w:t>31户107名</w:t>
      </w:r>
      <w:r>
        <w:rPr>
          <w:rFonts w:hint="eastAsia" w:ascii="仿宋_GB2312" w:hAnsi="仿宋_GB2312" w:eastAsia="仿宋_GB2312" w:cs="仿宋_GB2312"/>
          <w:color w:val="auto"/>
          <w:sz w:val="32"/>
          <w:szCs w:val="32"/>
          <w:highlight w:val="none"/>
          <w:lang w:eastAsia="zh-CN"/>
        </w:rPr>
        <w:t>脱贫户</w:t>
      </w:r>
      <w:r>
        <w:rPr>
          <w:rFonts w:hint="eastAsia" w:ascii="仿宋_GB2312" w:hAnsi="仿宋_GB2312" w:eastAsia="仿宋_GB2312" w:cs="仿宋_GB2312"/>
          <w:color w:val="auto"/>
          <w:sz w:val="32"/>
          <w:szCs w:val="32"/>
          <w:highlight w:val="none"/>
          <w:lang w:val="en-US" w:eastAsia="zh-CN"/>
        </w:rPr>
        <w:t>和</w:t>
      </w:r>
      <w:r>
        <w:rPr>
          <w:rFonts w:hint="eastAsia" w:ascii="仿宋_GB2312" w:hAnsi="仿宋_GB2312" w:eastAsia="仿宋_GB2312" w:cs="仿宋_GB2312"/>
          <w:color w:val="auto"/>
          <w:sz w:val="32"/>
          <w:szCs w:val="32"/>
          <w:highlight w:val="none"/>
          <w:lang w:eastAsia="zh-CN"/>
        </w:rPr>
        <w:t>监测对象。</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left"/>
        <w:textAlignment w:val="auto"/>
        <w:rPr>
          <w:rFonts w:hint="default"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4、可持续性影响：</w:t>
      </w:r>
      <w:r>
        <w:rPr>
          <w:rFonts w:hint="eastAsia" w:ascii="仿宋_GB2312" w:hAnsi="仿宋_GB2312" w:eastAsia="仿宋_GB2312" w:cs="仿宋_GB2312"/>
          <w:b w:val="0"/>
          <w:bCs w:val="0"/>
          <w:color w:val="auto"/>
          <w:sz w:val="32"/>
          <w:szCs w:val="32"/>
          <w:highlight w:val="none"/>
        </w:rPr>
        <w:t>项目实施过程中，注重</w:t>
      </w:r>
      <w:r>
        <w:rPr>
          <w:rFonts w:hint="eastAsia" w:ascii="仿宋_GB2312" w:hAnsi="仿宋_GB2312" w:eastAsia="仿宋_GB2312" w:cs="仿宋_GB2312"/>
          <w:b w:val="0"/>
          <w:bCs w:val="0"/>
          <w:color w:val="auto"/>
          <w:sz w:val="32"/>
          <w:szCs w:val="32"/>
          <w:highlight w:val="none"/>
          <w:lang w:eastAsia="zh-CN"/>
        </w:rPr>
        <w:t>生态环境保护</w:t>
      </w:r>
      <w:r>
        <w:rPr>
          <w:rFonts w:hint="eastAsia" w:ascii="仿宋_GB2312" w:hAnsi="仿宋_GB2312" w:eastAsia="仿宋_GB2312" w:cs="仿宋_GB2312"/>
          <w:b w:val="0"/>
          <w:bCs w:val="0"/>
          <w:color w:val="auto"/>
          <w:sz w:val="32"/>
          <w:szCs w:val="32"/>
          <w:highlight w:val="none"/>
        </w:rPr>
        <w:t>，确保</w:t>
      </w:r>
      <w:r>
        <w:rPr>
          <w:rFonts w:hint="eastAsia" w:ascii="仿宋_GB2312" w:hAnsi="仿宋_GB2312" w:eastAsia="仿宋_GB2312" w:cs="仿宋_GB2312"/>
          <w:b w:val="0"/>
          <w:bCs w:val="0"/>
          <w:color w:val="auto"/>
          <w:sz w:val="32"/>
          <w:szCs w:val="32"/>
          <w:highlight w:val="none"/>
          <w:lang w:val="en-US" w:eastAsia="zh-CN"/>
        </w:rPr>
        <w:t>枣树</w:t>
      </w:r>
      <w:r>
        <w:rPr>
          <w:rFonts w:hint="eastAsia" w:ascii="仿宋_GB2312" w:hAnsi="仿宋_GB2312" w:eastAsia="仿宋_GB2312" w:cs="仿宋_GB2312"/>
          <w:b w:val="0"/>
          <w:bCs w:val="0"/>
          <w:color w:val="auto"/>
          <w:sz w:val="32"/>
          <w:szCs w:val="32"/>
          <w:highlight w:val="none"/>
        </w:rPr>
        <w:t>修剪活动不会对当地环境造成负面影响</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color w:val="auto"/>
          <w:sz w:val="32"/>
          <w:szCs w:val="32"/>
          <w:highlight w:val="none"/>
        </w:rPr>
        <w:t>项目可持续影响</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w:t>
      </w:r>
    </w:p>
    <w:p>
      <w:pPr>
        <w:pStyle w:val="11"/>
        <w:keepNext w:val="0"/>
        <w:keepLines w:val="0"/>
        <w:pageBreakBefore w:val="0"/>
        <w:widowControl w:val="0"/>
        <w:kinsoku/>
        <w:wordWrap w:val="0"/>
        <w:overflowPunct/>
        <w:topLinePunct w:val="0"/>
        <w:autoSpaceDE/>
        <w:autoSpaceDN/>
        <w:bidi w:val="0"/>
        <w:adjustRightInd/>
        <w:snapToGrid/>
        <w:spacing w:line="560" w:lineRule="exact"/>
        <w:ind w:left="0" w:leftChars="0" w:firstLine="643" w:firstLineChars="200"/>
        <w:jc w:val="left"/>
        <w:textAlignment w:val="auto"/>
        <w:outlineLvl w:val="0"/>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5、服务对象满意度：</w:t>
      </w:r>
      <w:r>
        <w:rPr>
          <w:rFonts w:hint="eastAsia" w:ascii="仿宋_GB2312" w:hAnsi="仿宋_GB2312" w:eastAsia="仿宋_GB2312" w:cs="仿宋_GB2312"/>
          <w:b w:val="0"/>
          <w:bCs w:val="0"/>
          <w:color w:val="auto"/>
          <w:sz w:val="32"/>
          <w:szCs w:val="32"/>
          <w:highlight w:val="none"/>
          <w:lang w:val="en-US" w:eastAsia="zh-CN"/>
        </w:rPr>
        <w:t>通过项目的有效实施，提高</w:t>
      </w:r>
      <w:r>
        <w:rPr>
          <w:rFonts w:hint="eastAsia" w:ascii="仿宋_GB2312" w:hAnsi="仿宋_GB2312" w:eastAsia="仿宋_GB2312" w:cs="仿宋_GB2312"/>
          <w:color w:val="auto"/>
          <w:sz w:val="32"/>
          <w:szCs w:val="32"/>
          <w:highlight w:val="none"/>
        </w:rPr>
        <w:t>脱贫户和监测对象</w:t>
      </w:r>
      <w:r>
        <w:rPr>
          <w:rFonts w:hint="eastAsia" w:ascii="仿宋_GB2312" w:hAnsi="仿宋_GB2312" w:eastAsia="仿宋_GB2312" w:cs="仿宋_GB2312"/>
          <w:b w:val="0"/>
          <w:bCs w:val="0"/>
          <w:color w:val="auto"/>
          <w:sz w:val="32"/>
          <w:szCs w:val="32"/>
          <w:highlight w:val="none"/>
          <w:lang w:val="en-US" w:eastAsia="zh-CN"/>
        </w:rPr>
        <w:t>对政策和服务的满意度，增强他们的获得感和幸福感。</w:t>
      </w:r>
      <w:r>
        <w:rPr>
          <w:rFonts w:hint="eastAsia" w:ascii="仿宋_GB2312" w:hAnsi="仿宋_GB2312" w:eastAsia="仿宋_GB2312" w:cs="仿宋_GB2312"/>
          <w:color w:val="auto"/>
          <w:kern w:val="2"/>
          <w:sz w:val="32"/>
          <w:szCs w:val="32"/>
          <w:highlight w:val="none"/>
          <w:lang w:val="en-US" w:eastAsia="zh-CN" w:bidi="ar-SA"/>
        </w:rPr>
        <w:t>该</w:t>
      </w:r>
      <w:r>
        <w:rPr>
          <w:rFonts w:hint="eastAsia" w:ascii="仿宋_GB2312" w:hAnsi="仿宋_GB2312" w:eastAsia="仿宋_GB2312" w:cs="仿宋_GB2312"/>
          <w:color w:val="auto"/>
          <w:sz w:val="32"/>
          <w:szCs w:val="32"/>
          <w:highlight w:val="none"/>
          <w:lang w:val="en-US" w:eastAsia="zh-CN"/>
        </w:rPr>
        <w:t>项目建成后预计受益脱贫户及监测人口满意度达到95%以上。</w:t>
      </w:r>
    </w:p>
    <w:p>
      <w:pPr>
        <w:pStyle w:val="11"/>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color w:val="auto"/>
          <w:kern w:val="2"/>
          <w:sz w:val="32"/>
          <w:szCs w:val="32"/>
          <w:highlight w:val="none"/>
          <w:lang w:val="en-US" w:eastAsia="zh-CN" w:bidi="ar-SA"/>
        </w:rPr>
      </w:pPr>
      <w:r>
        <w:rPr>
          <w:rFonts w:hint="eastAsia" w:ascii="黑体" w:hAnsi="黑体" w:eastAsia="黑体" w:cs="黑体"/>
          <w:color w:val="auto"/>
          <w:kern w:val="2"/>
          <w:sz w:val="32"/>
          <w:szCs w:val="32"/>
          <w:highlight w:val="none"/>
          <w:lang w:val="en-US" w:eastAsia="zh-CN" w:bidi="ar-SA"/>
        </w:rPr>
        <w:t>八、风险防范机制</w:t>
      </w:r>
    </w:p>
    <w:p>
      <w:pPr>
        <w:pStyle w:val="11"/>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（一）</w:t>
      </w:r>
      <w:r>
        <w:rPr>
          <w:rFonts w:hint="default" w:ascii="仿宋_GB2312" w:hAnsi="仿宋_GB2312" w:eastAsia="仿宋_GB2312" w:cs="仿宋_GB2312"/>
          <w:b/>
          <w:bCs/>
          <w:color w:val="auto"/>
          <w:sz w:val="32"/>
          <w:szCs w:val="32"/>
          <w:highlight w:val="none"/>
          <w:lang w:val="en-US" w:eastAsia="zh-CN"/>
        </w:rPr>
        <w:t>主要风险因素</w:t>
      </w:r>
    </w:p>
    <w:p>
      <w:pPr>
        <w:keepLines w:val="0"/>
        <w:pageBreakBefore w:val="0"/>
        <w:widowControl w:val="0"/>
        <w:kinsoku/>
        <w:wordWrap/>
        <w:overflowPunct/>
        <w:topLinePunct w:val="0"/>
        <w:autoSpaceDN/>
        <w:bidi w:val="0"/>
        <w:adjustRightInd/>
        <w:snapToGrid/>
        <w:spacing w:line="560" w:lineRule="exact"/>
        <w:ind w:right="0" w:rightChars="0" w:firstLine="640" w:firstLineChars="200"/>
        <w:textAlignment w:val="auto"/>
        <w:outlineLvl w:val="9"/>
        <w:rPr>
          <w:rFonts w:hint="default" w:ascii="仿宋_GB2312" w:hAnsi="Calibri" w:eastAsia="仿宋_GB2312" w:cs="Times New Roman"/>
          <w:color w:val="auto"/>
          <w:kern w:val="2"/>
          <w:sz w:val="32"/>
          <w:szCs w:val="32"/>
          <w:highlight w:val="none"/>
          <w:lang w:val="en-US" w:eastAsia="zh-CN" w:bidi="ar-SA"/>
        </w:rPr>
      </w:pPr>
      <w:r>
        <w:rPr>
          <w:rFonts w:hint="eastAsia" w:ascii="仿宋_GB2312" w:eastAsia="仿宋_GB2312" w:cs="Times New Roman"/>
          <w:color w:val="auto"/>
          <w:sz w:val="32"/>
          <w:szCs w:val="32"/>
          <w:highlight w:val="none"/>
          <w:lang w:val="en-US" w:eastAsia="zh-CN"/>
        </w:rPr>
        <w:t>一是</w:t>
      </w:r>
      <w:r>
        <w:rPr>
          <w:rFonts w:hint="eastAsia" w:ascii="仿宋_GB2312" w:eastAsia="仿宋_GB2312" w:cs="Times New Roman"/>
          <w:color w:val="auto"/>
          <w:sz w:val="32"/>
          <w:szCs w:val="32"/>
          <w:highlight w:val="none"/>
        </w:rPr>
        <w:t>技术风险</w:t>
      </w:r>
      <w:r>
        <w:rPr>
          <w:rFonts w:hint="eastAsia" w:ascii="仿宋_GB2312" w:eastAsia="仿宋_GB2312" w:cs="Times New Roman"/>
          <w:color w:val="auto"/>
          <w:sz w:val="32"/>
          <w:szCs w:val="32"/>
          <w:highlight w:val="none"/>
          <w:lang w:eastAsia="zh-CN"/>
        </w:rPr>
        <w:t>，</w:t>
      </w:r>
      <w:r>
        <w:rPr>
          <w:rFonts w:hint="eastAsia" w:ascii="仿宋_GB2312" w:eastAsia="仿宋_GB2312" w:cs="Times New Roman"/>
          <w:color w:val="auto"/>
          <w:sz w:val="32"/>
          <w:szCs w:val="32"/>
          <w:highlight w:val="none"/>
        </w:rPr>
        <w:t>修剪</w:t>
      </w:r>
      <w:r>
        <w:rPr>
          <w:rFonts w:hint="eastAsia" w:ascii="仿宋_GB2312" w:eastAsia="仿宋_GB2312" w:cs="Times New Roman"/>
          <w:color w:val="auto"/>
          <w:sz w:val="32"/>
          <w:szCs w:val="32"/>
          <w:highlight w:val="none"/>
          <w:lang w:val="en-US" w:eastAsia="zh-CN"/>
        </w:rPr>
        <w:t>林果</w:t>
      </w:r>
      <w:r>
        <w:rPr>
          <w:rFonts w:hint="eastAsia" w:ascii="仿宋_GB2312" w:eastAsia="仿宋_GB2312" w:cs="Times New Roman"/>
          <w:color w:val="auto"/>
          <w:sz w:val="32"/>
          <w:szCs w:val="32"/>
          <w:highlight w:val="none"/>
        </w:rPr>
        <w:t>需要一定的专业知识和技能，如果修剪不当，可能会对</w:t>
      </w:r>
      <w:r>
        <w:rPr>
          <w:rFonts w:hint="eastAsia" w:ascii="仿宋_GB2312" w:eastAsia="仿宋_GB2312" w:cs="Times New Roman"/>
          <w:color w:val="auto"/>
          <w:sz w:val="32"/>
          <w:szCs w:val="32"/>
          <w:highlight w:val="none"/>
          <w:lang w:eastAsia="zh-CN"/>
        </w:rPr>
        <w:t>枣树</w:t>
      </w:r>
      <w:r>
        <w:rPr>
          <w:rFonts w:hint="eastAsia" w:ascii="仿宋_GB2312" w:eastAsia="仿宋_GB2312" w:cs="Times New Roman"/>
          <w:color w:val="auto"/>
          <w:sz w:val="32"/>
          <w:szCs w:val="32"/>
          <w:highlight w:val="none"/>
        </w:rPr>
        <w:t>的生长和产量产生负面影响。</w:t>
      </w:r>
      <w:r>
        <w:rPr>
          <w:rFonts w:hint="eastAsia" w:ascii="仿宋_GB2312" w:eastAsia="仿宋_GB2312" w:cs="Times New Roman"/>
          <w:color w:val="auto"/>
          <w:sz w:val="32"/>
          <w:szCs w:val="32"/>
          <w:highlight w:val="none"/>
          <w:lang w:val="en-US" w:eastAsia="zh-CN"/>
        </w:rPr>
        <w:t>二是</w:t>
      </w:r>
      <w:r>
        <w:rPr>
          <w:rFonts w:hint="eastAsia" w:ascii="仿宋_GB2312" w:eastAsia="仿宋_GB2312" w:cs="Times New Roman"/>
          <w:color w:val="auto"/>
          <w:sz w:val="32"/>
          <w:szCs w:val="32"/>
          <w:highlight w:val="none"/>
        </w:rPr>
        <w:t>天气风险</w:t>
      </w:r>
      <w:r>
        <w:rPr>
          <w:rFonts w:hint="eastAsia" w:ascii="仿宋_GB2312" w:eastAsia="仿宋_GB2312" w:cs="Times New Roman"/>
          <w:color w:val="auto"/>
          <w:sz w:val="32"/>
          <w:szCs w:val="32"/>
          <w:highlight w:val="none"/>
          <w:lang w:eastAsia="zh-CN"/>
        </w:rPr>
        <w:t>，</w:t>
      </w:r>
      <w:r>
        <w:rPr>
          <w:rFonts w:hint="eastAsia" w:ascii="仿宋_GB2312" w:eastAsia="仿宋_GB2312" w:cs="Times New Roman"/>
          <w:color w:val="auto"/>
          <w:sz w:val="32"/>
          <w:szCs w:val="32"/>
          <w:highlight w:val="none"/>
        </w:rPr>
        <w:t>修剪工作通常在特定的季节进行，如遇恶劣天气（如大风</w:t>
      </w:r>
      <w:r>
        <w:rPr>
          <w:rFonts w:hint="eastAsia" w:ascii="仿宋_GB2312" w:eastAsia="仿宋_GB2312" w:cs="Times New Roman"/>
          <w:color w:val="auto"/>
          <w:sz w:val="32"/>
          <w:szCs w:val="32"/>
          <w:highlight w:val="none"/>
          <w:lang w:val="en-US" w:eastAsia="zh-CN"/>
        </w:rPr>
        <w:t>天气</w:t>
      </w:r>
      <w:r>
        <w:rPr>
          <w:rFonts w:hint="eastAsia" w:ascii="仿宋_GB2312" w:eastAsia="仿宋_GB2312" w:cs="Times New Roman"/>
          <w:color w:val="auto"/>
          <w:sz w:val="32"/>
          <w:szCs w:val="32"/>
          <w:highlight w:val="none"/>
        </w:rPr>
        <w:t>等），不仅可能影响修剪效果，还可能危及修剪人员的安全。</w:t>
      </w:r>
      <w:r>
        <w:rPr>
          <w:rFonts w:hint="eastAsia" w:ascii="仿宋_GB2312" w:eastAsia="仿宋_GB2312" w:cs="Times New Roman"/>
          <w:color w:val="auto"/>
          <w:sz w:val="32"/>
          <w:szCs w:val="32"/>
          <w:highlight w:val="none"/>
          <w:lang w:val="en-US" w:eastAsia="zh-CN"/>
        </w:rPr>
        <w:t>三是</w:t>
      </w:r>
      <w:r>
        <w:rPr>
          <w:rFonts w:hint="eastAsia" w:ascii="仿宋_GB2312" w:eastAsia="仿宋_GB2312" w:cs="Times New Roman"/>
          <w:color w:val="auto"/>
          <w:sz w:val="32"/>
          <w:szCs w:val="32"/>
          <w:highlight w:val="none"/>
        </w:rPr>
        <w:t>人员风险</w:t>
      </w:r>
      <w:r>
        <w:rPr>
          <w:rFonts w:hint="eastAsia" w:ascii="仿宋_GB2312" w:eastAsia="仿宋_GB2312" w:cs="Times New Roman"/>
          <w:color w:val="auto"/>
          <w:sz w:val="32"/>
          <w:szCs w:val="32"/>
          <w:highlight w:val="none"/>
          <w:lang w:eastAsia="zh-CN"/>
        </w:rPr>
        <w:t>，</w:t>
      </w:r>
      <w:r>
        <w:rPr>
          <w:rFonts w:hint="eastAsia" w:ascii="仿宋_GB2312" w:eastAsia="仿宋_GB2312" w:cs="Times New Roman"/>
          <w:color w:val="auto"/>
          <w:sz w:val="32"/>
          <w:szCs w:val="32"/>
          <w:highlight w:val="none"/>
        </w:rPr>
        <w:t>修剪工作的执行者如果缺乏必要的培训和指导，可能无法有效地完成任务，甚至可能发生安全事故</w:t>
      </w:r>
      <w:r>
        <w:rPr>
          <w:rFonts w:hint="eastAsia" w:ascii="仿宋_GB2312" w:hAnsi="Calibri" w:eastAsia="仿宋_GB2312" w:cs="Times New Roman"/>
          <w:color w:val="auto"/>
          <w:kern w:val="2"/>
          <w:sz w:val="32"/>
          <w:szCs w:val="32"/>
          <w:highlight w:val="none"/>
          <w:lang w:val="en-US" w:eastAsia="zh-CN" w:bidi="ar-SA"/>
        </w:rPr>
        <w:t>。</w:t>
      </w:r>
    </w:p>
    <w:p>
      <w:pPr>
        <w:pStyle w:val="11"/>
        <w:keepNext w:val="0"/>
        <w:keepLines w:val="0"/>
        <w:pageBreakBefore w:val="0"/>
        <w:widowControl w:val="0"/>
        <w:kinsoku/>
        <w:wordWrap w:val="0"/>
        <w:overflowPunct/>
        <w:topLinePunct w:val="0"/>
        <w:autoSpaceDN/>
        <w:bidi w:val="0"/>
        <w:adjustRightInd/>
        <w:snapToGrid/>
        <w:spacing w:line="560" w:lineRule="exact"/>
        <w:ind w:left="0" w:leftChars="0" w:firstLine="643" w:firstLineChars="200"/>
        <w:jc w:val="both"/>
        <w:outlineLvl w:val="0"/>
        <w:rPr>
          <w:rFonts w:hint="default"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（二）</w:t>
      </w:r>
      <w:r>
        <w:rPr>
          <w:rFonts w:hint="default" w:ascii="仿宋_GB2312" w:hAnsi="仿宋_GB2312" w:eastAsia="仿宋_GB2312" w:cs="仿宋_GB2312"/>
          <w:b/>
          <w:bCs/>
          <w:color w:val="auto"/>
          <w:kern w:val="2"/>
          <w:sz w:val="32"/>
          <w:szCs w:val="32"/>
          <w:highlight w:val="none"/>
          <w:lang w:val="en-US" w:eastAsia="zh-CN" w:bidi="ar-SA"/>
        </w:rPr>
        <w:t>防范化解措施</w:t>
      </w:r>
      <w:r>
        <w:rPr>
          <w:rFonts w:hint="default" w:ascii="Times New Roman" w:hAnsi="Times New Roman" w:eastAsia="楷体" w:cs="Times New Roman"/>
          <w:b w:val="0"/>
          <w:bCs w:val="0"/>
          <w:color w:val="auto"/>
          <w:sz w:val="32"/>
          <w:szCs w:val="32"/>
          <w:highlight w:val="none"/>
          <w:lang w:val="en-US" w:eastAsia="zh-CN"/>
        </w:rPr>
        <w:br w:type="textWrapping"/>
      </w:r>
      <w:r>
        <w:rPr>
          <w:rFonts w:hint="eastAsia" w:ascii="仿宋_GB2312" w:hAnsi="Calibri" w:eastAsia="仿宋_GB2312" w:cs="Times New Roman"/>
          <w:color w:val="auto"/>
          <w:kern w:val="2"/>
          <w:sz w:val="32"/>
          <w:szCs w:val="32"/>
          <w:highlight w:val="none"/>
          <w:lang w:val="en-US" w:eastAsia="zh-CN" w:bidi="ar-SA"/>
        </w:rPr>
        <w:t xml:space="preserve">    </w:t>
      </w:r>
      <w:r>
        <w:rPr>
          <w:rFonts w:hint="eastAsia" w:ascii="仿宋_GB2312" w:eastAsia="仿宋_GB2312" w:cs="Times New Roman"/>
          <w:color w:val="auto"/>
          <w:sz w:val="32"/>
          <w:szCs w:val="32"/>
          <w:highlight w:val="none"/>
          <w:lang w:val="en-US" w:eastAsia="zh-CN"/>
        </w:rPr>
        <w:t>一是</w:t>
      </w:r>
      <w:r>
        <w:rPr>
          <w:rFonts w:hint="eastAsia" w:ascii="仿宋_GB2312" w:eastAsia="仿宋_GB2312" w:cs="Times New Roman"/>
          <w:color w:val="auto"/>
          <w:sz w:val="32"/>
          <w:szCs w:val="32"/>
          <w:highlight w:val="none"/>
        </w:rPr>
        <w:t>技术风险防范</w:t>
      </w:r>
      <w:r>
        <w:rPr>
          <w:rFonts w:hint="eastAsia" w:ascii="仿宋_GB2312" w:eastAsia="仿宋_GB2312" w:cs="Times New Roman"/>
          <w:color w:val="auto"/>
          <w:sz w:val="32"/>
          <w:szCs w:val="32"/>
          <w:highlight w:val="none"/>
          <w:lang w:eastAsia="zh-CN"/>
        </w:rPr>
        <w:t>，</w:t>
      </w:r>
      <w:r>
        <w:rPr>
          <w:rFonts w:hint="eastAsia" w:ascii="仿宋_GB2312" w:eastAsia="仿宋_GB2312" w:cs="Times New Roman"/>
          <w:color w:val="auto"/>
          <w:sz w:val="32"/>
          <w:szCs w:val="32"/>
          <w:highlight w:val="none"/>
        </w:rPr>
        <w:t>聘请具有丰富经验和专业资质的园艺师或修剪团队进行</w:t>
      </w:r>
      <w:r>
        <w:rPr>
          <w:rFonts w:hint="eastAsia" w:ascii="仿宋_GB2312" w:eastAsia="仿宋_GB2312" w:cs="Times New Roman"/>
          <w:color w:val="auto"/>
          <w:sz w:val="32"/>
          <w:szCs w:val="32"/>
          <w:highlight w:val="none"/>
          <w:lang w:val="en-US" w:eastAsia="zh-CN"/>
        </w:rPr>
        <w:t>林果</w:t>
      </w:r>
      <w:r>
        <w:rPr>
          <w:rFonts w:hint="eastAsia" w:ascii="仿宋_GB2312" w:eastAsia="仿宋_GB2312" w:cs="Times New Roman"/>
          <w:color w:val="auto"/>
          <w:sz w:val="32"/>
          <w:szCs w:val="32"/>
          <w:highlight w:val="none"/>
        </w:rPr>
        <w:t>的修剪工作，确保修剪技术的正确应用。同时，对参与修剪的脱贫户和监测对象进行必要的技术培训，提高他们的修剪技能。</w:t>
      </w:r>
      <w:r>
        <w:rPr>
          <w:rFonts w:hint="eastAsia" w:ascii="仿宋_GB2312" w:eastAsia="仿宋_GB2312" w:cs="Times New Roman"/>
          <w:color w:val="auto"/>
          <w:sz w:val="32"/>
          <w:szCs w:val="32"/>
          <w:highlight w:val="none"/>
          <w:lang w:val="en-US" w:eastAsia="zh-CN"/>
        </w:rPr>
        <w:t>二是</w:t>
      </w:r>
      <w:r>
        <w:rPr>
          <w:rFonts w:hint="eastAsia" w:ascii="仿宋_GB2312" w:eastAsia="仿宋_GB2312" w:cs="Times New Roman"/>
          <w:color w:val="auto"/>
          <w:sz w:val="32"/>
          <w:szCs w:val="32"/>
          <w:highlight w:val="none"/>
        </w:rPr>
        <w:t>天气风险防范</w:t>
      </w:r>
      <w:r>
        <w:rPr>
          <w:rFonts w:hint="eastAsia" w:ascii="仿宋_GB2312" w:eastAsia="仿宋_GB2312" w:cs="Times New Roman"/>
          <w:color w:val="auto"/>
          <w:sz w:val="32"/>
          <w:szCs w:val="32"/>
          <w:highlight w:val="none"/>
          <w:lang w:eastAsia="zh-CN"/>
        </w:rPr>
        <w:t>，</w:t>
      </w:r>
      <w:r>
        <w:rPr>
          <w:rFonts w:hint="eastAsia" w:ascii="仿宋_GB2312" w:eastAsia="仿宋_GB2312" w:cs="Times New Roman"/>
          <w:color w:val="auto"/>
          <w:sz w:val="32"/>
          <w:szCs w:val="32"/>
          <w:highlight w:val="none"/>
        </w:rPr>
        <w:t>关注天气预报，合理安排修剪时间，避免在恶劣天气下进行修剪工作。如遇到突发的恶劣天气，应立即停止修剪，确保人员安全。</w:t>
      </w:r>
      <w:r>
        <w:rPr>
          <w:rFonts w:hint="eastAsia" w:ascii="仿宋_GB2312" w:eastAsia="仿宋_GB2312" w:cs="Times New Roman"/>
          <w:color w:val="auto"/>
          <w:sz w:val="32"/>
          <w:szCs w:val="32"/>
          <w:highlight w:val="none"/>
          <w:lang w:val="en-US" w:eastAsia="zh-CN"/>
        </w:rPr>
        <w:t>三是</w:t>
      </w:r>
      <w:r>
        <w:rPr>
          <w:rFonts w:hint="eastAsia" w:ascii="仿宋_GB2312" w:eastAsia="仿宋_GB2312" w:cs="Times New Roman"/>
          <w:color w:val="auto"/>
          <w:sz w:val="32"/>
          <w:szCs w:val="32"/>
          <w:highlight w:val="none"/>
        </w:rPr>
        <w:t>人员风险防范</w:t>
      </w:r>
      <w:r>
        <w:rPr>
          <w:rFonts w:hint="eastAsia" w:ascii="仿宋_GB2312" w:eastAsia="仿宋_GB2312" w:cs="Times New Roman"/>
          <w:color w:val="auto"/>
          <w:sz w:val="32"/>
          <w:szCs w:val="32"/>
          <w:highlight w:val="none"/>
          <w:lang w:eastAsia="zh-CN"/>
        </w:rPr>
        <w:t>，</w:t>
      </w:r>
      <w:r>
        <w:rPr>
          <w:rFonts w:hint="eastAsia" w:ascii="仿宋_GB2312" w:eastAsia="仿宋_GB2312" w:cs="Times New Roman"/>
          <w:color w:val="auto"/>
          <w:sz w:val="32"/>
          <w:szCs w:val="32"/>
          <w:highlight w:val="none"/>
        </w:rPr>
        <w:t>加强人员管理和培训，确保参与修剪的人员具备必要的安全意识和操作技能。在修剪过程中，应配备必要的安全防护设备，如安全帽、手套等，以降低安全风险。</w:t>
      </w:r>
    </w:p>
    <w:p>
      <w:pPr>
        <w:rPr>
          <w:color w:val="auto"/>
          <w:highlight w:val="none"/>
        </w:rPr>
      </w:pPr>
    </w:p>
    <w:sectPr>
      <w:pgSz w:w="11906" w:h="16838"/>
      <w:pgMar w:top="2098" w:right="1531" w:bottom="1984" w:left="1531" w:header="851" w:footer="992" w:gutter="0"/>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97C469A-E05A-4F8D-A9BD-AADA9F856CA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F7544CA2-574B-45AE-B7BE-11B96AE7D0FE}"/>
  </w:font>
  <w:font w:name="HYb2gj">
    <w:altName w:val="宋体"/>
    <w:panose1 w:val="00000000000000000000"/>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0" w:usb1="00000000" w:usb2="00000000" w:usb3="00000000" w:csb0="00000000" w:csb1="00000000"/>
    <w:embedRegular r:id="rId3" w:fontKey="{36A94654-A84C-4CEF-9E29-B36F55E4F5DB}"/>
  </w:font>
  <w:font w:name="方正小标宋简体">
    <w:panose1 w:val="02010600010101010101"/>
    <w:charset w:val="86"/>
    <w:family w:val="script"/>
    <w:pitch w:val="default"/>
    <w:sig w:usb0="00000000" w:usb1="00000000" w:usb2="00000000" w:usb3="00000000" w:csb0="00000000" w:csb1="00000000"/>
    <w:embedRegular r:id="rId4" w:fontKey="{DA2DB7BA-AFC5-4604-B386-F3C822C45E00}"/>
  </w:font>
  <w:font w:name="楷体_GB2312">
    <w:panose1 w:val="02010609030101010101"/>
    <w:charset w:val="86"/>
    <w:family w:val="modern"/>
    <w:pitch w:val="default"/>
    <w:sig w:usb0="00000000" w:usb1="00000000" w:usb2="00000000" w:usb3="00000000" w:csb0="00000000" w:csb1="00000000"/>
    <w:embedRegular r:id="rId5" w:fontKey="{98299C2B-68FF-4B2D-A490-DF43133CC34E}"/>
  </w:font>
  <w:font w:name="楷体">
    <w:panose1 w:val="02010609060101010101"/>
    <w:charset w:val="86"/>
    <w:family w:val="modern"/>
    <w:pitch w:val="default"/>
    <w:sig w:usb0="800002BF" w:usb1="38CF7CFA" w:usb2="00000016" w:usb3="00000000" w:csb0="00040001" w:csb1="00000000"/>
    <w:embedRegular r:id="rId6" w:fontKey="{E5036D87-5632-4D67-9825-8B7175A6170A}"/>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EDF1DE"/>
    <w:multiLevelType w:val="singleLevel"/>
    <w:tmpl w:val="A1EDF1D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zYzZjYWRhMzg2ZTBjZDI4MjA1NjJhOWJhYmRjODkifQ=="/>
  </w:docVars>
  <w:rsids>
    <w:rsidRoot w:val="160A2EF4"/>
    <w:rsid w:val="006B4F71"/>
    <w:rsid w:val="15436065"/>
    <w:rsid w:val="160A2EF4"/>
    <w:rsid w:val="26070074"/>
    <w:rsid w:val="27320192"/>
    <w:rsid w:val="2CE223C7"/>
    <w:rsid w:val="32335040"/>
    <w:rsid w:val="36DA0180"/>
    <w:rsid w:val="3A483652"/>
    <w:rsid w:val="3E594080"/>
    <w:rsid w:val="3E725142"/>
    <w:rsid w:val="47A83982"/>
    <w:rsid w:val="4CC748AA"/>
    <w:rsid w:val="4CFC3637"/>
    <w:rsid w:val="4D183358"/>
    <w:rsid w:val="55D348DF"/>
    <w:rsid w:val="57827D4C"/>
    <w:rsid w:val="58C0003C"/>
    <w:rsid w:val="61840B64"/>
    <w:rsid w:val="6A334ED5"/>
    <w:rsid w:val="72F13B80"/>
    <w:rsid w:val="77B27D81"/>
    <w:rsid w:val="7D2F5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99"/>
    <w:pPr>
      <w:keepNext/>
      <w:keepLines/>
      <w:spacing w:before="260" w:after="260" w:line="416" w:lineRule="auto"/>
      <w:outlineLvl w:val="2"/>
    </w:pPr>
    <w:rPr>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paragraph" w:styleId="4">
    <w:name w:val="Body Text"/>
    <w:basedOn w:val="1"/>
    <w:next w:val="5"/>
    <w:qFormat/>
    <w:uiPriority w:val="0"/>
    <w:pPr>
      <w:spacing w:after="120"/>
    </w:pPr>
  </w:style>
  <w:style w:type="paragraph" w:styleId="5">
    <w:name w:val="footer"/>
    <w:basedOn w:val="1"/>
    <w:next w:val="1"/>
    <w:qFormat/>
    <w:uiPriority w:val="0"/>
    <w:pPr>
      <w:tabs>
        <w:tab w:val="center" w:pos="4153"/>
        <w:tab w:val="right" w:pos="8306"/>
      </w:tabs>
      <w:snapToGrid w:val="0"/>
      <w:jc w:val="left"/>
    </w:pPr>
    <w:rPr>
      <w:sz w:val="18"/>
    </w:rPr>
  </w:style>
  <w:style w:type="paragraph" w:styleId="6">
    <w:name w:val="Body Text Indent"/>
    <w:basedOn w:val="1"/>
    <w:qFormat/>
    <w:uiPriority w:val="99"/>
    <w:pPr>
      <w:spacing w:after="120"/>
      <w:ind w:left="420" w:leftChars="200"/>
    </w:pPr>
  </w:style>
  <w:style w:type="paragraph" w:styleId="7">
    <w:name w:val="Body Text First Indent 2"/>
    <w:basedOn w:val="6"/>
    <w:qFormat/>
    <w:uiPriority w:val="99"/>
    <w:pPr>
      <w:ind w:firstLine="420" w:firstLineChars="200"/>
    </w:pPr>
  </w:style>
  <w:style w:type="paragraph" w:customStyle="1" w:styleId="10">
    <w:name w:val="_Style 1"/>
    <w:qFormat/>
    <w:uiPriority w:val="99"/>
    <w:pPr>
      <w:widowControl w:val="0"/>
      <w:ind w:firstLine="200" w:firstLineChars="200"/>
      <w:jc w:val="both"/>
    </w:pPr>
    <w:rPr>
      <w:rFonts w:ascii="Calibri" w:hAnsi="Calibri" w:eastAsia="仿宋_GB2312" w:cs="Times New Roman"/>
      <w:kern w:val="2"/>
      <w:sz w:val="24"/>
      <w:szCs w:val="22"/>
      <w:lang w:val="en-US" w:eastAsia="zh-CN" w:bidi="ar-SA"/>
    </w:rPr>
  </w:style>
  <w:style w:type="paragraph" w:customStyle="1" w:styleId="11">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4081</Words>
  <Characters>4243</Characters>
  <Lines>0</Lines>
  <Paragraphs>0</Paragraphs>
  <TotalTime>20</TotalTime>
  <ScaleCrop>false</ScaleCrop>
  <LinksUpToDate>false</LinksUpToDate>
  <CharactersWithSpaces>4268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2025-03-23T11:33:00Z</dcterms:created>
  <dc:creator>Marjan</dc:creator>
  <cp:lastModifiedBy>Administrator</cp:lastModifiedBy>
  <dcterms:modified xsi:type="dcterms:W3CDTF">2025-07-01T11:16:47Z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7BF12900DF374923A7F6EFF84BCD56B6_11</vt:lpwstr>
  </property>
  <property fmtid="{D5CDD505-2E9C-101B-9397-08002B2CF9AE}" pid="4" name="KSOTemplateDocerSaveRecord">
    <vt:lpwstr>eyJoZGlkIjoiMGViYjFjMmIwMDJjMWYwZTEyYTM2YTY5OTY1ZThiNWIiLCJ1c2VySWQiOiI0MDgzNTQxMjQifQ==</vt:lpwstr>
  </property>
</Properties>
</file>