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770B4">
      <w:pPr>
        <w:keepNext/>
        <w:spacing w:line="560" w:lineRule="exact"/>
        <w:jc w:val="center"/>
        <w:rPr>
          <w:rFonts w:ascii="Times New Roman" w:hAnsi="Times New Roman" w:eastAsia="方正小标宋简体"/>
          <w:sz w:val="44"/>
          <w:szCs w:val="44"/>
        </w:rPr>
      </w:pPr>
    </w:p>
    <w:p w14:paraId="122C7C3B">
      <w:pPr>
        <w:keepNext/>
        <w:spacing w:line="560" w:lineRule="exact"/>
        <w:jc w:val="center"/>
        <w:rPr>
          <w:rFonts w:ascii="Times New Roman" w:hAnsi="Times New Roman" w:eastAsia="方正小标宋简体"/>
          <w:sz w:val="44"/>
          <w:szCs w:val="44"/>
        </w:rPr>
      </w:pPr>
    </w:p>
    <w:p w14:paraId="439F49D6">
      <w:pPr>
        <w:keepNext/>
        <w:spacing w:line="560" w:lineRule="exact"/>
        <w:jc w:val="center"/>
        <w:rPr>
          <w:rFonts w:ascii="Times New Roman" w:hAnsi="Times New Roman" w:eastAsia="方正小标宋简体"/>
          <w:sz w:val="44"/>
          <w:szCs w:val="44"/>
        </w:rPr>
      </w:pPr>
    </w:p>
    <w:p w14:paraId="4C999DD2">
      <w:pPr>
        <w:keepNext/>
        <w:spacing w:line="560" w:lineRule="exact"/>
        <w:jc w:val="center"/>
        <w:rPr>
          <w:rFonts w:ascii="Times New Roman" w:hAnsi="Times New Roman" w:eastAsia="方正小标宋简体"/>
          <w:sz w:val="44"/>
          <w:szCs w:val="44"/>
        </w:rPr>
      </w:pPr>
    </w:p>
    <w:p w14:paraId="3BF9F16C">
      <w:pPr>
        <w:keepNext/>
        <w:spacing w:line="600" w:lineRule="auto"/>
        <w:jc w:val="center"/>
        <w:rPr>
          <w:rFonts w:hint="eastAsia" w:ascii="Times New Roman" w:hAnsi="Times New Roman" w:eastAsia="方正小标宋简体"/>
          <w:sz w:val="48"/>
          <w:szCs w:val="48"/>
        </w:rPr>
      </w:pPr>
      <w:r>
        <w:rPr>
          <w:rFonts w:hint="eastAsia" w:ascii="Times New Roman" w:hAnsi="Times New Roman" w:eastAsia="方正小标宋简体"/>
          <w:sz w:val="48"/>
          <w:szCs w:val="48"/>
        </w:rPr>
        <w:t>托克逊县小额信贷贴息项目</w:t>
      </w:r>
    </w:p>
    <w:p w14:paraId="186318EB">
      <w:pPr>
        <w:keepNext/>
        <w:spacing w:line="600" w:lineRule="auto"/>
        <w:jc w:val="center"/>
        <w:rPr>
          <w:rFonts w:ascii="Times New Roman" w:hAnsi="Times New Roman" w:eastAsia="方正小标宋简体"/>
          <w:sz w:val="48"/>
          <w:szCs w:val="48"/>
        </w:rPr>
      </w:pPr>
      <w:r>
        <w:rPr>
          <w:rFonts w:hint="eastAsia" w:ascii="Times New Roman" w:hAnsi="Times New Roman" w:eastAsia="方正小标宋简体"/>
          <w:sz w:val="48"/>
          <w:szCs w:val="48"/>
        </w:rPr>
        <w:t>实施方案</w:t>
      </w:r>
    </w:p>
    <w:p w14:paraId="28D5047A">
      <w:pPr>
        <w:pStyle w:val="13"/>
        <w:keepNext/>
        <w:spacing w:line="560" w:lineRule="exact"/>
        <w:ind w:firstLine="880"/>
        <w:rPr>
          <w:rFonts w:hint="eastAsia" w:ascii="方正小标宋简体" w:hAnsi="方正小标宋简体" w:eastAsia="方正小标宋简体" w:cs="方正小标宋简体"/>
          <w:sz w:val="44"/>
          <w:szCs w:val="44"/>
        </w:rPr>
      </w:pPr>
    </w:p>
    <w:p w14:paraId="047380E9">
      <w:pPr>
        <w:pStyle w:val="13"/>
        <w:keepNext/>
        <w:spacing w:line="560" w:lineRule="exact"/>
        <w:ind w:firstLine="880"/>
        <w:rPr>
          <w:rFonts w:hint="eastAsia" w:ascii="方正小标宋简体" w:hAnsi="方正小标宋简体" w:eastAsia="方正小标宋简体" w:cs="方正小标宋简体"/>
          <w:sz w:val="44"/>
          <w:szCs w:val="44"/>
        </w:rPr>
      </w:pPr>
    </w:p>
    <w:p w14:paraId="0ED38B13">
      <w:pPr>
        <w:pStyle w:val="13"/>
        <w:keepNext/>
        <w:spacing w:line="560" w:lineRule="exact"/>
        <w:ind w:firstLine="880"/>
        <w:rPr>
          <w:rFonts w:hint="eastAsia" w:ascii="方正小标宋简体" w:hAnsi="方正小标宋简体" w:eastAsia="方正小标宋简体" w:cs="方正小标宋简体"/>
          <w:sz w:val="44"/>
          <w:szCs w:val="44"/>
        </w:rPr>
      </w:pPr>
    </w:p>
    <w:p w14:paraId="648B1EEF">
      <w:pPr>
        <w:pStyle w:val="13"/>
        <w:keepNext/>
        <w:spacing w:line="560" w:lineRule="exact"/>
        <w:ind w:firstLine="880"/>
        <w:rPr>
          <w:rFonts w:hint="eastAsia" w:ascii="方正小标宋简体" w:hAnsi="方正小标宋简体" w:eastAsia="方正小标宋简体" w:cs="方正小标宋简体"/>
          <w:sz w:val="44"/>
          <w:szCs w:val="44"/>
        </w:rPr>
      </w:pPr>
    </w:p>
    <w:p w14:paraId="482E9828">
      <w:pPr>
        <w:pStyle w:val="13"/>
        <w:keepNext/>
        <w:spacing w:line="560" w:lineRule="exact"/>
        <w:ind w:firstLine="0" w:firstLineChars="0"/>
        <w:rPr>
          <w:rFonts w:hint="eastAsia" w:ascii="方正小标宋简体" w:hAnsi="方正小标宋简体" w:eastAsia="方正小标宋简体" w:cs="方正小标宋简体"/>
          <w:sz w:val="44"/>
          <w:szCs w:val="44"/>
        </w:rPr>
      </w:pPr>
    </w:p>
    <w:p w14:paraId="3E900E7F">
      <w:pPr>
        <w:pStyle w:val="13"/>
        <w:keepNext/>
        <w:spacing w:line="560" w:lineRule="exact"/>
        <w:ind w:firstLine="0" w:firstLineChars="0"/>
        <w:rPr>
          <w:rFonts w:hint="eastAsia" w:ascii="方正小标宋简体" w:hAnsi="方正小标宋简体" w:eastAsia="方正小标宋简体" w:cs="方正小标宋简体"/>
          <w:sz w:val="44"/>
          <w:szCs w:val="44"/>
        </w:rPr>
      </w:pPr>
    </w:p>
    <w:p w14:paraId="3789016B">
      <w:pPr>
        <w:autoSpaceDE w:val="0"/>
        <w:spacing w:line="560" w:lineRule="exact"/>
        <w:ind w:left="630"/>
        <w:rPr>
          <w:rFonts w:hint="eastAsia" w:ascii="黑体" w:hAnsi="黑体" w:eastAsia="黑体" w:cs="黑体"/>
          <w:sz w:val="32"/>
          <w:szCs w:val="32"/>
        </w:rPr>
      </w:pPr>
    </w:p>
    <w:p w14:paraId="1E083333">
      <w:pPr>
        <w:autoSpaceDE w:val="0"/>
        <w:spacing w:line="560" w:lineRule="exact"/>
        <w:ind w:left="630"/>
        <w:rPr>
          <w:rFonts w:hint="eastAsia" w:ascii="黑体" w:hAnsi="黑体" w:eastAsia="黑体" w:cs="黑体"/>
          <w:sz w:val="32"/>
          <w:szCs w:val="32"/>
        </w:rPr>
      </w:pPr>
    </w:p>
    <w:p w14:paraId="3BA0F063">
      <w:pPr>
        <w:autoSpaceDE w:val="0"/>
        <w:spacing w:line="560" w:lineRule="exact"/>
        <w:ind w:left="630"/>
        <w:rPr>
          <w:rFonts w:hint="eastAsia" w:ascii="黑体" w:hAnsi="黑体" w:eastAsia="黑体" w:cs="黑体"/>
          <w:sz w:val="32"/>
          <w:szCs w:val="32"/>
        </w:rPr>
      </w:pPr>
    </w:p>
    <w:p w14:paraId="2832DD09">
      <w:pPr>
        <w:autoSpaceDE w:val="0"/>
        <w:spacing w:line="360" w:lineRule="auto"/>
        <w:ind w:left="210" w:leftChars="100" w:firstLine="720" w:firstLineChars="200"/>
        <w:rPr>
          <w:rFonts w:hint="eastAsia" w:ascii="黑体" w:hAnsi="黑体" w:eastAsia="黑体" w:cs="黑体"/>
          <w:sz w:val="36"/>
          <w:szCs w:val="36"/>
        </w:rPr>
      </w:pPr>
      <w:r>
        <w:rPr>
          <w:rFonts w:hint="eastAsia" w:ascii="黑体" w:hAnsi="黑体" w:eastAsia="黑体" w:cs="黑体"/>
          <w:sz w:val="36"/>
          <w:szCs w:val="36"/>
        </w:rPr>
        <w:t>项 目  名 称</w:t>
      </w:r>
      <w:r>
        <w:rPr>
          <w:rFonts w:hint="eastAsia" w:ascii="方正黑体简体" w:hAnsi="方正黑体简体" w:eastAsia="方正黑体简体"/>
          <w:sz w:val="36"/>
          <w:szCs w:val="36"/>
        </w:rPr>
        <w:t>：</w:t>
      </w:r>
      <w:r>
        <w:rPr>
          <w:rFonts w:hint="eastAsia" w:ascii="黑体" w:hAnsi="黑体" w:eastAsia="黑体" w:cs="黑体"/>
          <w:sz w:val="36"/>
          <w:szCs w:val="36"/>
        </w:rPr>
        <w:t>托克逊县小额信贷贴息项目</w:t>
      </w:r>
    </w:p>
    <w:p w14:paraId="4256584B">
      <w:pPr>
        <w:autoSpaceDE w:val="0"/>
        <w:spacing w:line="360" w:lineRule="auto"/>
        <w:ind w:leftChars="100" w:firstLine="720" w:firstLineChars="200"/>
        <w:rPr>
          <w:rFonts w:hint="eastAsia" w:ascii="黑体" w:hAnsi="黑体" w:eastAsia="黑体" w:cs="黑体"/>
          <w:sz w:val="36"/>
          <w:szCs w:val="36"/>
        </w:rPr>
      </w:pPr>
      <w:r>
        <w:rPr>
          <w:rFonts w:hint="eastAsia" w:ascii="黑体" w:hAnsi="黑体" w:eastAsia="黑体" w:cs="黑体"/>
          <w:sz w:val="36"/>
          <w:szCs w:val="36"/>
        </w:rPr>
        <w:t>项目主管单位：</w:t>
      </w:r>
      <w:r>
        <w:rPr>
          <w:rFonts w:ascii="黑体" w:hAnsi="黑体" w:eastAsia="黑体" w:cs="黑体"/>
          <w:sz w:val="36"/>
          <w:szCs w:val="36"/>
        </w:rPr>
        <w:t>托克逊县</w:t>
      </w:r>
      <w:r>
        <w:rPr>
          <w:rFonts w:hint="eastAsia" w:ascii="黑体" w:hAnsi="黑体" w:eastAsia="黑体" w:cs="黑体"/>
          <w:sz w:val="36"/>
          <w:szCs w:val="36"/>
        </w:rPr>
        <w:t>乡村振兴</w:t>
      </w:r>
      <w:r>
        <w:rPr>
          <w:rFonts w:ascii="黑体" w:hAnsi="黑体" w:eastAsia="黑体" w:cs="黑体"/>
          <w:sz w:val="36"/>
          <w:szCs w:val="36"/>
        </w:rPr>
        <w:t>局</w:t>
      </w:r>
    </w:p>
    <w:p w14:paraId="05860DAA">
      <w:pPr>
        <w:autoSpaceDE w:val="0"/>
        <w:spacing w:line="360" w:lineRule="auto"/>
        <w:ind w:leftChars="100" w:firstLine="720" w:firstLineChars="200"/>
        <w:rPr>
          <w:rFonts w:hint="eastAsia" w:ascii="黑体" w:hAnsi="黑体" w:eastAsia="黑体" w:cs="黑体"/>
          <w:sz w:val="36"/>
          <w:szCs w:val="36"/>
        </w:rPr>
      </w:pPr>
      <w:r>
        <w:rPr>
          <w:rFonts w:hint="eastAsia" w:ascii="黑体" w:hAnsi="黑体" w:eastAsia="黑体" w:cs="黑体"/>
          <w:sz w:val="36"/>
          <w:szCs w:val="36"/>
        </w:rPr>
        <w:t>项目实施单位：托克逊县农村信用合作联社</w:t>
      </w:r>
    </w:p>
    <w:p w14:paraId="02C6F320">
      <w:pPr>
        <w:autoSpaceDE w:val="0"/>
        <w:spacing w:line="360" w:lineRule="auto"/>
        <w:ind w:leftChars="100" w:firstLine="720" w:firstLineChars="200"/>
        <w:rPr>
          <w:rFonts w:hint="eastAsia" w:ascii="黑体" w:hAnsi="黑体" w:eastAsia="黑体" w:cs="黑体"/>
          <w:sz w:val="36"/>
          <w:szCs w:val="36"/>
        </w:rPr>
      </w:pPr>
      <w:r>
        <w:rPr>
          <w:rFonts w:hint="eastAsia" w:ascii="黑体" w:hAnsi="黑体" w:eastAsia="黑体" w:cs="黑体"/>
          <w:sz w:val="36"/>
          <w:szCs w:val="36"/>
        </w:rPr>
        <w:t>编 制  时 间：2024年12月21日</w:t>
      </w:r>
    </w:p>
    <w:p w14:paraId="6AAA9069">
      <w:pPr>
        <w:keepNext/>
        <w:spacing w:line="360" w:lineRule="auto"/>
        <w:ind w:leftChars="100"/>
        <w:jc w:val="center"/>
        <w:rPr>
          <w:rFonts w:hint="eastAsia" w:ascii="Times New Roman" w:hAnsi="Times New Roman" w:eastAsia="方正小标宋简体"/>
          <w:sz w:val="48"/>
          <w:szCs w:val="48"/>
        </w:rPr>
        <w:sectPr>
          <w:footerReference r:id="rId3" w:type="default"/>
          <w:pgSz w:w="11906" w:h="16838"/>
          <w:pgMar w:top="2098" w:right="1531" w:bottom="1531" w:left="1531" w:header="851" w:footer="992" w:gutter="0"/>
          <w:cols w:space="425" w:num="1"/>
          <w:docGrid w:type="lines" w:linePitch="312" w:charSpace="0"/>
        </w:sectPr>
      </w:pPr>
    </w:p>
    <w:p w14:paraId="12A894A7">
      <w:pPr>
        <w:keepNext/>
        <w:keepLines w:val="0"/>
        <w:pageBreakBefore w:val="0"/>
        <w:widowControl w:val="0"/>
        <w:kinsoku/>
        <w:wordWrap/>
        <w:topLinePunct w:val="0"/>
        <w:bidi w:val="0"/>
        <w:adjustRightInd/>
        <w:snapToGrid/>
        <w:spacing w:line="56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托克逊县小额信贷贴息项目实施方案</w:t>
      </w:r>
    </w:p>
    <w:p w14:paraId="685B9572">
      <w:pPr>
        <w:pStyle w:val="13"/>
        <w:keepLines w:val="0"/>
        <w:pageBreakBefore w:val="0"/>
        <w:widowControl w:val="0"/>
        <w:kinsoku/>
        <w:wordWrap/>
        <w:topLinePunct w:val="0"/>
        <w:bidi w:val="0"/>
        <w:adjustRightInd/>
        <w:snapToGrid/>
        <w:spacing w:line="560" w:lineRule="exact"/>
        <w:ind w:firstLine="480" w:firstLineChars="200"/>
        <w:rPr>
          <w:rFonts w:ascii="Times New Roman" w:hAnsi="Times New Roman"/>
        </w:rPr>
      </w:pPr>
    </w:p>
    <w:p w14:paraId="1C811AE5">
      <w:pPr>
        <w:pStyle w:val="14"/>
        <w:keepNext/>
        <w:keepLines w:val="0"/>
        <w:pageBreakBefore w:val="0"/>
        <w:widowControl w:val="0"/>
        <w:kinsoku/>
        <w:wordWrap/>
        <w:topLinePunct w:val="0"/>
        <w:bidi w:val="0"/>
        <w:adjustRightInd/>
        <w:snapToGrid/>
        <w:spacing w:line="560" w:lineRule="exact"/>
        <w:ind w:firstLine="640" w:firstLineChars="200"/>
        <w:rPr>
          <w:rFonts w:hint="eastAsia" w:ascii="黑体" w:hAnsi="黑体" w:eastAsia="黑体" w:cs="黑体"/>
          <w:sz w:val="32"/>
        </w:rPr>
      </w:pPr>
    </w:p>
    <w:p w14:paraId="1FF18CEC">
      <w:pPr>
        <w:pStyle w:val="14"/>
        <w:keepNext/>
        <w:keepLines w:val="0"/>
        <w:pageBreakBefore w:val="0"/>
        <w:widowControl w:val="0"/>
        <w:kinsoku/>
        <w:wordWrap/>
        <w:topLinePunct w:val="0"/>
        <w:bidi w:val="0"/>
        <w:adjustRightInd/>
        <w:snapToGrid/>
        <w:spacing w:line="560" w:lineRule="exact"/>
        <w:ind w:firstLine="640" w:firstLineChars="200"/>
        <w:rPr>
          <w:rFonts w:hint="eastAsia" w:ascii="黑体" w:hAnsi="黑体" w:eastAsia="黑体" w:cs="黑体"/>
          <w:sz w:val="32"/>
        </w:rPr>
      </w:pPr>
      <w:r>
        <w:rPr>
          <w:rFonts w:hint="eastAsia" w:ascii="黑体" w:hAnsi="黑体" w:eastAsia="黑体" w:cs="黑体"/>
          <w:sz w:val="32"/>
        </w:rPr>
        <w:t>一、项目概况</w:t>
      </w:r>
      <w:bookmarkStart w:id="0" w:name="_GoBack"/>
      <w:bookmarkEnd w:id="0"/>
    </w:p>
    <w:p w14:paraId="10B80963">
      <w:pPr>
        <w:keepLines w:val="0"/>
        <w:pageBreakBefore w:val="0"/>
        <w:widowControl w:val="0"/>
        <w:kinsoku/>
        <w:wordWrap/>
        <w:topLinePunct w:val="0"/>
        <w:autoSpaceDE w:val="0"/>
        <w:bidi w:val="0"/>
        <w:adjustRightInd/>
        <w:snapToGrid/>
        <w:spacing w:line="56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1、</w:t>
      </w:r>
      <w:r>
        <w:rPr>
          <w:rFonts w:ascii="Times New Roman" w:hAnsi="Times New Roman" w:eastAsia="黑体"/>
          <w:sz w:val="32"/>
          <w:szCs w:val="32"/>
        </w:rPr>
        <w:t>项目名称</w:t>
      </w:r>
      <w:r>
        <w:rPr>
          <w:rFonts w:hint="eastAsia" w:ascii="Times New Roman" w:hAnsi="Times New Roman" w:eastAsia="黑体"/>
          <w:sz w:val="32"/>
          <w:szCs w:val="32"/>
        </w:rPr>
        <w:t>：</w:t>
      </w:r>
      <w:r>
        <w:rPr>
          <w:rFonts w:hint="eastAsia" w:ascii="Times New Roman" w:hAnsi="Times New Roman" w:eastAsia="仿宋_GB2312"/>
          <w:sz w:val="32"/>
          <w:szCs w:val="32"/>
        </w:rPr>
        <w:t>托克逊县小额信贷贴息项目</w:t>
      </w:r>
    </w:p>
    <w:p w14:paraId="7F4CD1A9">
      <w:pPr>
        <w:keepLines w:val="0"/>
        <w:pageBreakBefore w:val="0"/>
        <w:widowControl w:val="0"/>
        <w:kinsoku/>
        <w:wordWrap/>
        <w:topLinePunct w:val="0"/>
        <w:autoSpaceDE w:val="0"/>
        <w:bidi w:val="0"/>
        <w:adjustRightInd/>
        <w:snapToGrid/>
        <w:spacing w:line="56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2、</w:t>
      </w:r>
      <w:r>
        <w:rPr>
          <w:rFonts w:ascii="Times New Roman" w:hAnsi="Times New Roman" w:eastAsia="黑体"/>
          <w:sz w:val="32"/>
          <w:szCs w:val="32"/>
        </w:rPr>
        <w:t>项目库编号</w:t>
      </w:r>
      <w:r>
        <w:rPr>
          <w:rFonts w:hint="eastAsia" w:ascii="Times New Roman" w:hAnsi="Times New Roman" w:eastAsia="黑体"/>
          <w:sz w:val="32"/>
          <w:szCs w:val="32"/>
        </w:rPr>
        <w:t>：</w:t>
      </w:r>
      <w:r>
        <w:rPr>
          <w:rFonts w:ascii="仿宋_GB2312" w:hAnsi="仿宋_GB2312" w:eastAsia="仿宋_GB2312" w:cs="仿宋_GB2312"/>
          <w:sz w:val="32"/>
          <w:szCs w:val="32"/>
        </w:rPr>
        <w:t>TKX0010</w:t>
      </w:r>
    </w:p>
    <w:p w14:paraId="41143129">
      <w:pPr>
        <w:keepLines w:val="0"/>
        <w:pageBreakBefore w:val="0"/>
        <w:widowControl w:val="0"/>
        <w:kinsoku/>
        <w:wordWrap/>
        <w:topLinePunct w:val="0"/>
        <w:autoSpaceDE w:val="0"/>
        <w:bidi w:val="0"/>
        <w:adjustRightInd/>
        <w:snapToGrid/>
        <w:spacing w:line="560" w:lineRule="exact"/>
        <w:ind w:firstLine="640" w:firstLineChars="200"/>
        <w:rPr>
          <w:rFonts w:hint="default" w:ascii="仿宋_GB2312" w:hAnsi="仿宋_GB2312" w:eastAsia="仿宋_GB2312" w:cs="仿宋_GB2312"/>
          <w:sz w:val="32"/>
          <w:szCs w:val="32"/>
          <w:lang w:val="en-US" w:eastAsia="zh-CN"/>
        </w:rPr>
      </w:pPr>
      <w:r>
        <w:rPr>
          <w:rFonts w:hint="eastAsia" w:ascii="Times New Roman" w:hAnsi="Times New Roman" w:eastAsia="黑体"/>
          <w:sz w:val="32"/>
          <w:szCs w:val="32"/>
        </w:rPr>
        <w:t>3、</w:t>
      </w:r>
      <w:r>
        <w:rPr>
          <w:rFonts w:ascii="Times New Roman" w:hAnsi="Times New Roman" w:eastAsia="黑体"/>
          <w:sz w:val="32"/>
          <w:szCs w:val="32"/>
        </w:rPr>
        <w:t>项目</w:t>
      </w:r>
      <w:r>
        <w:rPr>
          <w:rFonts w:hint="eastAsia" w:ascii="Times New Roman" w:hAnsi="Times New Roman" w:eastAsia="黑体"/>
          <w:sz w:val="32"/>
          <w:szCs w:val="32"/>
        </w:rPr>
        <w:t>建设</w:t>
      </w:r>
      <w:r>
        <w:rPr>
          <w:rFonts w:ascii="Times New Roman" w:hAnsi="Times New Roman" w:eastAsia="黑体"/>
          <w:sz w:val="32"/>
          <w:szCs w:val="32"/>
        </w:rPr>
        <w:t>单位</w:t>
      </w:r>
      <w:r>
        <w:rPr>
          <w:rFonts w:hint="eastAsia" w:ascii="Times New Roman" w:hAnsi="Times New Roman" w:eastAsia="黑体"/>
          <w:sz w:val="32"/>
          <w:szCs w:val="32"/>
        </w:rPr>
        <w:t>及单位负责人：</w:t>
      </w:r>
      <w:r>
        <w:rPr>
          <w:rFonts w:hint="eastAsia" w:ascii="仿宋_GB2312" w:hAnsi="仿宋_GB2312" w:eastAsia="仿宋_GB2312" w:cs="仿宋_GB2312"/>
          <w:sz w:val="32"/>
          <w:szCs w:val="32"/>
        </w:rPr>
        <w:t>托克逊县农村信用合作联社</w:t>
      </w:r>
      <w:r>
        <w:rPr>
          <w:rFonts w:hint="eastAsia" w:ascii="仿宋_GB2312" w:hAnsi="仿宋_GB2312" w:eastAsia="仿宋_GB2312" w:cs="仿宋_GB2312"/>
          <w:sz w:val="32"/>
          <w:szCs w:val="32"/>
          <w:lang w:val="en-US" w:eastAsia="zh-CN"/>
        </w:rPr>
        <w:t xml:space="preserve">  张一</w:t>
      </w:r>
    </w:p>
    <w:p w14:paraId="3EAED9F8">
      <w:pPr>
        <w:keepLines w:val="0"/>
        <w:pageBreakBefore w:val="0"/>
        <w:widowControl w:val="0"/>
        <w:kinsoku/>
        <w:wordWrap/>
        <w:topLinePunct w:val="0"/>
        <w:autoSpaceDE w:val="0"/>
        <w:bidi w:val="0"/>
        <w:adjustRightInd/>
        <w:snapToGrid/>
        <w:spacing w:line="560" w:lineRule="exact"/>
        <w:ind w:firstLine="640" w:firstLineChars="200"/>
        <w:rPr>
          <w:rFonts w:hint="eastAsia" w:ascii="仿宋_GB2312" w:hAnsi="仿宋_GB2312" w:eastAsia="仿宋_GB2312" w:cs="仿宋_GB2312"/>
          <w:sz w:val="32"/>
          <w:szCs w:val="32"/>
        </w:rPr>
      </w:pPr>
      <w:r>
        <w:rPr>
          <w:rFonts w:ascii="Times New Roman" w:hAnsi="Times New Roman" w:eastAsia="黑体"/>
          <w:sz w:val="32"/>
          <w:szCs w:val="32"/>
        </w:rPr>
        <w:t>项目</w:t>
      </w:r>
      <w:r>
        <w:rPr>
          <w:rFonts w:hint="eastAsia" w:ascii="Times New Roman" w:hAnsi="Times New Roman" w:eastAsia="黑体"/>
          <w:sz w:val="32"/>
          <w:szCs w:val="32"/>
        </w:rPr>
        <w:t>负责人：</w:t>
      </w:r>
      <w:r>
        <w:rPr>
          <w:rFonts w:hint="eastAsia" w:ascii="仿宋_GB2312" w:hAnsi="仿宋_GB2312" w:eastAsia="仿宋_GB2312" w:cs="仿宋_GB2312"/>
          <w:sz w:val="32"/>
          <w:szCs w:val="32"/>
        </w:rPr>
        <w:t>贾田</w:t>
      </w:r>
    </w:p>
    <w:p w14:paraId="1F02E6B6">
      <w:pPr>
        <w:keepLines w:val="0"/>
        <w:pageBreakBefore w:val="0"/>
        <w:widowControl w:val="0"/>
        <w:kinsoku/>
        <w:wordWrap/>
        <w:topLinePunct w:val="0"/>
        <w:autoSpaceDE w:val="0"/>
        <w:bidi w:val="0"/>
        <w:adjustRightInd/>
        <w:snapToGrid/>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4、</w:t>
      </w:r>
      <w:r>
        <w:rPr>
          <w:rFonts w:ascii="Times New Roman" w:hAnsi="Times New Roman" w:eastAsia="黑体"/>
          <w:sz w:val="32"/>
          <w:szCs w:val="32"/>
        </w:rPr>
        <w:t>项目</w:t>
      </w:r>
      <w:r>
        <w:rPr>
          <w:rFonts w:hint="eastAsia" w:ascii="Times New Roman" w:hAnsi="Times New Roman" w:eastAsia="黑体"/>
          <w:sz w:val="32"/>
          <w:szCs w:val="32"/>
        </w:rPr>
        <w:t>行政</w:t>
      </w:r>
      <w:r>
        <w:rPr>
          <w:rFonts w:ascii="Times New Roman" w:hAnsi="Times New Roman" w:eastAsia="黑体"/>
          <w:sz w:val="32"/>
          <w:szCs w:val="32"/>
        </w:rPr>
        <w:t>主管单位</w:t>
      </w:r>
      <w:r>
        <w:rPr>
          <w:rFonts w:hint="eastAsia" w:ascii="Times New Roman" w:hAnsi="Times New Roman" w:eastAsia="黑体"/>
          <w:sz w:val="32"/>
          <w:szCs w:val="32"/>
        </w:rPr>
        <w:t>：</w:t>
      </w:r>
      <w:r>
        <w:rPr>
          <w:rFonts w:ascii="仿宋_GB2312" w:hAnsi="仿宋_GB2312" w:eastAsia="仿宋_GB2312" w:cs="仿宋_GB2312"/>
          <w:sz w:val="32"/>
          <w:szCs w:val="32"/>
        </w:rPr>
        <w:t>托克逊县</w:t>
      </w:r>
      <w:r>
        <w:rPr>
          <w:rFonts w:hint="eastAsia" w:ascii="仿宋_GB2312" w:hAnsi="仿宋_GB2312" w:eastAsia="仿宋_GB2312" w:cs="仿宋_GB2312"/>
          <w:sz w:val="32"/>
          <w:szCs w:val="32"/>
        </w:rPr>
        <w:t>乡村振兴</w:t>
      </w:r>
      <w:r>
        <w:rPr>
          <w:rFonts w:ascii="Times New Roman" w:hAnsi="Times New Roman" w:eastAsia="仿宋_GB2312"/>
          <w:sz w:val="32"/>
          <w:szCs w:val="32"/>
        </w:rPr>
        <w:t>局</w:t>
      </w:r>
    </w:p>
    <w:p w14:paraId="4D599CCC">
      <w:pPr>
        <w:keepLines w:val="0"/>
        <w:pageBreakBefore w:val="0"/>
        <w:widowControl w:val="0"/>
        <w:kinsoku/>
        <w:wordWrap/>
        <w:topLinePunct w:val="0"/>
        <w:autoSpaceDE w:val="0"/>
        <w:bidi w:val="0"/>
        <w:adjustRightInd/>
        <w:snapToGrid/>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黑体"/>
          <w:sz w:val="32"/>
          <w:szCs w:val="32"/>
        </w:rPr>
        <w:t>项目行业主管单位：</w:t>
      </w:r>
      <w:r>
        <w:rPr>
          <w:rFonts w:hint="eastAsia" w:ascii="仿宋_GB2312" w:hAnsi="仿宋_GB2312" w:eastAsia="仿宋_GB2312" w:cs="仿宋_GB2312"/>
          <w:sz w:val="32"/>
          <w:szCs w:val="32"/>
        </w:rPr>
        <w:t>托克逊县</w:t>
      </w:r>
      <w:r>
        <w:rPr>
          <w:rFonts w:hint="eastAsia" w:ascii="仿宋_GB2312" w:hAnsi="仿宋_GB2312" w:eastAsia="仿宋_GB2312" w:cs="仿宋_GB2312"/>
          <w:sz w:val="32"/>
          <w:szCs w:val="32"/>
          <w:lang w:val="en-US" w:eastAsia="zh-CN"/>
        </w:rPr>
        <w:t>农业农村局</w:t>
      </w:r>
    </w:p>
    <w:p w14:paraId="01E11F4C">
      <w:pPr>
        <w:keepLines w:val="0"/>
        <w:pageBreakBefore w:val="0"/>
        <w:widowControl w:val="0"/>
        <w:kinsoku/>
        <w:wordWrap/>
        <w:topLinePunct w:val="0"/>
        <w:autoSpaceDE w:val="0"/>
        <w:bidi w:val="0"/>
        <w:adjustRightInd/>
        <w:snapToGrid/>
        <w:spacing w:line="56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5、</w:t>
      </w:r>
      <w:r>
        <w:rPr>
          <w:rFonts w:ascii="Times New Roman" w:hAnsi="Times New Roman" w:eastAsia="黑体"/>
          <w:sz w:val="32"/>
          <w:szCs w:val="32"/>
        </w:rPr>
        <w:t>项目建设性质</w:t>
      </w:r>
      <w:r>
        <w:rPr>
          <w:rFonts w:hint="eastAsia" w:ascii="Times New Roman" w:hAnsi="Times New Roman" w:eastAsia="黑体"/>
          <w:sz w:val="32"/>
          <w:szCs w:val="32"/>
        </w:rPr>
        <w:t>：</w:t>
      </w:r>
      <w:r>
        <w:rPr>
          <w:rFonts w:hint="eastAsia" w:ascii="仿宋_GB2312" w:hAnsi="仿宋_GB2312" w:eastAsia="仿宋_GB2312" w:cs="仿宋_GB2312"/>
          <w:sz w:val="32"/>
          <w:szCs w:val="32"/>
        </w:rPr>
        <w:t>新建</w:t>
      </w:r>
    </w:p>
    <w:p w14:paraId="347A4A47">
      <w:pPr>
        <w:keepLines w:val="0"/>
        <w:pageBreakBefore w:val="0"/>
        <w:widowControl w:val="0"/>
        <w:kinsoku/>
        <w:wordWrap/>
        <w:topLinePunct w:val="0"/>
        <w:autoSpaceDE w:val="0"/>
        <w:bidi w:val="0"/>
        <w:adjustRightInd/>
        <w:snapToGrid/>
        <w:spacing w:line="56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6、</w:t>
      </w:r>
      <w:r>
        <w:rPr>
          <w:rFonts w:ascii="Times New Roman" w:hAnsi="Times New Roman" w:eastAsia="黑体"/>
          <w:sz w:val="32"/>
          <w:szCs w:val="32"/>
        </w:rPr>
        <w:t>项目类别</w:t>
      </w:r>
      <w:r>
        <w:rPr>
          <w:rFonts w:hint="eastAsia" w:ascii="Times New Roman" w:hAnsi="Times New Roman" w:eastAsia="黑体"/>
          <w:sz w:val="32"/>
          <w:szCs w:val="32"/>
        </w:rPr>
        <w:t>：</w:t>
      </w:r>
      <w:r>
        <w:rPr>
          <w:rFonts w:hint="eastAsia" w:ascii="仿宋_GB2312" w:hAnsi="仿宋_GB2312" w:eastAsia="仿宋_GB2312" w:cs="仿宋_GB2312"/>
          <w:kern w:val="0"/>
          <w:sz w:val="32"/>
          <w:szCs w:val="32"/>
        </w:rPr>
        <w:t>小额信贷贴息</w:t>
      </w:r>
    </w:p>
    <w:p w14:paraId="52804AF4">
      <w:pPr>
        <w:pStyle w:val="14"/>
        <w:keepLines w:val="0"/>
        <w:pageBreakBefore w:val="0"/>
        <w:widowControl w:val="0"/>
        <w:kinsoku/>
        <w:wordWrap/>
        <w:topLinePunct w:val="0"/>
        <w:bidi w:val="0"/>
        <w:adjustRightInd/>
        <w:snapToGrid/>
        <w:spacing w:line="560" w:lineRule="exact"/>
        <w:ind w:firstLine="640" w:firstLineChars="200"/>
        <w:outlineLvl w:val="0"/>
        <w:rPr>
          <w:rFonts w:ascii="Times New Roman" w:hAnsi="Times New Roman" w:eastAsia="仿宋_GB2312"/>
          <w:kern w:val="0"/>
          <w:sz w:val="32"/>
          <w:szCs w:val="32"/>
        </w:rPr>
      </w:pPr>
      <w:r>
        <w:rPr>
          <w:rFonts w:hint="eastAsia" w:ascii="Times New Roman" w:hAnsi="Times New Roman" w:eastAsia="黑体"/>
          <w:sz w:val="32"/>
          <w:szCs w:val="32"/>
        </w:rPr>
        <w:t>7、</w:t>
      </w:r>
      <w:r>
        <w:rPr>
          <w:rFonts w:ascii="Times New Roman" w:hAnsi="Times New Roman" w:eastAsia="黑体"/>
          <w:sz w:val="32"/>
          <w:szCs w:val="32"/>
        </w:rPr>
        <w:t>建设地点</w:t>
      </w:r>
      <w:r>
        <w:rPr>
          <w:rFonts w:hint="eastAsia" w:ascii="Times New Roman" w:hAnsi="Times New Roman" w:eastAsia="黑体"/>
          <w:sz w:val="32"/>
          <w:szCs w:val="32"/>
        </w:rPr>
        <w:t>：</w:t>
      </w:r>
      <w:r>
        <w:rPr>
          <w:rFonts w:hint="eastAsia" w:ascii="仿宋_GB2312" w:eastAsia="仿宋_GB2312"/>
          <w:sz w:val="32"/>
          <w:szCs w:val="32"/>
        </w:rPr>
        <w:t>托克逊县</w:t>
      </w:r>
    </w:p>
    <w:p w14:paraId="1EC85639">
      <w:pPr>
        <w:pStyle w:val="13"/>
        <w:keepLines w:val="0"/>
        <w:pageBreakBefore w:val="0"/>
        <w:widowControl w:val="0"/>
        <w:kinsoku/>
        <w:wordWrap/>
        <w:topLinePunct w:val="0"/>
        <w:bidi w:val="0"/>
        <w:adjustRightInd/>
        <w:snapToGrid/>
        <w:spacing w:line="560" w:lineRule="exact"/>
        <w:jc w:val="left"/>
        <w:rPr>
          <w:rFonts w:ascii="Times New Roman" w:hAnsi="Times New Roman" w:eastAsia="黑体"/>
          <w:sz w:val="32"/>
          <w:szCs w:val="32"/>
        </w:rPr>
      </w:pPr>
      <w:r>
        <w:rPr>
          <w:rFonts w:hint="eastAsia" w:ascii="Times New Roman" w:hAnsi="Times New Roman" w:eastAsia="黑体"/>
          <w:sz w:val="32"/>
          <w:szCs w:val="32"/>
        </w:rPr>
        <w:t>8、项目总投资：</w:t>
      </w:r>
    </w:p>
    <w:p w14:paraId="06A08B8C">
      <w:pPr>
        <w:pStyle w:val="13"/>
        <w:keepLines w:val="0"/>
        <w:pageBreakBefore w:val="0"/>
        <w:widowControl w:val="0"/>
        <w:kinsoku/>
        <w:wordWrap/>
        <w:topLinePunct w:val="0"/>
        <w:bidi w:val="0"/>
        <w:adjustRightInd/>
        <w:snapToGrid/>
        <w:spacing w:line="560" w:lineRule="exact"/>
        <w:jc w:val="left"/>
        <w:rPr>
          <w:rFonts w:ascii="Times New Roman" w:hAnsi="Times New Roman"/>
          <w:sz w:val="32"/>
          <w:szCs w:val="32"/>
        </w:rPr>
      </w:pPr>
      <w:r>
        <w:rPr>
          <w:rFonts w:hint="eastAsia" w:ascii="Times New Roman" w:hAnsi="Times New Roman"/>
          <w:sz w:val="32"/>
          <w:szCs w:val="32"/>
        </w:rPr>
        <w:t>项目拟投资120</w:t>
      </w:r>
      <w:r>
        <w:rPr>
          <w:rFonts w:ascii="Times New Roman" w:hAnsi="Times New Roman"/>
          <w:sz w:val="32"/>
          <w:szCs w:val="32"/>
        </w:rPr>
        <w:t>万元</w:t>
      </w:r>
      <w:r>
        <w:rPr>
          <w:rFonts w:hint="eastAsia" w:ascii="Times New Roman" w:hAnsi="Times New Roman"/>
          <w:sz w:val="32"/>
          <w:szCs w:val="32"/>
        </w:rPr>
        <w:t>（</w:t>
      </w:r>
      <w:r>
        <w:rPr>
          <w:rFonts w:hint="eastAsia" w:ascii="仿宋_GB2312"/>
          <w:sz w:val="32"/>
          <w:szCs w:val="32"/>
        </w:rPr>
        <w:t>最终金额以实际发生量为准</w:t>
      </w:r>
      <w:r>
        <w:rPr>
          <w:rFonts w:hint="eastAsia" w:ascii="Times New Roman" w:hAnsi="Times New Roman"/>
          <w:sz w:val="32"/>
          <w:szCs w:val="32"/>
        </w:rPr>
        <w:t>）</w:t>
      </w:r>
      <w:r>
        <w:rPr>
          <w:rFonts w:ascii="Times New Roman" w:hAnsi="Times New Roman"/>
          <w:sz w:val="32"/>
          <w:szCs w:val="32"/>
        </w:rPr>
        <w:t>。</w:t>
      </w:r>
    </w:p>
    <w:p w14:paraId="58162E3C">
      <w:pPr>
        <w:pStyle w:val="14"/>
        <w:keepLines w:val="0"/>
        <w:pageBreakBefore w:val="0"/>
        <w:widowControl w:val="0"/>
        <w:numPr>
          <w:ilvl w:val="0"/>
          <w:numId w:val="1"/>
        </w:numPr>
        <w:kinsoku/>
        <w:wordWrap/>
        <w:topLinePunct w:val="0"/>
        <w:bidi w:val="0"/>
        <w:adjustRightInd/>
        <w:snapToGrid/>
        <w:spacing w:line="560" w:lineRule="exact"/>
        <w:ind w:firstLine="640" w:firstLineChars="200"/>
        <w:outlineLvl w:val="0"/>
        <w:rPr>
          <w:rFonts w:ascii="Times New Roman" w:hAnsi="Times New Roman" w:eastAsia="黑体"/>
          <w:sz w:val="32"/>
          <w:szCs w:val="32"/>
        </w:rPr>
      </w:pPr>
      <w:r>
        <w:rPr>
          <w:rFonts w:hint="eastAsia" w:ascii="Times New Roman" w:hAnsi="Times New Roman" w:eastAsia="黑体"/>
          <w:sz w:val="32"/>
          <w:szCs w:val="32"/>
        </w:rPr>
        <w:t>主要建设内容与规模：</w:t>
      </w:r>
    </w:p>
    <w:p w14:paraId="65F88C5C">
      <w:pPr>
        <w:pStyle w:val="14"/>
        <w:keepLines w:val="0"/>
        <w:pageBreakBefore w:val="0"/>
        <w:widowControl w:val="0"/>
        <w:kinsoku/>
        <w:wordWrap/>
        <w:topLinePunct w:val="0"/>
        <w:bidi w:val="0"/>
        <w:adjustRightInd/>
        <w:snapToGrid/>
        <w:spacing w:line="560" w:lineRule="exact"/>
        <w:ind w:firstLine="640" w:firstLineChars="200"/>
        <w:outlineLvl w:val="0"/>
        <w:rPr>
          <w:rFonts w:ascii="Times New Roman" w:hAnsi="Times New Roman" w:eastAsia="仿宋_GB2312"/>
          <w:sz w:val="32"/>
          <w:szCs w:val="32"/>
        </w:rPr>
      </w:pPr>
      <w:r>
        <w:rPr>
          <w:rFonts w:hint="eastAsia" w:ascii="仿宋_GB2312" w:hAnsi="仿宋_GB2312" w:eastAsia="仿宋_GB2312" w:cs="仿宋_GB2312"/>
          <w:kern w:val="0"/>
          <w:sz w:val="32"/>
          <w:szCs w:val="32"/>
        </w:rPr>
        <w:t>采取小额信贷贴息的方式，鼓励脱贫群众及监测帮扶对象通过发展产业增加收入，提升脱贫群众及监测帮扶对象的幸福感、获得感。计划资金120万元，具体金额以实际发生量为准。</w:t>
      </w:r>
    </w:p>
    <w:p w14:paraId="0B2D9A17">
      <w:pPr>
        <w:pStyle w:val="14"/>
        <w:keepLines w:val="0"/>
        <w:pageBreakBefore w:val="0"/>
        <w:widowControl w:val="0"/>
        <w:kinsoku/>
        <w:wordWrap/>
        <w:topLinePunct w:val="0"/>
        <w:bidi w:val="0"/>
        <w:adjustRightInd/>
        <w:snapToGrid/>
        <w:spacing w:line="560" w:lineRule="exact"/>
        <w:ind w:firstLine="640" w:firstLineChars="200"/>
        <w:outlineLvl w:val="0"/>
        <w:rPr>
          <w:rFonts w:ascii="Times New Roman" w:hAnsi="Times New Roman" w:eastAsia="黑体"/>
          <w:sz w:val="32"/>
          <w:szCs w:val="32"/>
        </w:rPr>
      </w:pPr>
      <w:r>
        <w:rPr>
          <w:rFonts w:hint="eastAsia" w:ascii="Times New Roman" w:hAnsi="Times New Roman" w:eastAsia="黑体"/>
          <w:sz w:val="32"/>
          <w:szCs w:val="32"/>
        </w:rPr>
        <w:t>二、项目区基本情况及建设必要性、可行性</w:t>
      </w:r>
    </w:p>
    <w:p w14:paraId="6F7D10B6">
      <w:pPr>
        <w:pStyle w:val="13"/>
        <w:keepLines w:val="0"/>
        <w:pageBreakBefore w:val="0"/>
        <w:widowControl w:val="0"/>
        <w:kinsoku/>
        <w:wordWrap/>
        <w:topLinePunct w:val="0"/>
        <w:bidi w:val="0"/>
        <w:adjustRightInd/>
        <w:snapToGrid/>
        <w:spacing w:line="560" w:lineRule="exact"/>
        <w:ind w:left="319" w:leftChars="152" w:firstLine="640" w:firstLineChars="200"/>
        <w:jc w:val="left"/>
        <w:rPr>
          <w:rFonts w:ascii="Times New Roman" w:hAnsi="Times New Roman" w:eastAsia="黑体"/>
          <w:sz w:val="32"/>
          <w:szCs w:val="32"/>
        </w:rPr>
      </w:pPr>
      <w:r>
        <w:rPr>
          <w:rFonts w:hint="eastAsia" w:ascii="Times New Roman" w:hAnsi="Times New Roman" w:eastAsia="黑体"/>
          <w:sz w:val="32"/>
          <w:szCs w:val="32"/>
        </w:rPr>
        <w:t>1、项目区基本情况：</w:t>
      </w:r>
    </w:p>
    <w:p w14:paraId="2BF70457">
      <w:pPr>
        <w:pStyle w:val="14"/>
        <w:keepLines w:val="0"/>
        <w:pageBreakBefore w:val="0"/>
        <w:widowControl w:val="0"/>
        <w:kinsoku/>
        <w:wordWrap/>
        <w:topLinePunct w:val="0"/>
        <w:bidi w:val="0"/>
        <w:adjustRightInd/>
        <w:snapToGrid/>
        <w:spacing w:line="560" w:lineRule="exact"/>
        <w:ind w:firstLine="640" w:firstLineChars="200"/>
        <w:rPr>
          <w:rFonts w:hint="eastAsia" w:ascii="仿宋_GB2312" w:hAnsi="仿宋_GB2312" w:eastAsia="仿宋_GB2312" w:cs="仿宋_GB2312"/>
          <w:sz w:val="28"/>
          <w:szCs w:val="36"/>
        </w:rPr>
      </w:pPr>
      <w:r>
        <w:rPr>
          <w:rFonts w:hint="eastAsia" w:ascii="仿宋_GB2312" w:hAnsi="仿宋_GB2312" w:eastAsia="仿宋_GB2312" w:cs="仿宋_GB2312"/>
          <w:kern w:val="0"/>
          <w:sz w:val="32"/>
          <w:szCs w:val="32"/>
        </w:rPr>
        <w:t>项目按照《中国银保监会、财政部、中国人民银行国家乡村振兴局关于深入扎实做好过渡期小额信贷工作的通知》（银保监发</w:t>
      </w:r>
      <w:r>
        <w:rPr>
          <w:rFonts w:hint="eastAsia" w:ascii="仿宋_GB2312" w:hAnsi="仿宋_GB2312" w:eastAsia="仿宋_GB2312" w:cs="仿宋_GB2312"/>
          <w:kern w:val="0"/>
          <w:sz w:val="32"/>
          <w:szCs w:val="32"/>
          <w:lang w:eastAsia="zh-CN"/>
        </w:rPr>
        <w:t>〔2021〕6号</w:t>
      </w:r>
      <w:r>
        <w:rPr>
          <w:rFonts w:hint="eastAsia" w:ascii="仿宋_GB2312" w:hAnsi="仿宋_GB2312" w:eastAsia="仿宋_GB2312" w:cs="仿宋_GB2312"/>
          <w:kern w:val="0"/>
          <w:sz w:val="32"/>
          <w:szCs w:val="32"/>
        </w:rPr>
        <w:t>）、</w:t>
      </w:r>
      <w:r>
        <w:rPr>
          <w:rFonts w:hint="eastAsia" w:ascii="仿宋" w:hAnsi="仿宋" w:eastAsia="仿宋" w:cs="仿宋"/>
          <w:sz w:val="32"/>
          <w:szCs w:val="32"/>
        </w:rPr>
        <w:t>《关于进一步做好过渡期脱贫人口小额信贷工作的通知》（新金监发〔2023〕2号）</w:t>
      </w:r>
      <w:r>
        <w:rPr>
          <w:rFonts w:hint="eastAsia" w:ascii="仿宋_GB2312" w:hAnsi="仿宋_GB2312" w:eastAsia="仿宋_GB2312" w:cs="仿宋_GB2312"/>
          <w:kern w:val="0"/>
          <w:sz w:val="32"/>
          <w:szCs w:val="32"/>
        </w:rPr>
        <w:t>文件精神，严格执行季度贴息申请政策，脱贫小额信贷贴息主要是对托克逊县辖区脱贫人口及三类监测对象在贷款期间，5万元以内（含5万元）的脱贫小额贷款实行LPR利率贴息政策，通过“五人联查、三级联审”，由县乡村振兴局推送名录至我社进行发放。以财政贴息资金为主要手段，以提高脱贫人口及监测对象收入为目的，以机制创新为动力，以农村金融等机构为依托</w:t>
      </w:r>
      <w:r>
        <w:rPr>
          <w:rFonts w:hint="eastAsia" w:ascii="仿宋_GB2312" w:hAnsi="仿宋_GB2312" w:eastAsia="仿宋_GB2312" w:cs="仿宋_GB2312"/>
          <w:kern w:val="0"/>
          <w:sz w:val="32"/>
          <w:szCs w:val="32"/>
          <w:lang w:eastAsia="zh-CN"/>
        </w:rPr>
        <w:t>，与</w:t>
      </w:r>
      <w:r>
        <w:rPr>
          <w:rFonts w:hint="eastAsia" w:ascii="仿宋_GB2312" w:hAnsi="仿宋_GB2312" w:eastAsia="仿宋_GB2312" w:cs="仿宋_GB2312"/>
          <w:kern w:val="0"/>
          <w:sz w:val="32"/>
          <w:szCs w:val="32"/>
        </w:rPr>
        <w:t>乡村振兴局、财政部门、金融机构加强合作，通过发放脱贫人口小额信贷、实行贴息工作，使脱贫人口得到直接有效扶持，增强其自我发展能力，进一步加快脱贫人口脱贫致富的步伐。</w:t>
      </w:r>
    </w:p>
    <w:p w14:paraId="3E6E3893">
      <w:pPr>
        <w:pStyle w:val="13"/>
        <w:keepLines w:val="0"/>
        <w:pageBreakBefore w:val="0"/>
        <w:widowControl w:val="0"/>
        <w:kinsoku/>
        <w:wordWrap/>
        <w:topLinePunct w:val="0"/>
        <w:bidi w:val="0"/>
        <w:adjustRightInd/>
        <w:snapToGrid/>
        <w:spacing w:line="560" w:lineRule="exact"/>
        <w:ind w:left="319" w:leftChars="152" w:firstLine="640" w:firstLineChars="200"/>
        <w:jc w:val="left"/>
        <w:rPr>
          <w:rFonts w:ascii="Times New Roman" w:hAnsi="Times New Roman" w:eastAsia="黑体"/>
          <w:sz w:val="32"/>
          <w:szCs w:val="32"/>
        </w:rPr>
      </w:pPr>
      <w:r>
        <w:rPr>
          <w:rFonts w:hint="eastAsia" w:ascii="Times New Roman" w:hAnsi="Times New Roman" w:eastAsia="黑体"/>
          <w:sz w:val="32"/>
          <w:szCs w:val="32"/>
        </w:rPr>
        <w:t>2、建设的必要性：</w:t>
      </w:r>
    </w:p>
    <w:p w14:paraId="257D375F">
      <w:pPr>
        <w:pStyle w:val="14"/>
        <w:keepLines w:val="0"/>
        <w:pageBreakBefore w:val="0"/>
        <w:widowControl w:val="0"/>
        <w:kinsoku/>
        <w:wordWrap/>
        <w:topLinePunct w:val="0"/>
        <w:bidi w:val="0"/>
        <w:adjustRightInd/>
        <w:snapToGrid/>
        <w:spacing w:line="560" w:lineRule="exact"/>
        <w:ind w:firstLine="640" w:firstLineChars="200"/>
        <w:rPr>
          <w:rFonts w:hint="eastAsia" w:ascii="仿宋_GB2312" w:hAnsi="仿宋_GB2312" w:eastAsia="仿宋_GB2312" w:cs="仿宋_GB2312"/>
          <w:sz w:val="28"/>
          <w:szCs w:val="36"/>
        </w:rPr>
      </w:pPr>
      <w:r>
        <w:rPr>
          <w:rFonts w:hint="eastAsia" w:ascii="仿宋_GB2312" w:hAnsi="仿宋_GB2312" w:eastAsia="仿宋_GB2312" w:cs="仿宋_GB2312"/>
          <w:kern w:val="0"/>
          <w:sz w:val="32"/>
          <w:szCs w:val="32"/>
        </w:rPr>
        <w:t>以提高脱贫人口及监测对象收入为目的，以机制创新为动力，以农村金融等机构为依托</w:t>
      </w:r>
      <w:r>
        <w:rPr>
          <w:rFonts w:hint="eastAsia" w:ascii="仿宋_GB2312" w:hAnsi="仿宋_GB2312" w:eastAsia="仿宋_GB2312" w:cs="仿宋_GB2312"/>
          <w:kern w:val="0"/>
          <w:sz w:val="32"/>
          <w:szCs w:val="32"/>
          <w:lang w:eastAsia="zh-CN"/>
        </w:rPr>
        <w:t>，与</w:t>
      </w:r>
      <w:r>
        <w:rPr>
          <w:rFonts w:hint="eastAsia" w:ascii="仿宋_GB2312" w:hAnsi="仿宋_GB2312" w:eastAsia="仿宋_GB2312" w:cs="仿宋_GB2312"/>
          <w:kern w:val="0"/>
          <w:sz w:val="32"/>
          <w:szCs w:val="32"/>
        </w:rPr>
        <w:t>乡村振兴局、财政部门、金融机构加强合作，通过发放脱贫人口小额信贷、实行贴息工作，使脱贫人口得到直接有效扶持，增强其自我发展能力，进一步加快脱贫人口脱贫致富的步伐。</w:t>
      </w:r>
    </w:p>
    <w:p w14:paraId="4FC1F46E">
      <w:pPr>
        <w:pStyle w:val="13"/>
        <w:keepLines w:val="0"/>
        <w:pageBreakBefore w:val="0"/>
        <w:widowControl w:val="0"/>
        <w:kinsoku/>
        <w:wordWrap/>
        <w:topLinePunct w:val="0"/>
        <w:bidi w:val="0"/>
        <w:adjustRightInd/>
        <w:snapToGrid/>
        <w:spacing w:line="560" w:lineRule="exact"/>
        <w:ind w:left="319" w:leftChars="152" w:firstLine="640" w:firstLineChars="200"/>
        <w:jc w:val="left"/>
        <w:rPr>
          <w:rFonts w:ascii="Times New Roman" w:hAnsi="Times New Roman" w:eastAsia="黑体"/>
          <w:sz w:val="32"/>
          <w:szCs w:val="32"/>
        </w:rPr>
      </w:pPr>
      <w:r>
        <w:rPr>
          <w:rFonts w:hint="eastAsia" w:ascii="Times New Roman" w:hAnsi="Times New Roman" w:eastAsia="黑体"/>
          <w:sz w:val="32"/>
          <w:szCs w:val="32"/>
        </w:rPr>
        <w:t>3、建设的可行性：</w:t>
      </w:r>
    </w:p>
    <w:p w14:paraId="5ECAED49">
      <w:pPr>
        <w:pStyle w:val="14"/>
        <w:keepLines w:val="0"/>
        <w:pageBreakBefore w:val="0"/>
        <w:widowControl w:val="0"/>
        <w:kinsoku/>
        <w:wordWrap/>
        <w:topLinePunct w:val="0"/>
        <w:bidi w:val="0"/>
        <w:adjustRightInd/>
        <w:snapToGrid/>
        <w:spacing w:line="560" w:lineRule="exact"/>
        <w:ind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一是</w:t>
      </w:r>
      <w:r>
        <w:rPr>
          <w:rFonts w:hint="eastAsia" w:ascii="仿宋_GB2312" w:hAnsi="仿宋_GB2312" w:eastAsia="仿宋_GB2312" w:cs="仿宋_GB2312"/>
          <w:kern w:val="0"/>
          <w:sz w:val="32"/>
          <w:szCs w:val="32"/>
        </w:rPr>
        <w:t>国家“十四五”规划明确提出“健全防止返贫动态监测和帮扶机制”，财政、金融、乡村振兴等部门已形成政策协同框架，</w:t>
      </w:r>
      <w:r>
        <w:rPr>
          <w:rFonts w:hint="eastAsia" w:ascii="仿宋_GB2312" w:hAnsi="仿宋_GB2312" w:eastAsia="仿宋_GB2312" w:cs="仿宋_GB2312"/>
          <w:kern w:val="0"/>
          <w:sz w:val="32"/>
          <w:szCs w:val="32"/>
          <w:lang w:eastAsia="zh-CN"/>
        </w:rPr>
        <w:t>中央和地方</w:t>
      </w:r>
      <w:r>
        <w:rPr>
          <w:rFonts w:hint="eastAsia" w:ascii="仿宋_GB2312" w:hAnsi="仿宋_GB2312" w:eastAsia="仿宋_GB2312" w:cs="仿宋_GB2312"/>
          <w:kern w:val="0"/>
          <w:sz w:val="32"/>
          <w:szCs w:val="32"/>
        </w:rPr>
        <w:t>财政专项资金为贴息提供稳定保障。  </w:t>
      </w:r>
    </w:p>
    <w:p w14:paraId="29FDF4BE">
      <w:pPr>
        <w:pStyle w:val="14"/>
        <w:keepLines w:val="0"/>
        <w:pageBreakBefore w:val="0"/>
        <w:widowControl w:val="0"/>
        <w:kinsoku/>
        <w:wordWrap/>
        <w:topLinePunct w:val="0"/>
        <w:bidi w:val="0"/>
        <w:adjustRightInd/>
        <w:snapToGrid/>
        <w:spacing w:line="560" w:lineRule="exact"/>
        <w:ind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二是</w:t>
      </w:r>
      <w:r>
        <w:rPr>
          <w:rFonts w:hint="eastAsia" w:ascii="仿宋_GB2312" w:hAnsi="仿宋_GB2312" w:eastAsia="仿宋_GB2312" w:cs="仿宋_GB2312"/>
          <w:kern w:val="0"/>
          <w:sz w:val="32"/>
          <w:szCs w:val="32"/>
        </w:rPr>
        <w:t>通过大数据征信、三级联审、五人联查、政府风险补偿金等模式，可精准评估贷款人信用，分散信贷风险。同时，小额信贷额度可控（如单户5万元以下），违约风险整体较低。  </w:t>
      </w:r>
    </w:p>
    <w:p w14:paraId="0EA2F418">
      <w:pPr>
        <w:pStyle w:val="14"/>
        <w:keepLines w:val="0"/>
        <w:pageBreakBefore w:val="0"/>
        <w:widowControl w:val="0"/>
        <w:kinsoku/>
        <w:wordWrap/>
        <w:topLinePunct w:val="0"/>
        <w:bidi w:val="0"/>
        <w:adjustRightInd/>
        <w:snapToGrid/>
        <w:spacing w:line="560" w:lineRule="exact"/>
        <w:ind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三是</w:t>
      </w:r>
      <w:r>
        <w:rPr>
          <w:rFonts w:hint="eastAsia" w:ascii="仿宋_GB2312" w:hAnsi="仿宋_GB2312" w:eastAsia="仿宋_GB2312" w:cs="仿宋_GB2312"/>
          <w:kern w:val="0"/>
          <w:sz w:val="32"/>
          <w:szCs w:val="32"/>
        </w:rPr>
        <w:t>小额信贷还款率普遍高于90%，验证了项目可持续性。金融机构在服务下沉、产品设计方面积累了丰富经验。  </w:t>
      </w:r>
    </w:p>
    <w:p w14:paraId="1C7AF2BF">
      <w:pPr>
        <w:pStyle w:val="14"/>
        <w:keepLines w:val="0"/>
        <w:pageBreakBefore w:val="0"/>
        <w:widowControl w:val="0"/>
        <w:kinsoku/>
        <w:wordWrap/>
        <w:topLinePunct w:val="0"/>
        <w:bidi w:val="0"/>
        <w:adjustRightInd/>
        <w:snapToGrid/>
        <w:spacing w:line="560" w:lineRule="exact"/>
        <w:ind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四是</w:t>
      </w:r>
      <w:r>
        <w:rPr>
          <w:rFonts w:hint="eastAsia" w:ascii="仿宋_GB2312" w:hAnsi="仿宋_GB2312" w:eastAsia="仿宋_GB2312" w:cs="仿宋_GB2312"/>
          <w:kern w:val="0"/>
          <w:sz w:val="32"/>
          <w:szCs w:val="32"/>
        </w:rPr>
        <w:t>项目既能改善民生、促进社会公平，又能通过产业发展带动地方经济，提升金融资源利用效率，实现政府、金融机构与脱贫人口的共赢。</w:t>
      </w:r>
    </w:p>
    <w:p w14:paraId="33BF3B71">
      <w:pPr>
        <w:keepLines w:val="0"/>
        <w:pageBreakBefore w:val="0"/>
        <w:widowControl w:val="0"/>
        <w:kinsoku/>
        <w:wordWrap/>
        <w:topLinePunct w:val="0"/>
        <w:bidi w:val="0"/>
        <w:adjustRightInd/>
        <w:snapToGrid/>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三、资金筹措及投资概算</w:t>
      </w:r>
    </w:p>
    <w:p w14:paraId="321086AE">
      <w:pPr>
        <w:pStyle w:val="13"/>
        <w:keepLines w:val="0"/>
        <w:pageBreakBefore w:val="0"/>
        <w:widowControl w:val="0"/>
        <w:kinsoku/>
        <w:wordWrap/>
        <w:topLinePunct w:val="0"/>
        <w:bidi w:val="0"/>
        <w:adjustRightInd/>
        <w:snapToGrid/>
        <w:spacing w:line="560" w:lineRule="exact"/>
        <w:ind w:firstLine="643" w:firstLineChars="200"/>
        <w:rPr>
          <w:rFonts w:ascii="Times New Roman" w:hAnsi="Times New Roman"/>
          <w:sz w:val="32"/>
          <w:szCs w:val="32"/>
        </w:rPr>
      </w:pPr>
      <w:r>
        <w:rPr>
          <w:rFonts w:hint="eastAsia" w:ascii="楷体_GB2312" w:hAnsi="楷体_GB2312" w:eastAsia="楷体_GB2312" w:cs="楷体_GB2312"/>
          <w:b/>
          <w:bCs/>
          <w:sz w:val="32"/>
          <w:szCs w:val="32"/>
        </w:rPr>
        <w:t>1、资金来源：</w:t>
      </w:r>
      <w:r>
        <w:rPr>
          <w:rFonts w:ascii="Times New Roman" w:hAnsi="Times New Roman"/>
          <w:sz w:val="32"/>
          <w:szCs w:val="32"/>
        </w:rPr>
        <w:t>申请财政衔接推进乡村振兴补助资金</w:t>
      </w:r>
    </w:p>
    <w:p w14:paraId="7CF367CA">
      <w:pPr>
        <w:pStyle w:val="13"/>
        <w:keepLines w:val="0"/>
        <w:pageBreakBefore w:val="0"/>
        <w:widowControl w:val="0"/>
        <w:kinsoku/>
        <w:wordWrap/>
        <w:topLinePunct w:val="0"/>
        <w:bidi w:val="0"/>
        <w:adjustRightInd/>
        <w:snapToGrid/>
        <w:spacing w:line="560" w:lineRule="exact"/>
        <w:ind w:firstLine="643" w:firstLineChars="200"/>
        <w:rPr>
          <w:rFonts w:ascii="Times New Roman" w:hAnsi="Times New Roman"/>
          <w:sz w:val="32"/>
          <w:szCs w:val="32"/>
        </w:rPr>
      </w:pPr>
      <w:r>
        <w:rPr>
          <w:rFonts w:hint="eastAsia" w:ascii="楷体_GB2312" w:hAnsi="楷体_GB2312" w:eastAsia="楷体_GB2312" w:cs="楷体_GB2312"/>
          <w:b/>
          <w:bCs/>
          <w:sz w:val="32"/>
          <w:szCs w:val="32"/>
        </w:rPr>
        <w:t>2、投资概算：</w:t>
      </w:r>
      <w:r>
        <w:rPr>
          <w:rFonts w:hint="eastAsia" w:ascii="Times New Roman" w:hAnsi="Times New Roman"/>
          <w:sz w:val="32"/>
          <w:szCs w:val="32"/>
        </w:rPr>
        <w:t>项目拟投资120</w:t>
      </w:r>
      <w:r>
        <w:rPr>
          <w:rFonts w:ascii="Times New Roman" w:hAnsi="Times New Roman"/>
          <w:sz w:val="32"/>
          <w:szCs w:val="32"/>
        </w:rPr>
        <w:t>万元</w:t>
      </w:r>
      <w:r>
        <w:rPr>
          <w:rFonts w:hint="eastAsia" w:ascii="Times New Roman" w:hAnsi="Times New Roman"/>
          <w:sz w:val="32"/>
          <w:szCs w:val="32"/>
        </w:rPr>
        <w:t>（</w:t>
      </w:r>
      <w:r>
        <w:rPr>
          <w:rFonts w:hint="eastAsia" w:ascii="仿宋_GB2312"/>
          <w:sz w:val="32"/>
          <w:szCs w:val="32"/>
        </w:rPr>
        <w:t>最终金额以实际发生量为准</w:t>
      </w:r>
      <w:r>
        <w:rPr>
          <w:rFonts w:hint="eastAsia" w:ascii="Times New Roman" w:hAnsi="Times New Roman"/>
          <w:sz w:val="32"/>
          <w:szCs w:val="32"/>
        </w:rPr>
        <w:t>）</w:t>
      </w:r>
      <w:r>
        <w:rPr>
          <w:rFonts w:ascii="Times New Roman" w:hAnsi="Times New Roman"/>
          <w:sz w:val="32"/>
          <w:szCs w:val="32"/>
        </w:rPr>
        <w:t>。</w:t>
      </w:r>
    </w:p>
    <w:p w14:paraId="07F32011">
      <w:pPr>
        <w:pStyle w:val="13"/>
        <w:keepLines w:val="0"/>
        <w:pageBreakBefore w:val="0"/>
        <w:widowControl w:val="0"/>
        <w:kinsoku/>
        <w:wordWrap/>
        <w:topLinePunct w:val="0"/>
        <w:bidi w:val="0"/>
        <w:adjustRightInd/>
        <w:snapToGrid/>
        <w:spacing w:line="560" w:lineRule="exact"/>
        <w:ind w:firstLine="643" w:firstLineChars="200"/>
        <w:rPr>
          <w:rFonts w:ascii="Times New Roman" w:hAnsi="Times New Roman"/>
          <w:sz w:val="32"/>
          <w:szCs w:val="32"/>
        </w:rPr>
      </w:pPr>
      <w:r>
        <w:rPr>
          <w:rFonts w:hint="eastAsia" w:ascii="楷体_GB2312" w:hAnsi="楷体_GB2312" w:eastAsia="楷体_GB2312" w:cs="楷体_GB2312"/>
          <w:b/>
          <w:bCs/>
          <w:sz w:val="32"/>
          <w:szCs w:val="32"/>
        </w:rPr>
        <w:t>3、</w:t>
      </w:r>
      <w:r>
        <w:rPr>
          <w:rFonts w:ascii="楷体_GB2312" w:hAnsi="楷体_GB2312" w:eastAsia="楷体_GB2312" w:cs="楷体_GB2312"/>
          <w:b/>
          <w:bCs/>
          <w:sz w:val="32"/>
          <w:szCs w:val="32"/>
        </w:rPr>
        <w:t>建设内容</w:t>
      </w:r>
      <w:r>
        <w:rPr>
          <w:rFonts w:hint="eastAsia" w:ascii="楷体_GB2312" w:hAnsi="楷体_GB2312" w:eastAsia="楷体_GB2312" w:cs="楷体_GB2312"/>
          <w:b/>
          <w:bCs/>
          <w:sz w:val="32"/>
          <w:szCs w:val="32"/>
        </w:rPr>
        <w:t>：</w:t>
      </w:r>
      <w:r>
        <w:rPr>
          <w:rFonts w:hint="eastAsia" w:ascii="仿宋_GB2312" w:hAnsi="仿宋_GB2312" w:cs="仿宋_GB2312"/>
          <w:kern w:val="0"/>
          <w:sz w:val="32"/>
          <w:szCs w:val="32"/>
        </w:rPr>
        <w:t>采取小额信贷贴息的方式，鼓励脱贫群众及监测帮扶对象通过发展产业增加收入，提升脱贫群众及监测帮扶对象的幸福感、获得感。计划资金120万元，具体金额以实际发生量为准。</w:t>
      </w:r>
    </w:p>
    <w:p w14:paraId="1521EE1E">
      <w:pPr>
        <w:keepLines w:val="0"/>
        <w:pageBreakBefore w:val="0"/>
        <w:widowControl w:val="0"/>
        <w:kinsoku/>
        <w:wordWrap/>
        <w:topLinePunct w:val="0"/>
        <w:autoSpaceDE w:val="0"/>
        <w:bidi w:val="0"/>
        <w:adjustRightInd/>
        <w:snapToGrid/>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、项目实施进度计划</w:t>
      </w:r>
    </w:p>
    <w:p w14:paraId="51B8A261">
      <w:pPr>
        <w:pStyle w:val="13"/>
        <w:keepLines w:val="0"/>
        <w:pageBreakBefore w:val="0"/>
        <w:widowControl w:val="0"/>
        <w:kinsoku/>
        <w:wordWrap/>
        <w:topLinePunct w:val="0"/>
        <w:bidi w:val="0"/>
        <w:adjustRightInd/>
        <w:snapToGrid/>
        <w:spacing w:line="560" w:lineRule="exact"/>
        <w:ind w:firstLine="640" w:firstLineChars="200"/>
        <w:rPr>
          <w:rFonts w:ascii="Times New Roman" w:hAnsi="Times New Roman"/>
          <w:sz w:val="32"/>
          <w:szCs w:val="32"/>
        </w:rPr>
      </w:pPr>
      <w:r>
        <w:rPr>
          <w:rFonts w:hint="eastAsia" w:ascii="Times New Roman" w:hAnsi="Times New Roman"/>
          <w:sz w:val="32"/>
          <w:szCs w:val="32"/>
        </w:rPr>
        <w:t>2025</w:t>
      </w:r>
      <w:r>
        <w:rPr>
          <w:rFonts w:ascii="Times New Roman" w:hAnsi="Times New Roman"/>
          <w:sz w:val="32"/>
          <w:szCs w:val="32"/>
        </w:rPr>
        <w:t>年</w:t>
      </w:r>
      <w:r>
        <w:rPr>
          <w:rFonts w:hint="eastAsia" w:ascii="Times New Roman" w:hAnsi="Times New Roman"/>
          <w:sz w:val="32"/>
          <w:szCs w:val="32"/>
        </w:rPr>
        <w:t>3</w:t>
      </w:r>
      <w:r>
        <w:rPr>
          <w:rFonts w:ascii="Times New Roman" w:hAnsi="Times New Roman"/>
          <w:sz w:val="32"/>
          <w:szCs w:val="32"/>
        </w:rPr>
        <w:t>月底</w:t>
      </w:r>
      <w:r>
        <w:rPr>
          <w:rFonts w:hint="eastAsia" w:ascii="Times New Roman" w:hAnsi="Times New Roman"/>
          <w:sz w:val="32"/>
          <w:szCs w:val="32"/>
        </w:rPr>
        <w:t>完成第一季度小额信贷贴息资金的发放工作。</w:t>
      </w:r>
    </w:p>
    <w:p w14:paraId="7C8CFA24">
      <w:pPr>
        <w:pStyle w:val="13"/>
        <w:keepLines w:val="0"/>
        <w:pageBreakBefore w:val="0"/>
        <w:widowControl w:val="0"/>
        <w:kinsoku/>
        <w:wordWrap/>
        <w:topLinePunct w:val="0"/>
        <w:bidi w:val="0"/>
        <w:adjustRightInd/>
        <w:snapToGrid/>
        <w:spacing w:line="560" w:lineRule="exact"/>
        <w:ind w:firstLine="640" w:firstLineChars="200"/>
        <w:rPr>
          <w:rFonts w:ascii="Times New Roman" w:hAnsi="Times New Roman"/>
          <w:sz w:val="32"/>
          <w:szCs w:val="32"/>
        </w:rPr>
      </w:pPr>
      <w:r>
        <w:rPr>
          <w:rFonts w:hint="eastAsia" w:ascii="Times New Roman" w:hAnsi="Times New Roman"/>
          <w:sz w:val="32"/>
          <w:szCs w:val="32"/>
        </w:rPr>
        <w:t>2025</w:t>
      </w:r>
      <w:r>
        <w:rPr>
          <w:rFonts w:ascii="Times New Roman" w:hAnsi="Times New Roman"/>
          <w:sz w:val="32"/>
          <w:szCs w:val="32"/>
        </w:rPr>
        <w:t>年</w:t>
      </w:r>
      <w:r>
        <w:rPr>
          <w:rFonts w:hint="eastAsia" w:ascii="Times New Roman" w:hAnsi="Times New Roman"/>
          <w:sz w:val="32"/>
          <w:szCs w:val="32"/>
        </w:rPr>
        <w:t>6</w:t>
      </w:r>
      <w:r>
        <w:rPr>
          <w:rFonts w:ascii="Times New Roman" w:hAnsi="Times New Roman"/>
          <w:sz w:val="32"/>
          <w:szCs w:val="32"/>
        </w:rPr>
        <w:t>月底</w:t>
      </w:r>
      <w:r>
        <w:rPr>
          <w:rFonts w:hint="eastAsia" w:ascii="Times New Roman" w:hAnsi="Times New Roman"/>
          <w:sz w:val="32"/>
          <w:szCs w:val="32"/>
        </w:rPr>
        <w:t>完成第二季度小额信贷贴息资金的发放工作。</w:t>
      </w:r>
    </w:p>
    <w:p w14:paraId="47652081">
      <w:pPr>
        <w:pStyle w:val="13"/>
        <w:keepLines w:val="0"/>
        <w:pageBreakBefore w:val="0"/>
        <w:widowControl w:val="0"/>
        <w:kinsoku/>
        <w:wordWrap/>
        <w:topLinePunct w:val="0"/>
        <w:bidi w:val="0"/>
        <w:adjustRightInd/>
        <w:snapToGrid/>
        <w:spacing w:line="560" w:lineRule="exact"/>
        <w:ind w:firstLine="640" w:firstLineChars="200"/>
        <w:rPr>
          <w:rFonts w:ascii="Times New Roman" w:hAnsi="Times New Roman"/>
          <w:sz w:val="32"/>
          <w:szCs w:val="32"/>
        </w:rPr>
      </w:pPr>
      <w:r>
        <w:rPr>
          <w:rFonts w:hint="eastAsia" w:ascii="Times New Roman" w:hAnsi="Times New Roman"/>
          <w:sz w:val="32"/>
          <w:szCs w:val="32"/>
        </w:rPr>
        <w:t>2025</w:t>
      </w:r>
      <w:r>
        <w:rPr>
          <w:rFonts w:ascii="Times New Roman" w:hAnsi="Times New Roman"/>
          <w:sz w:val="32"/>
          <w:szCs w:val="32"/>
        </w:rPr>
        <w:t>年</w:t>
      </w:r>
      <w:r>
        <w:rPr>
          <w:rFonts w:hint="eastAsia" w:ascii="Times New Roman" w:hAnsi="Times New Roman"/>
          <w:sz w:val="32"/>
          <w:szCs w:val="32"/>
        </w:rPr>
        <w:t>9</w:t>
      </w:r>
      <w:r>
        <w:rPr>
          <w:rFonts w:ascii="Times New Roman" w:hAnsi="Times New Roman"/>
          <w:sz w:val="32"/>
          <w:szCs w:val="32"/>
        </w:rPr>
        <w:t>月底</w:t>
      </w:r>
      <w:r>
        <w:rPr>
          <w:rFonts w:hint="eastAsia" w:ascii="Times New Roman" w:hAnsi="Times New Roman"/>
          <w:sz w:val="32"/>
          <w:szCs w:val="32"/>
        </w:rPr>
        <w:t>完成第三季度小额信贷贴息资金的发放工作。</w:t>
      </w:r>
    </w:p>
    <w:p w14:paraId="333A46E5">
      <w:pPr>
        <w:keepLines w:val="0"/>
        <w:pageBreakBefore w:val="0"/>
        <w:widowControl w:val="0"/>
        <w:kinsoku/>
        <w:wordWrap/>
        <w:topLinePunct w:val="0"/>
        <w:bidi w:val="0"/>
        <w:adjustRightInd/>
        <w:snapToGrid/>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五、项目组织实施能力与内控管理措施</w:t>
      </w:r>
    </w:p>
    <w:p w14:paraId="5DBE88FF">
      <w:pPr>
        <w:keepLines w:val="0"/>
        <w:pageBreakBefore w:val="0"/>
        <w:widowControl w:val="0"/>
        <w:kinsoku/>
        <w:wordWrap/>
        <w:topLinePunct w:val="0"/>
        <w:autoSpaceDE w:val="0"/>
        <w:bidi w:val="0"/>
        <w:adjustRightInd/>
        <w:snapToGrid/>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1、组织领导机构及职责分工</w:t>
      </w:r>
    </w:p>
    <w:p w14:paraId="719A7540">
      <w:pPr>
        <w:keepLines w:val="0"/>
        <w:pageBreakBefore w:val="0"/>
        <w:widowControl w:val="0"/>
        <w:kinsoku/>
        <w:wordWrap/>
        <w:topLinePunct w:val="0"/>
        <w:bidi w:val="0"/>
        <w:adjustRightInd/>
        <w:snapToGrid/>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一是</w:t>
      </w:r>
      <w:r>
        <w:rPr>
          <w:rFonts w:hint="eastAsia" w:ascii="仿宋_GB2312" w:hAnsi="仿宋_GB2312" w:eastAsia="仿宋_GB2312" w:cs="仿宋_GB2312"/>
          <w:sz w:val="32"/>
          <w:szCs w:val="32"/>
        </w:rPr>
        <w:t>成立以县乡村振兴局、县农村信用合作联社、财政局等相关单位负责人为成员的领导小组，负责项目的领导、协调、实施、督促、指导等工作，为项目建设提供组织保障。</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托克逊县乡村振兴局、纪检委、财政局等单位为项目实施的监督单位。负责项目实施</w:t>
      </w:r>
      <w:r>
        <w:rPr>
          <w:rFonts w:hint="eastAsia" w:ascii="仿宋_GB2312" w:hAnsi="仿宋_GB2312" w:eastAsia="仿宋_GB2312" w:cs="仿宋_GB2312"/>
          <w:sz w:val="32"/>
          <w:szCs w:val="32"/>
          <w:lang w:eastAsia="zh-CN"/>
        </w:rPr>
        <w:t>全过程</w:t>
      </w:r>
      <w:r>
        <w:rPr>
          <w:rFonts w:hint="eastAsia" w:ascii="仿宋_GB2312" w:hAnsi="仿宋_GB2312" w:eastAsia="仿宋_GB2312" w:cs="仿宋_GB2312"/>
          <w:sz w:val="32"/>
          <w:szCs w:val="32"/>
        </w:rPr>
        <w:t>的监督、检查，资金审批及管理。三是县农村信用合作联社为项目实施主体。县农村信用合作联社和各乡镇人民政府分别成立项目实施领导小组，明确1名领导专抓此项工作，主要负责宣传发动、组织实施和协助乡镇并进行指导，帮助落实任务；负责组织开展、项目档案的归档等工作。</w:t>
      </w:r>
    </w:p>
    <w:p w14:paraId="4D91178D">
      <w:pPr>
        <w:keepLines w:val="0"/>
        <w:pageBreakBefore w:val="0"/>
        <w:widowControl w:val="0"/>
        <w:kinsoku/>
        <w:wordWrap/>
        <w:topLinePunct w:val="0"/>
        <w:autoSpaceDE w:val="0"/>
        <w:bidi w:val="0"/>
        <w:adjustRightInd/>
        <w:snapToGrid/>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2、项目实施与监督检查</w:t>
      </w:r>
    </w:p>
    <w:p w14:paraId="52416D70">
      <w:pPr>
        <w:keepLines w:val="0"/>
        <w:pageBreakBefore w:val="0"/>
        <w:widowControl w:val="0"/>
        <w:kinsoku/>
        <w:wordWrap/>
        <w:topLinePunct w:val="0"/>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新疆维吾尔自治区衔接推进乡村振兴补助资金管理办法》文件精神，县委农村工作领导小组暨乡村振兴领导小组是衔接推进乡村振兴补助资金和项目管理的第一责任主体，组长是第一责任人，全面负责衔接推进乡村振兴补助资金和项目管理、绩效评价、监督检查等各项工作。为保质保量按时完成该项目，需实行目标管理责任制，明确领导小组各成员的职责，全面推行项目建设责任制、项目法人责任制，建立健全衔接推进乡村振兴贴息资金发放公告公示、定期巡查、绩效考核、结果反馈等检查机制，对项目实施过程和资金发放进行全程监督，保障衔接推进乡村振兴补助资金安全有效。</w:t>
      </w:r>
    </w:p>
    <w:p w14:paraId="33104D23">
      <w:pPr>
        <w:keepLines w:val="0"/>
        <w:pageBreakBefore w:val="0"/>
        <w:widowControl w:val="0"/>
        <w:kinsoku/>
        <w:wordWrap/>
        <w:topLinePunct w:val="0"/>
        <w:autoSpaceDE w:val="0"/>
        <w:bidi w:val="0"/>
        <w:adjustRightInd/>
        <w:snapToGrid/>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3、资金使用管理</w:t>
      </w:r>
    </w:p>
    <w:p w14:paraId="136BFD54">
      <w:pPr>
        <w:keepLines w:val="0"/>
        <w:pageBreakBefore w:val="0"/>
        <w:widowControl w:val="0"/>
        <w:kinsoku/>
        <w:wordWrap/>
        <w:topLinePunct w:val="0"/>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关于批复实施2024年中央财政衔接推进乡村振兴补助资金项目的通知》（托党农领发〔2023〕5号）、《关于批复实施2024年自治区财政衔接推进乡村振兴补助资金项目的通知》（托党农领发〔2023〕6号）文件要求，为进一步加强资金管理和使用，依据项目计划和实施进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在审计或检查中发现资金使用存在违法违规问题的，应及时追回、收回。对资金使用严格监管，防止资金使用不精准、虚报冒领。</w:t>
      </w:r>
    </w:p>
    <w:p w14:paraId="30E2292D">
      <w:pPr>
        <w:keepLines w:val="0"/>
        <w:pageBreakBefore w:val="0"/>
        <w:widowControl w:val="0"/>
        <w:kinsoku/>
        <w:wordWrap/>
        <w:topLinePunct w:val="0"/>
        <w:autoSpaceDE w:val="0"/>
        <w:bidi w:val="0"/>
        <w:adjustRightInd/>
        <w:snapToGrid/>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4、项目验收管理</w:t>
      </w:r>
    </w:p>
    <w:p w14:paraId="6F527CE2">
      <w:pPr>
        <w:keepLines w:val="0"/>
        <w:pageBreakBefore w:val="0"/>
        <w:widowControl w:val="0"/>
        <w:kinsoku/>
        <w:wordWrap/>
        <w:topLinePunct w:val="0"/>
        <w:bidi w:val="0"/>
        <w:adjustRightInd/>
        <w:snapToGrid/>
        <w:spacing w:line="560" w:lineRule="exact"/>
        <w:ind w:firstLine="640" w:firstLineChars="200"/>
        <w:rPr>
          <w:rFonts w:ascii="Times New Roman" w:hAnsi="Times New Roman" w:eastAsia="仿宋_GB2312"/>
          <w:b/>
          <w:bCs/>
          <w:sz w:val="32"/>
          <w:szCs w:val="32"/>
        </w:rPr>
      </w:pPr>
      <w:r>
        <w:rPr>
          <w:rFonts w:ascii="Times New Roman" w:hAnsi="Times New Roman" w:eastAsia="仿宋_GB2312"/>
          <w:sz w:val="32"/>
          <w:szCs w:val="32"/>
        </w:rPr>
        <w:t>根据</w:t>
      </w:r>
      <w:r>
        <w:rPr>
          <w:rFonts w:ascii="Times New Roman" w:hAnsi="Times New Roman" w:eastAsia="仿宋_GB2312"/>
          <w:spacing w:val="-6"/>
          <w:sz w:val="32"/>
          <w:szCs w:val="32"/>
        </w:rPr>
        <w:t>《新疆维吾尔自治区财政衔接推进乡村振兴补助资金（巩固拓展脱贫攻坚成果和乡村振兴任务）项目管理办法（暂行）的通知》（新乡振〔2021〕32号）</w:t>
      </w:r>
      <w:r>
        <w:rPr>
          <w:rFonts w:hint="eastAsia" w:ascii="Times New Roman" w:hAnsi="Times New Roman" w:eastAsia="仿宋_GB2312"/>
          <w:spacing w:val="-6"/>
          <w:sz w:val="32"/>
          <w:szCs w:val="32"/>
        </w:rPr>
        <w:t>要求，</w:t>
      </w:r>
      <w:r>
        <w:rPr>
          <w:rFonts w:ascii="Times New Roman" w:hAnsi="Times New Roman" w:eastAsia="仿宋_GB2312"/>
          <w:sz w:val="32"/>
          <w:szCs w:val="32"/>
        </w:rPr>
        <w:t>坚持项目验收制度，遵照属地管理、“谁审批、谁验收”的原则</w:t>
      </w:r>
      <w:r>
        <w:rPr>
          <w:rFonts w:hint="eastAsia" w:ascii="Times New Roman" w:hAnsi="Times New Roman" w:eastAsia="仿宋_GB2312"/>
          <w:sz w:val="32"/>
          <w:szCs w:val="32"/>
        </w:rPr>
        <w:t>，</w:t>
      </w:r>
      <w:r>
        <w:rPr>
          <w:rFonts w:ascii="Times New Roman" w:hAnsi="Times New Roman" w:eastAsia="仿宋_GB2312"/>
          <w:sz w:val="32"/>
          <w:szCs w:val="32"/>
        </w:rPr>
        <w:t>按照村、乡、县开展验收工作</w:t>
      </w:r>
      <w:r>
        <w:rPr>
          <w:rFonts w:hint="eastAsia" w:ascii="Times New Roman" w:hAnsi="Times New Roman" w:eastAsia="仿宋_GB2312"/>
          <w:sz w:val="32"/>
          <w:szCs w:val="32"/>
        </w:rPr>
        <w:t>，确保项目验收符合程序。</w:t>
      </w:r>
    </w:p>
    <w:p w14:paraId="4A8DECA0">
      <w:pPr>
        <w:keepLines w:val="0"/>
        <w:pageBreakBefore w:val="0"/>
        <w:widowControl w:val="0"/>
        <w:kinsoku/>
        <w:wordWrap/>
        <w:topLinePunct w:val="0"/>
        <w:autoSpaceDE w:val="0"/>
        <w:bidi w:val="0"/>
        <w:adjustRightInd/>
        <w:snapToGrid/>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5、项目公告公示</w:t>
      </w:r>
    </w:p>
    <w:p w14:paraId="41BBA026">
      <w:pPr>
        <w:keepLines w:val="0"/>
        <w:pageBreakBefore w:val="0"/>
        <w:widowControl w:val="0"/>
        <w:kinsoku/>
        <w:wordWrap/>
        <w:topLinePunct w:val="0"/>
        <w:autoSpaceDE w:val="0"/>
        <w:bidi w:val="0"/>
        <w:adjustRightInd/>
        <w:snapToGrid/>
        <w:spacing w:line="560" w:lineRule="exact"/>
        <w:ind w:firstLine="640" w:firstLineChars="200"/>
        <w:rPr>
          <w:rFonts w:hint="eastAsia" w:ascii="仿宋_GB2312" w:hAnsi="仿宋_GB2312" w:eastAsia="仿宋_GB2312" w:cs="仿宋_GB2312"/>
          <w:b/>
          <w:bCs/>
          <w:color w:val="000000"/>
          <w:kern w:val="0"/>
          <w:sz w:val="32"/>
          <w:szCs w:val="32"/>
        </w:rPr>
      </w:pPr>
      <w:r>
        <w:rPr>
          <w:rFonts w:ascii="Times New Roman" w:hAnsi="Times New Roman" w:eastAsia="仿宋_GB2312"/>
          <w:color w:val="000000"/>
          <w:sz w:val="32"/>
          <w:szCs w:val="32"/>
        </w:rPr>
        <w:t>项目实施县级通过政府网站对项目内容、受益情况等进行公告公示，镇、村两级通过</w:t>
      </w:r>
      <w:r>
        <w:rPr>
          <w:rFonts w:hint="eastAsia" w:ascii="Times New Roman" w:hAnsi="Times New Roman" w:eastAsia="仿宋_GB2312"/>
          <w:color w:val="000000"/>
          <w:sz w:val="32"/>
          <w:szCs w:val="32"/>
          <w:lang w:eastAsia="zh-CN"/>
        </w:rPr>
        <w:t>公示栏</w:t>
      </w:r>
      <w:r>
        <w:rPr>
          <w:rFonts w:ascii="Times New Roman" w:hAnsi="Times New Roman" w:eastAsia="仿宋_GB2312"/>
          <w:color w:val="000000"/>
          <w:sz w:val="32"/>
          <w:szCs w:val="32"/>
        </w:rPr>
        <w:t>等形式对项目事前、事中、事后全过程进行公告公示。</w:t>
      </w:r>
    </w:p>
    <w:p w14:paraId="55FBAC78">
      <w:pPr>
        <w:keepLines w:val="0"/>
        <w:pageBreakBefore w:val="0"/>
        <w:widowControl w:val="0"/>
        <w:kinsoku/>
        <w:wordWrap/>
        <w:topLinePunct w:val="0"/>
        <w:autoSpaceDE w:val="0"/>
        <w:bidi w:val="0"/>
        <w:adjustRightInd/>
        <w:snapToGrid/>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6、项目后期管护管理</w:t>
      </w:r>
    </w:p>
    <w:p w14:paraId="33144931">
      <w:pPr>
        <w:keepLines w:val="0"/>
        <w:pageBreakBefore w:val="0"/>
        <w:widowControl w:val="0"/>
        <w:kinsoku/>
        <w:wordWrap/>
        <w:topLinePunct w:val="0"/>
        <w:autoSpaceDE w:val="0"/>
        <w:bidi w:val="0"/>
        <w:adjustRightInd/>
        <w:snapToGrid/>
        <w:spacing w:line="560" w:lineRule="exact"/>
        <w:ind w:firstLine="643" w:firstLineChars="200"/>
        <w:rPr>
          <w:rFonts w:hint="eastAsia" w:ascii="楷体_GB2312" w:hAnsi="楷体_GB2312" w:eastAsia="楷体_GB2312" w:cs="楷体_GB2312"/>
          <w:b/>
          <w:bCs/>
          <w:sz w:val="32"/>
          <w:szCs w:val="32"/>
        </w:rPr>
      </w:pPr>
      <w:r>
        <w:rPr>
          <w:rFonts w:hint="eastAsia" w:ascii="仿宋_GB2312" w:hAnsi="仿宋_GB2312" w:eastAsia="仿宋_GB2312" w:cs="仿宋_GB2312"/>
          <w:b/>
          <w:bCs/>
          <w:color w:val="000000"/>
          <w:kern w:val="0"/>
          <w:sz w:val="32"/>
          <w:szCs w:val="32"/>
        </w:rPr>
        <w:t>一是</w:t>
      </w:r>
      <w:r>
        <w:rPr>
          <w:rFonts w:hint="eastAsia" w:ascii="仿宋_GB2312" w:hAnsi="仿宋_GB2312" w:eastAsia="仿宋_GB2312" w:cs="仿宋_GB2312"/>
          <w:color w:val="000000"/>
          <w:sz w:val="32"/>
          <w:szCs w:val="32"/>
        </w:rPr>
        <w:t>加强组织领导。各乡镇要把抓好扶贫小额信贷贴息补助工作，作为贯彻落实第三次中央新疆工作座谈会精神、推进</w:t>
      </w:r>
      <w:r>
        <w:rPr>
          <w:rFonts w:hint="eastAsia" w:ascii="仿宋_GB2312" w:hAnsi="仿宋_GB2312" w:eastAsia="仿宋_GB2312" w:cs="仿宋_GB2312"/>
          <w:color w:val="000000"/>
          <w:sz w:val="32"/>
          <w:szCs w:val="32"/>
          <w:lang w:eastAsia="zh-CN"/>
        </w:rPr>
        <w:t>巩固拓展脱贫攻坚成果</w:t>
      </w:r>
      <w:r>
        <w:rPr>
          <w:rFonts w:hint="eastAsia" w:ascii="仿宋_GB2312" w:hAnsi="仿宋_GB2312" w:eastAsia="仿宋_GB2312" w:cs="仿宋_GB2312"/>
          <w:color w:val="000000"/>
          <w:sz w:val="32"/>
          <w:szCs w:val="32"/>
        </w:rPr>
        <w:t>同</w:t>
      </w:r>
      <w:r>
        <w:rPr>
          <w:rFonts w:hint="eastAsia" w:ascii="仿宋_GB2312" w:hAnsi="仿宋_GB2312" w:eastAsia="仿宋_GB2312" w:cs="仿宋_GB2312"/>
          <w:color w:val="000000"/>
          <w:sz w:val="32"/>
          <w:szCs w:val="32"/>
          <w:lang w:eastAsia="zh-CN"/>
        </w:rPr>
        <w:t>乡村振兴有效衔接</w:t>
      </w:r>
      <w:r>
        <w:rPr>
          <w:rFonts w:hint="eastAsia" w:ascii="仿宋_GB2312" w:hAnsi="仿宋_GB2312" w:eastAsia="仿宋_GB2312" w:cs="仿宋_GB2312"/>
          <w:color w:val="000000"/>
          <w:sz w:val="32"/>
          <w:szCs w:val="32"/>
        </w:rPr>
        <w:t>的重要举措，加强组织领导，强化部门配合，层层压实责任，以强烈的责任感、使命感狠抓政策落实，巩固拓展脱贫人口就业成果。</w:t>
      </w:r>
      <w:r>
        <w:rPr>
          <w:rFonts w:hint="eastAsia" w:ascii="仿宋_GB2312" w:hAnsi="仿宋_GB2312" w:eastAsia="仿宋_GB2312" w:cs="仿宋_GB2312"/>
          <w:b/>
          <w:bCs/>
          <w:color w:val="000000"/>
          <w:sz w:val="32"/>
          <w:szCs w:val="32"/>
        </w:rPr>
        <w:t>二是</w:t>
      </w:r>
      <w:r>
        <w:rPr>
          <w:rFonts w:hint="eastAsia" w:ascii="仿宋_GB2312" w:hAnsi="仿宋_GB2312" w:eastAsia="仿宋_GB2312" w:cs="仿宋_GB2312"/>
          <w:color w:val="000000"/>
          <w:sz w:val="32"/>
          <w:szCs w:val="32"/>
        </w:rPr>
        <w:t>加强政策宣传。各乡镇要广泛采取广播、电视等新闻媒体广泛宣传，驻村工作队和结对帮扶干部上门宣讲，电话、微信“点对点”告知等多种方式，做好扶贫小额信贷贴息补助政策宣传讲解工作，确保做到全覆盖、无死角、无遗漏，让符合条件的</w:t>
      </w:r>
      <w:r>
        <w:rPr>
          <w:rFonts w:hint="eastAsia" w:ascii="仿宋_GB2312" w:hAnsi="仿宋_GB2312" w:eastAsia="仿宋_GB2312" w:cs="仿宋_GB2312"/>
          <w:color w:val="000000"/>
          <w:sz w:val="32"/>
          <w:szCs w:val="32"/>
          <w:lang w:eastAsia="zh-CN"/>
        </w:rPr>
        <w:t>脱</w:t>
      </w:r>
      <w:r>
        <w:rPr>
          <w:rFonts w:hint="eastAsia" w:ascii="仿宋_GB2312" w:hAnsi="仿宋_GB2312" w:eastAsia="仿宋_GB2312" w:cs="仿宋_GB2312"/>
          <w:color w:val="000000"/>
          <w:sz w:val="32"/>
          <w:szCs w:val="32"/>
        </w:rPr>
        <w:t>贫户都能及时得到政策帮扶。</w:t>
      </w:r>
      <w:r>
        <w:rPr>
          <w:rFonts w:hint="eastAsia" w:ascii="仿宋_GB2312" w:hAnsi="仿宋_GB2312" w:eastAsia="仿宋_GB2312" w:cs="仿宋_GB2312"/>
          <w:b/>
          <w:bCs/>
          <w:color w:val="000000"/>
          <w:sz w:val="32"/>
          <w:szCs w:val="32"/>
        </w:rPr>
        <w:t>三是</w:t>
      </w:r>
      <w:r>
        <w:rPr>
          <w:rFonts w:hint="eastAsia" w:ascii="仿宋_GB2312" w:hAnsi="仿宋_GB2312" w:eastAsia="仿宋_GB2312" w:cs="仿宋_GB2312"/>
          <w:color w:val="000000"/>
          <w:sz w:val="32"/>
          <w:szCs w:val="32"/>
        </w:rPr>
        <w:t>加强监督管理。监督项目实施单位管理情况，通过设立监督举报电话、信箱、广泛接受群众和社会监督。</w:t>
      </w:r>
      <w:r>
        <w:rPr>
          <w:rFonts w:hint="eastAsia" w:ascii="仿宋_GB2312" w:hAnsi="仿宋_GB2312" w:eastAsia="仿宋_GB2312" w:cs="仿宋_GB2312"/>
          <w:b/>
          <w:bCs/>
          <w:color w:val="000000"/>
          <w:sz w:val="32"/>
          <w:szCs w:val="32"/>
        </w:rPr>
        <w:t>四是</w:t>
      </w:r>
      <w:r>
        <w:rPr>
          <w:rFonts w:hint="eastAsia" w:ascii="仿宋_GB2312" w:hAnsi="仿宋_GB2312" w:eastAsia="仿宋_GB2312" w:cs="仿宋_GB2312"/>
          <w:color w:val="000000"/>
          <w:sz w:val="32"/>
          <w:szCs w:val="32"/>
        </w:rPr>
        <w:t>全面跟踪项目运行管理和效益情况，定期开展项目后续管理评估。</w:t>
      </w:r>
    </w:p>
    <w:p w14:paraId="2C48AF39">
      <w:pPr>
        <w:keepLines w:val="0"/>
        <w:pageBreakBefore w:val="0"/>
        <w:widowControl w:val="0"/>
        <w:kinsoku/>
        <w:wordWrap/>
        <w:topLinePunct w:val="0"/>
        <w:bidi w:val="0"/>
        <w:adjustRightInd/>
        <w:snapToGrid/>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六、利益联结机制</w:t>
      </w:r>
    </w:p>
    <w:p w14:paraId="1CE41477">
      <w:pPr>
        <w:pStyle w:val="14"/>
        <w:keepLines w:val="0"/>
        <w:pageBreakBefore w:val="0"/>
        <w:widowControl w:val="0"/>
        <w:kinsoku/>
        <w:wordWrap/>
        <w:topLinePunct w:val="0"/>
        <w:bidi w:val="0"/>
        <w:adjustRightInd/>
        <w:snapToGrid/>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通过采取贴息补助，直接带动803户脱贫户及监测对象增收120万元左右，进一步鼓励脱贫人口、监测对象发展特色产业，激励脱贫人口及监测对象发展生产的积极性，提高家庭收入，</w:t>
      </w:r>
      <w:r>
        <w:rPr>
          <w:rFonts w:hint="eastAsia" w:ascii="仿宋_GB2312" w:hAnsi="仿宋_GB2312" w:eastAsia="仿宋_GB2312" w:cs="仿宋_GB2312"/>
          <w:color w:val="000000"/>
          <w:sz w:val="32"/>
          <w:szCs w:val="32"/>
          <w:lang w:eastAsia="zh-CN"/>
        </w:rPr>
        <w:t>提高生活质量</w:t>
      </w:r>
      <w:r>
        <w:rPr>
          <w:rFonts w:hint="eastAsia" w:ascii="仿宋_GB2312" w:hAnsi="仿宋_GB2312" w:eastAsia="仿宋_GB2312" w:cs="仿宋_GB2312"/>
          <w:color w:val="000000"/>
          <w:sz w:val="32"/>
          <w:szCs w:val="32"/>
        </w:rPr>
        <w:t>。小额信贷投入生产后的经营收入归脱贫户所有，用于改善生活、扩大再生产或偿还贷款，政府直接补贴贷款利息，降低其融资成本。</w:t>
      </w:r>
    </w:p>
    <w:p w14:paraId="74F1E8E0">
      <w:pPr>
        <w:keepLines w:val="0"/>
        <w:pageBreakBefore w:val="0"/>
        <w:widowControl w:val="0"/>
        <w:kinsoku/>
        <w:wordWrap/>
        <w:topLinePunct w:val="0"/>
        <w:bidi w:val="0"/>
        <w:adjustRightInd/>
        <w:snapToGrid/>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项目绩效目标及效益分析</w:t>
      </w:r>
    </w:p>
    <w:p w14:paraId="7F7FDCCC">
      <w:pPr>
        <w:pStyle w:val="14"/>
        <w:keepLines w:val="0"/>
        <w:pageBreakBefore w:val="0"/>
        <w:widowControl w:val="0"/>
        <w:kinsoku/>
        <w:wordWrap/>
        <w:topLinePunct w:val="0"/>
        <w:bidi w:val="0"/>
        <w:adjustRightInd/>
        <w:snapToGrid/>
        <w:spacing w:line="560" w:lineRule="exact"/>
        <w:ind w:firstLine="643" w:firstLineChars="200"/>
        <w:rPr>
          <w:rFonts w:ascii="Times New Roman" w:hAnsi="Times New Roman" w:eastAsia="仿宋_GB2312"/>
          <w:sz w:val="32"/>
          <w:szCs w:val="32"/>
        </w:rPr>
      </w:pPr>
      <w:r>
        <w:rPr>
          <w:rFonts w:hint="eastAsia" w:ascii="楷体_GB2312" w:hAnsi="楷体_GB2312" w:eastAsia="楷体_GB2312" w:cs="楷体_GB2312"/>
          <w:b/>
          <w:bCs/>
          <w:sz w:val="32"/>
          <w:szCs w:val="32"/>
        </w:rPr>
        <w:t>1、年度总体目标：</w:t>
      </w:r>
      <w:r>
        <w:rPr>
          <w:rFonts w:hint="eastAsia" w:ascii="仿宋_GB2312" w:hAnsi="仿宋_GB2312" w:eastAsia="仿宋_GB2312" w:cs="仿宋_GB2312"/>
          <w:color w:val="000000"/>
          <w:sz w:val="32"/>
          <w:szCs w:val="32"/>
        </w:rPr>
        <w:t>托克逊县农村信用合作社为了持续改善对总体弱势群体的金融服务，向脱贫人口提供小额信贷服务，此次小额信贷贴息涉及乡镇5个，脱贫户获得贷款金额不少于9000万元，小额信贷贴息利率执行LPR利率，贷款申请满足率达到95%，小额贷款还款率达到95%。</w:t>
      </w:r>
    </w:p>
    <w:p w14:paraId="16A2B3B1">
      <w:pPr>
        <w:pStyle w:val="14"/>
        <w:keepLines w:val="0"/>
        <w:pageBreakBefore w:val="0"/>
        <w:widowControl w:val="0"/>
        <w:kinsoku/>
        <w:wordWrap/>
        <w:topLinePunct w:val="0"/>
        <w:bidi w:val="0"/>
        <w:adjustRightInd/>
        <w:snapToGrid/>
        <w:spacing w:line="560" w:lineRule="exact"/>
        <w:ind w:firstLine="643" w:firstLineChars="200"/>
        <w:outlineLvl w:val="0"/>
        <w:rPr>
          <w:rFonts w:ascii="Times New Roman" w:hAnsi="Times New Roman" w:eastAsia="仿宋_GB2312"/>
          <w:sz w:val="32"/>
          <w:szCs w:val="32"/>
        </w:rPr>
      </w:pPr>
      <w:r>
        <w:rPr>
          <w:rFonts w:hint="eastAsia" w:ascii="楷体_GB2312" w:hAnsi="楷体_GB2312" w:eastAsia="楷体_GB2312" w:cs="楷体_GB2312"/>
          <w:b/>
          <w:bCs/>
          <w:sz w:val="32"/>
          <w:szCs w:val="32"/>
        </w:rPr>
        <w:t>2、社会效益</w:t>
      </w:r>
      <w:r>
        <w:rPr>
          <w:rFonts w:hint="eastAsia" w:ascii="楷体_GB2312" w:hAnsi="楷体_GB2312" w:eastAsia="楷体_GB2312" w:cs="楷体_GB2312"/>
          <w:b/>
          <w:bCs/>
          <w:sz w:val="32"/>
          <w:szCs w:val="32"/>
          <w:lang w:eastAsia="zh-CN"/>
        </w:rPr>
        <w:t>：</w:t>
      </w:r>
      <w:r>
        <w:rPr>
          <w:rFonts w:hint="eastAsia"/>
        </w:rPr>
        <w:t xml:space="preserve"> </w:t>
      </w:r>
      <w:r>
        <w:rPr>
          <w:rFonts w:hint="eastAsia" w:ascii="仿宋_GB2312" w:hAnsi="仿宋_GB2312" w:eastAsia="仿宋_GB2312" w:cs="仿宋_GB2312"/>
          <w:sz w:val="32"/>
          <w:szCs w:val="32"/>
        </w:rPr>
        <w:t>通过采取贴息补助，直接带动803户脱贫户及监测对象增收120万元左右，进一步鼓励脱贫人口、监测对象发展特色产业，激励脱贫人口及监测对象发展生产的积极性，提高家庭收入，</w:t>
      </w:r>
      <w:r>
        <w:rPr>
          <w:rFonts w:hint="eastAsia" w:ascii="仿宋_GB2312" w:hAnsi="仿宋_GB2312" w:eastAsia="仿宋_GB2312" w:cs="仿宋_GB2312"/>
          <w:sz w:val="32"/>
          <w:szCs w:val="32"/>
          <w:lang w:eastAsia="zh-CN"/>
        </w:rPr>
        <w:t>提高生活质量</w:t>
      </w:r>
      <w:r>
        <w:rPr>
          <w:rFonts w:hint="eastAsia" w:ascii="仿宋_GB2312" w:hAnsi="仿宋_GB2312" w:eastAsia="仿宋_GB2312" w:cs="仿宋_GB2312"/>
          <w:sz w:val="32"/>
          <w:szCs w:val="32"/>
        </w:rPr>
        <w:t>。</w:t>
      </w:r>
    </w:p>
    <w:p w14:paraId="7AD44EEF">
      <w:pPr>
        <w:pStyle w:val="13"/>
        <w:keepLines w:val="0"/>
        <w:pageBreakBefore w:val="0"/>
        <w:widowControl w:val="0"/>
        <w:kinsoku/>
        <w:wordWrap/>
        <w:overflowPunct w:val="0"/>
        <w:topLinePunct w:val="0"/>
        <w:autoSpaceDE w:val="0"/>
        <w:autoSpaceDN w:val="0"/>
        <w:bidi w:val="0"/>
        <w:adjustRightInd/>
        <w:snapToGrid/>
        <w:spacing w:line="560" w:lineRule="exact"/>
        <w:ind w:firstLine="643" w:firstLineChars="200"/>
        <w:rPr>
          <w:rFonts w:hint="eastAsia" w:ascii="仿宋_GB2312" w:hAnsi="仿宋_GB2312" w:cs="仿宋_GB2312"/>
          <w:sz w:val="32"/>
          <w:szCs w:val="32"/>
        </w:rPr>
      </w:pPr>
      <w:r>
        <w:rPr>
          <w:rFonts w:hint="eastAsia" w:ascii="楷体_GB2312" w:hAnsi="楷体_GB2312" w:eastAsia="楷体_GB2312" w:cs="楷体_GB2312"/>
          <w:b/>
          <w:bCs/>
          <w:sz w:val="32"/>
          <w:szCs w:val="32"/>
        </w:rPr>
        <w:t>3、</w:t>
      </w:r>
      <w:r>
        <w:rPr>
          <w:rFonts w:ascii="楷体_GB2312" w:hAnsi="楷体_GB2312" w:eastAsia="楷体_GB2312" w:cs="楷体_GB2312"/>
          <w:b/>
          <w:bCs/>
          <w:sz w:val="32"/>
          <w:szCs w:val="32"/>
        </w:rPr>
        <w:t>可持续性</w:t>
      </w:r>
      <w:r>
        <w:rPr>
          <w:rFonts w:hint="eastAsia" w:ascii="楷体_GB2312" w:hAnsi="楷体_GB2312" w:eastAsia="楷体_GB2312" w:cs="楷体_GB2312"/>
          <w:b/>
          <w:bCs/>
          <w:sz w:val="32"/>
          <w:szCs w:val="32"/>
        </w:rPr>
        <w:t>影响</w:t>
      </w:r>
      <w:r>
        <w:rPr>
          <w:rFonts w:hint="eastAsia" w:ascii="楷体_GB2312" w:hAnsi="楷体_GB2312" w:eastAsia="楷体_GB2312" w:cs="楷体_GB2312"/>
          <w:b/>
          <w:bCs/>
          <w:sz w:val="32"/>
          <w:szCs w:val="32"/>
          <w:lang w:eastAsia="zh-CN"/>
        </w:rPr>
        <w:t>：</w:t>
      </w:r>
      <w:r>
        <w:rPr>
          <w:rFonts w:ascii="Times New Roman" w:hAnsi="Times New Roman"/>
          <w:sz w:val="32"/>
          <w:szCs w:val="32"/>
        </w:rPr>
        <w:t>项目实施</w:t>
      </w:r>
      <w:r>
        <w:rPr>
          <w:rFonts w:hint="eastAsia" w:ascii="仿宋_GB2312" w:hAnsi="仿宋_GB2312" w:cs="仿宋_GB2312"/>
          <w:sz w:val="32"/>
          <w:szCs w:val="32"/>
        </w:rPr>
        <w:t>可以鼓励脱贫户发展特色产业，逐步引导脱贫户、监测户发展生产，提高收入，</w:t>
      </w:r>
      <w:r>
        <w:rPr>
          <w:rFonts w:hint="eastAsia" w:ascii="仿宋_GB2312" w:hAnsi="仿宋_GB2312" w:cs="仿宋_GB2312"/>
          <w:sz w:val="32"/>
          <w:szCs w:val="32"/>
          <w:lang w:eastAsia="zh-CN"/>
        </w:rPr>
        <w:t>提高生活质量</w:t>
      </w:r>
      <w:r>
        <w:rPr>
          <w:rFonts w:hint="eastAsia" w:ascii="仿宋_GB2312" w:hAnsi="仿宋_GB2312" w:cs="仿宋_GB2312"/>
          <w:sz w:val="32"/>
          <w:szCs w:val="32"/>
        </w:rPr>
        <w:t>。</w:t>
      </w:r>
    </w:p>
    <w:p w14:paraId="3DE52B86">
      <w:pPr>
        <w:pStyle w:val="13"/>
        <w:keepLines w:val="0"/>
        <w:pageBreakBefore w:val="0"/>
        <w:widowControl w:val="0"/>
        <w:kinsoku/>
        <w:wordWrap/>
        <w:overflowPunct w:val="0"/>
        <w:topLinePunct w:val="0"/>
        <w:autoSpaceDE w:val="0"/>
        <w:autoSpaceDN w:val="0"/>
        <w:bidi w:val="0"/>
        <w:adjustRightInd/>
        <w:snapToGrid/>
        <w:spacing w:line="560" w:lineRule="exact"/>
        <w:ind w:firstLine="643" w:firstLineChars="200"/>
        <w:rPr>
          <w:rFonts w:ascii="Times New Roman" w:hAnsi="Times New Roman"/>
          <w:sz w:val="32"/>
          <w:szCs w:val="32"/>
        </w:rPr>
      </w:pPr>
      <w:r>
        <w:rPr>
          <w:rFonts w:hint="eastAsia" w:ascii="楷体_GB2312" w:hAnsi="楷体_GB2312" w:eastAsia="楷体_GB2312" w:cs="楷体_GB2312"/>
          <w:b/>
          <w:bCs/>
          <w:sz w:val="32"/>
          <w:szCs w:val="32"/>
        </w:rPr>
        <w:t>4、服务对象满意度</w:t>
      </w:r>
      <w:r>
        <w:rPr>
          <w:rFonts w:hint="eastAsia" w:ascii="楷体_GB2312" w:hAnsi="楷体_GB2312" w:eastAsia="楷体_GB2312" w:cs="楷体_GB2312"/>
          <w:b/>
          <w:bCs/>
          <w:sz w:val="32"/>
          <w:szCs w:val="32"/>
          <w:lang w:eastAsia="zh-CN"/>
        </w:rPr>
        <w:t>：</w:t>
      </w:r>
      <w:r>
        <w:rPr>
          <w:rFonts w:hint="eastAsia" w:ascii="仿宋_GB2312" w:hAnsi="仿宋_GB2312" w:cs="仿宋_GB2312"/>
          <w:sz w:val="32"/>
          <w:szCs w:val="32"/>
        </w:rPr>
        <w:t>对脱贫户进行小额信贷贴息补贴，不断提升群众的获得感、幸福感、满意度；受益脱贫户满意度可达到95%及以上。</w:t>
      </w:r>
    </w:p>
    <w:p w14:paraId="1BC38188">
      <w:pPr>
        <w:keepLines w:val="0"/>
        <w:pageBreakBefore w:val="0"/>
        <w:widowControl w:val="0"/>
        <w:kinsoku/>
        <w:wordWrap/>
        <w:topLinePunct w:val="0"/>
        <w:bidi w:val="0"/>
        <w:adjustRightInd/>
        <w:snapToGrid/>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八</w:t>
      </w:r>
      <w:r>
        <w:rPr>
          <w:rFonts w:ascii="Times New Roman" w:hAnsi="Times New Roman" w:eastAsia="黑体"/>
          <w:sz w:val="32"/>
          <w:szCs w:val="32"/>
        </w:rPr>
        <w:t>、风险分析</w:t>
      </w:r>
    </w:p>
    <w:p w14:paraId="364D0DAE">
      <w:pPr>
        <w:pStyle w:val="14"/>
        <w:keepLines w:val="0"/>
        <w:pageBreakBefore w:val="0"/>
        <w:widowControl w:val="0"/>
        <w:kinsoku/>
        <w:wordWrap/>
        <w:topLinePunct w:val="0"/>
        <w:bidi w:val="0"/>
        <w:adjustRightInd/>
        <w:snapToGrid/>
        <w:spacing w:line="560" w:lineRule="exact"/>
        <w:ind w:firstLine="643" w:firstLineChars="200"/>
        <w:rPr>
          <w:rFonts w:ascii="Times New Roman" w:hAnsi="Times New Roman" w:eastAsia="仿宋_GB2312"/>
          <w:sz w:val="32"/>
          <w:szCs w:val="32"/>
        </w:rPr>
      </w:pPr>
      <w:r>
        <w:rPr>
          <w:rFonts w:hint="eastAsia" w:ascii="楷体_GB2312" w:hAnsi="楷体_GB2312" w:eastAsia="楷体_GB2312" w:cs="楷体_GB2312"/>
          <w:b/>
          <w:bCs/>
          <w:sz w:val="32"/>
          <w:szCs w:val="32"/>
        </w:rPr>
        <w:t>1、风险因素。</w:t>
      </w:r>
      <w:r>
        <w:rPr>
          <w:rFonts w:hint="eastAsia" w:ascii="仿宋_GB2312" w:hAnsi="仿宋_GB2312" w:eastAsia="仿宋_GB2312" w:cs="仿宋_GB2312"/>
          <w:sz w:val="32"/>
          <w:szCs w:val="32"/>
        </w:rPr>
        <w:t>一是立足实际工作，认真梳理岗位职责，查找岗位廉政风险点，将就业专项资金经办、管理、监督等风险等级较高的岗位制定风险防范措施，并开展廉政教育，从思想上筑牢抵御腐败的道德防线。二是严格执行各项资金管理制度，规范操作流程，确保资金运行安全。从资金拨付管理、使用监督、拨付公示、跟踪、反馈等方面对资金进行管理。</w:t>
      </w:r>
    </w:p>
    <w:p w14:paraId="787BC6C1">
      <w:pPr>
        <w:keepLines w:val="0"/>
        <w:pageBreakBefore w:val="0"/>
        <w:widowControl w:val="0"/>
        <w:kinsoku/>
        <w:wordWrap/>
        <w:topLinePunct w:val="0"/>
        <w:autoSpaceDE w:val="0"/>
        <w:bidi w:val="0"/>
        <w:adjustRightInd/>
        <w:snapToGrid/>
        <w:spacing w:line="560" w:lineRule="exact"/>
        <w:ind w:firstLine="643" w:firstLineChars="200"/>
        <w:textAlignment w:val="baseline"/>
      </w:pPr>
      <w:r>
        <w:rPr>
          <w:rFonts w:hint="eastAsia" w:ascii="楷体_GB2312" w:hAnsi="楷体_GB2312" w:eastAsia="楷体_GB2312" w:cs="楷体_GB2312"/>
          <w:b/>
          <w:bCs/>
          <w:sz w:val="32"/>
          <w:szCs w:val="32"/>
        </w:rPr>
        <w:t>2、</w:t>
      </w:r>
      <w:r>
        <w:rPr>
          <w:rFonts w:ascii="楷体_GB2312" w:hAnsi="楷体_GB2312" w:eastAsia="楷体_GB2312" w:cs="楷体_GB2312"/>
          <w:b/>
          <w:bCs/>
          <w:sz w:val="32"/>
          <w:szCs w:val="32"/>
        </w:rPr>
        <w:t>防范措施</w:t>
      </w:r>
      <w:r>
        <w:rPr>
          <w:rFonts w:hint="eastAsia" w:ascii="楷体_GB2312" w:hAnsi="楷体_GB2312" w:eastAsia="楷体_GB2312" w:cs="楷体_GB2312"/>
          <w:b/>
          <w:bCs/>
          <w:sz w:val="32"/>
          <w:szCs w:val="32"/>
        </w:rPr>
        <w:t>。</w:t>
      </w:r>
      <w:r>
        <w:rPr>
          <w:rFonts w:hint="eastAsia" w:ascii="仿宋_GB2312" w:hAnsi="仿宋_GB2312" w:eastAsia="仿宋_GB2312" w:cs="仿宋_GB2312"/>
          <w:kern w:val="0"/>
          <w:sz w:val="32"/>
          <w:szCs w:val="32"/>
        </w:rPr>
        <w:t>通过与财政、乡村振兴局、农业农村局等政府部门联系，由县乡村振兴正式文件推送经“三级联审、五人联查”脱贫户名单，金融机构及时发放，提高放贷效率，发放后由“五人联查”开展贷后检查，防范风险。</w:t>
      </w:r>
    </w:p>
    <w:sectPr>
      <w:pgSz w:w="11906" w:h="16838"/>
      <w:pgMar w:top="2098" w:right="1531" w:bottom="153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CB1E9F-588D-4FF0-A6A8-AE1005C076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embedRegular r:id="rId2" w:fontKey="{EB28F418-35D9-4C32-9C78-00CB0FE323B9}"/>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embedRegular r:id="rId3" w:fontKey="{405BC2C2-7FC4-474F-8E0F-746C8EBF693D}"/>
  </w:font>
  <w:font w:name="Courier New">
    <w:panose1 w:val="02070309020205020404"/>
    <w:charset w:val="00"/>
    <w:family w:val="modern"/>
    <w:pitch w:val="default"/>
    <w:sig w:usb0="E0002EFF" w:usb1="C0007843" w:usb2="00000009" w:usb3="00000000" w:csb0="400001FF" w:csb1="FFFF0000"/>
  </w:font>
  <w:font w:name="方正小标宋简体">
    <w:panose1 w:val="02010600010101010101"/>
    <w:charset w:val="86"/>
    <w:family w:val="script"/>
    <w:pitch w:val="default"/>
    <w:sig w:usb0="00000001" w:usb1="080E0000" w:usb2="00000000" w:usb3="00000000" w:csb0="00040000" w:csb1="00000000"/>
    <w:embedRegular r:id="rId4" w:fontKey="{7E855E4A-FB63-40AC-9C37-7C1DDE149A62}"/>
  </w:font>
  <w:font w:name="方正黑体简体">
    <w:altName w:val="微软雅黑"/>
    <w:panose1 w:val="00000000000000000000"/>
    <w:charset w:val="86"/>
    <w:family w:val="auto"/>
    <w:pitch w:val="default"/>
    <w:sig w:usb0="00000000" w:usb1="00000000" w:usb2="00000000" w:usb3="00000000" w:csb0="00040000" w:csb1="00000000"/>
    <w:embedRegular r:id="rId5" w:fontKey="{ABA7B569-CB2C-4DF0-91E7-668BC6FBE47C}"/>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embedRegular r:id="rId6" w:fontKey="{B6B5A3A6-D615-4640-AA61-F43720989BDF}"/>
  </w:font>
  <w:font w:name="方正仿宋简体">
    <w:altName w:val="微软雅黑"/>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746CA">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368935" cy="1695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368935" cy="1695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CFCFBC">
                          <w:pPr>
                            <w:pStyle w:val="7"/>
                            <w:rPr>
                              <w:sz w:val="15"/>
                              <w:szCs w:val="20"/>
                            </w:rPr>
                          </w:pPr>
                          <w:r>
                            <w:rPr>
                              <w:rFonts w:hint="eastAsia"/>
                              <w:sz w:val="28"/>
                              <w:szCs w:val="40"/>
                            </w:rPr>
                            <w:fldChar w:fldCharType="begin"/>
                          </w:r>
                          <w:r>
                            <w:rPr>
                              <w:rFonts w:hint="eastAsia"/>
                              <w:sz w:val="28"/>
                              <w:szCs w:val="40"/>
                            </w:rPr>
                            <w:instrText xml:space="preserve"> PAGE  \* MERGEFORMAT </w:instrText>
                          </w:r>
                          <w:r>
                            <w:rPr>
                              <w:rFonts w:hint="eastAsia"/>
                              <w:sz w:val="28"/>
                              <w:szCs w:val="40"/>
                            </w:rPr>
                            <w:fldChar w:fldCharType="separate"/>
                          </w:r>
                          <w:r>
                            <w:rPr>
                              <w:rFonts w:hint="eastAsia"/>
                              <w:sz w:val="28"/>
                              <w:szCs w:val="40"/>
                            </w:rPr>
                            <w:t>361</w:t>
                          </w:r>
                          <w:r>
                            <w:rPr>
                              <w:rFonts w:hint="eastAsia"/>
                              <w:sz w:val="28"/>
                              <w:szCs w:val="40"/>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3.35pt;width:29.05pt;mso-position-horizontal:center;mso-position-horizontal-relative:margin;z-index:251659264;mso-width-relative:page;mso-height-relative:page;" filled="f" stroked="f" coordsize="21600,21600" o:gfxdata="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m0FAk0wAAAAMBAAAPAAAAAAAAAAEAIAAAACIAAABkcnMvZG93bnJldi54bWxQSwEC&#10;FAAUAAAACACHTuJA2dMmNjICAABVBAAADgAAAAAAAAABACAAAAAiAQAAZHJzL2Uyb0RvYy54bWxQ&#10;SwUGAAAAAAYABgBZAQAAxgUAAAAA&#10;">
              <v:fill on="f" focussize="0,0"/>
              <v:stroke on="f" weight="0.5pt"/>
              <v:imagedata o:title=""/>
              <o:lock v:ext="edit" aspectratio="f"/>
              <v:textbox inset="0mm,0mm,0mm,0mm">
                <w:txbxContent>
                  <w:p w14:paraId="72CFCFBC">
                    <w:pPr>
                      <w:pStyle w:val="7"/>
                      <w:rPr>
                        <w:sz w:val="15"/>
                        <w:szCs w:val="20"/>
                      </w:rPr>
                    </w:pPr>
                    <w:r>
                      <w:rPr>
                        <w:rFonts w:hint="eastAsia"/>
                        <w:sz w:val="28"/>
                        <w:szCs w:val="40"/>
                      </w:rPr>
                      <w:fldChar w:fldCharType="begin"/>
                    </w:r>
                    <w:r>
                      <w:rPr>
                        <w:rFonts w:hint="eastAsia"/>
                        <w:sz w:val="28"/>
                        <w:szCs w:val="40"/>
                      </w:rPr>
                      <w:instrText xml:space="preserve"> PAGE  \* MERGEFORMAT </w:instrText>
                    </w:r>
                    <w:r>
                      <w:rPr>
                        <w:rFonts w:hint="eastAsia"/>
                        <w:sz w:val="28"/>
                        <w:szCs w:val="40"/>
                      </w:rPr>
                      <w:fldChar w:fldCharType="separate"/>
                    </w:r>
                    <w:r>
                      <w:rPr>
                        <w:rFonts w:hint="eastAsia"/>
                        <w:sz w:val="28"/>
                        <w:szCs w:val="40"/>
                      </w:rPr>
                      <w:t>361</w:t>
                    </w:r>
                    <w:r>
                      <w:rPr>
                        <w:rFonts w:hint="eastAsia"/>
                        <w:sz w:val="28"/>
                        <w:szCs w:val="4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A1AE65"/>
    <w:multiLevelType w:val="singleLevel"/>
    <w:tmpl w:val="70A1AE65"/>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3ZWRlZjBmM2RhOGMwMjU2MTJjNzFjMDczZGFmOTQifQ=="/>
  </w:docVars>
  <w:rsids>
    <w:rsidRoot w:val="00B648EA"/>
    <w:rsid w:val="00023E1F"/>
    <w:rsid w:val="00025735"/>
    <w:rsid w:val="000D06C1"/>
    <w:rsid w:val="00311852"/>
    <w:rsid w:val="003312E0"/>
    <w:rsid w:val="00373A85"/>
    <w:rsid w:val="003E6CCB"/>
    <w:rsid w:val="00432A3B"/>
    <w:rsid w:val="00433945"/>
    <w:rsid w:val="00467A31"/>
    <w:rsid w:val="00484758"/>
    <w:rsid w:val="004854C7"/>
    <w:rsid w:val="004C163E"/>
    <w:rsid w:val="004C710F"/>
    <w:rsid w:val="004F5105"/>
    <w:rsid w:val="0050053D"/>
    <w:rsid w:val="005C4D7A"/>
    <w:rsid w:val="006D10A6"/>
    <w:rsid w:val="00771D23"/>
    <w:rsid w:val="0079626F"/>
    <w:rsid w:val="00895E31"/>
    <w:rsid w:val="008E28D7"/>
    <w:rsid w:val="009855D2"/>
    <w:rsid w:val="00AF63FE"/>
    <w:rsid w:val="00B12611"/>
    <w:rsid w:val="00B648EA"/>
    <w:rsid w:val="00B65F72"/>
    <w:rsid w:val="00B73BDA"/>
    <w:rsid w:val="00BA65F5"/>
    <w:rsid w:val="00CB4CFD"/>
    <w:rsid w:val="00D33CA2"/>
    <w:rsid w:val="00D415D9"/>
    <w:rsid w:val="00D86846"/>
    <w:rsid w:val="00EE1D10"/>
    <w:rsid w:val="00F2369D"/>
    <w:rsid w:val="00F75D13"/>
    <w:rsid w:val="00FB3ABA"/>
    <w:rsid w:val="011D6260"/>
    <w:rsid w:val="01BE4DA9"/>
    <w:rsid w:val="025B2DC4"/>
    <w:rsid w:val="02867E41"/>
    <w:rsid w:val="02B356AC"/>
    <w:rsid w:val="02C2539D"/>
    <w:rsid w:val="02C51DF8"/>
    <w:rsid w:val="030A5F0A"/>
    <w:rsid w:val="03127926"/>
    <w:rsid w:val="03136F6F"/>
    <w:rsid w:val="03143880"/>
    <w:rsid w:val="034070BC"/>
    <w:rsid w:val="03411AE5"/>
    <w:rsid w:val="03442540"/>
    <w:rsid w:val="03710A93"/>
    <w:rsid w:val="03CE5F43"/>
    <w:rsid w:val="04190A7F"/>
    <w:rsid w:val="043C5395"/>
    <w:rsid w:val="046E4541"/>
    <w:rsid w:val="04D63DFE"/>
    <w:rsid w:val="04E6073F"/>
    <w:rsid w:val="04E677C1"/>
    <w:rsid w:val="05427E3C"/>
    <w:rsid w:val="05687CD1"/>
    <w:rsid w:val="05A30D0A"/>
    <w:rsid w:val="063473E4"/>
    <w:rsid w:val="06395E2A"/>
    <w:rsid w:val="06AF04B5"/>
    <w:rsid w:val="076047DB"/>
    <w:rsid w:val="07976B36"/>
    <w:rsid w:val="07D433FC"/>
    <w:rsid w:val="085569A6"/>
    <w:rsid w:val="086D3853"/>
    <w:rsid w:val="08ED0E72"/>
    <w:rsid w:val="090F2D06"/>
    <w:rsid w:val="095729F7"/>
    <w:rsid w:val="098E6A6B"/>
    <w:rsid w:val="09B90184"/>
    <w:rsid w:val="09D124A4"/>
    <w:rsid w:val="09DF09C0"/>
    <w:rsid w:val="0A0A2B5D"/>
    <w:rsid w:val="0A2C39C3"/>
    <w:rsid w:val="0AC3427D"/>
    <w:rsid w:val="0AF61C38"/>
    <w:rsid w:val="0B2C34F8"/>
    <w:rsid w:val="0B7A4561"/>
    <w:rsid w:val="0B9C60FD"/>
    <w:rsid w:val="0BC50A04"/>
    <w:rsid w:val="0C1D567C"/>
    <w:rsid w:val="0CA64D1B"/>
    <w:rsid w:val="0CCF6F71"/>
    <w:rsid w:val="0E9F62EE"/>
    <w:rsid w:val="0EA702DE"/>
    <w:rsid w:val="0EC17605"/>
    <w:rsid w:val="0EF820C6"/>
    <w:rsid w:val="0F1E032C"/>
    <w:rsid w:val="0F8E20F0"/>
    <w:rsid w:val="0FDE1A33"/>
    <w:rsid w:val="0FE91E54"/>
    <w:rsid w:val="10004693"/>
    <w:rsid w:val="102F6C4F"/>
    <w:rsid w:val="10550BA1"/>
    <w:rsid w:val="105B6243"/>
    <w:rsid w:val="106821E9"/>
    <w:rsid w:val="106D2633"/>
    <w:rsid w:val="10AB0728"/>
    <w:rsid w:val="10B061F5"/>
    <w:rsid w:val="10EF574B"/>
    <w:rsid w:val="113F222E"/>
    <w:rsid w:val="113F684A"/>
    <w:rsid w:val="114279D1"/>
    <w:rsid w:val="11464126"/>
    <w:rsid w:val="119D1273"/>
    <w:rsid w:val="11C428AB"/>
    <w:rsid w:val="12311D71"/>
    <w:rsid w:val="127002CC"/>
    <w:rsid w:val="128E3CA5"/>
    <w:rsid w:val="12A350D2"/>
    <w:rsid w:val="131A1AAC"/>
    <w:rsid w:val="132848A8"/>
    <w:rsid w:val="139C2F9E"/>
    <w:rsid w:val="13C06F2A"/>
    <w:rsid w:val="13CB115B"/>
    <w:rsid w:val="13D206DC"/>
    <w:rsid w:val="14007C3F"/>
    <w:rsid w:val="14200447"/>
    <w:rsid w:val="14726477"/>
    <w:rsid w:val="151A07EF"/>
    <w:rsid w:val="15A26D12"/>
    <w:rsid w:val="16105F47"/>
    <w:rsid w:val="161E0D86"/>
    <w:rsid w:val="169C00D2"/>
    <w:rsid w:val="16B278AE"/>
    <w:rsid w:val="16D47282"/>
    <w:rsid w:val="172C49B6"/>
    <w:rsid w:val="17940D95"/>
    <w:rsid w:val="179B61C7"/>
    <w:rsid w:val="184710AE"/>
    <w:rsid w:val="184914AE"/>
    <w:rsid w:val="189A2440"/>
    <w:rsid w:val="18A90F08"/>
    <w:rsid w:val="18F97584"/>
    <w:rsid w:val="198820E0"/>
    <w:rsid w:val="19900BF2"/>
    <w:rsid w:val="19962C07"/>
    <w:rsid w:val="1AEE4057"/>
    <w:rsid w:val="1AFF29CD"/>
    <w:rsid w:val="1B401983"/>
    <w:rsid w:val="1B5519F1"/>
    <w:rsid w:val="1B9E51D4"/>
    <w:rsid w:val="1BEF3EDE"/>
    <w:rsid w:val="1C17459B"/>
    <w:rsid w:val="1C2A3535"/>
    <w:rsid w:val="1C4701E9"/>
    <w:rsid w:val="1CCB4BE8"/>
    <w:rsid w:val="1CCD40CA"/>
    <w:rsid w:val="1CFB00F4"/>
    <w:rsid w:val="1D6379A7"/>
    <w:rsid w:val="1E3B0E47"/>
    <w:rsid w:val="1F104283"/>
    <w:rsid w:val="1F2D0B44"/>
    <w:rsid w:val="1F41768D"/>
    <w:rsid w:val="1FBC0AEB"/>
    <w:rsid w:val="20401B1F"/>
    <w:rsid w:val="20BD6CCC"/>
    <w:rsid w:val="210D6DE1"/>
    <w:rsid w:val="223776CA"/>
    <w:rsid w:val="223E54B9"/>
    <w:rsid w:val="22533907"/>
    <w:rsid w:val="227F0644"/>
    <w:rsid w:val="2291678C"/>
    <w:rsid w:val="23434672"/>
    <w:rsid w:val="234D3A78"/>
    <w:rsid w:val="238166D6"/>
    <w:rsid w:val="238969DB"/>
    <w:rsid w:val="23B6139E"/>
    <w:rsid w:val="242F484E"/>
    <w:rsid w:val="24363FAA"/>
    <w:rsid w:val="243A00DC"/>
    <w:rsid w:val="24892EBA"/>
    <w:rsid w:val="24D942F0"/>
    <w:rsid w:val="25254250"/>
    <w:rsid w:val="25421E95"/>
    <w:rsid w:val="259C5E52"/>
    <w:rsid w:val="25F74CEA"/>
    <w:rsid w:val="25FA134D"/>
    <w:rsid w:val="265E5200"/>
    <w:rsid w:val="269F14EC"/>
    <w:rsid w:val="2733574A"/>
    <w:rsid w:val="2746627F"/>
    <w:rsid w:val="276460F3"/>
    <w:rsid w:val="27B0758A"/>
    <w:rsid w:val="27DF38EE"/>
    <w:rsid w:val="28101DD7"/>
    <w:rsid w:val="28634C85"/>
    <w:rsid w:val="287265EE"/>
    <w:rsid w:val="288261F7"/>
    <w:rsid w:val="28E5126D"/>
    <w:rsid w:val="292B01C4"/>
    <w:rsid w:val="2A5C441F"/>
    <w:rsid w:val="2A8C41C4"/>
    <w:rsid w:val="2B0C7EAF"/>
    <w:rsid w:val="2B8A36EB"/>
    <w:rsid w:val="2BE9630E"/>
    <w:rsid w:val="2C106849"/>
    <w:rsid w:val="2C1A339D"/>
    <w:rsid w:val="2C7E060B"/>
    <w:rsid w:val="2C804090"/>
    <w:rsid w:val="2CCD0EC4"/>
    <w:rsid w:val="2D61122B"/>
    <w:rsid w:val="2E90358D"/>
    <w:rsid w:val="2F302D5E"/>
    <w:rsid w:val="2F7437AC"/>
    <w:rsid w:val="2F967065"/>
    <w:rsid w:val="2FA07A2A"/>
    <w:rsid w:val="30B1106B"/>
    <w:rsid w:val="312B28BA"/>
    <w:rsid w:val="316A6AEE"/>
    <w:rsid w:val="31A57086"/>
    <w:rsid w:val="320C6308"/>
    <w:rsid w:val="322C5D69"/>
    <w:rsid w:val="32825DBC"/>
    <w:rsid w:val="32C51659"/>
    <w:rsid w:val="33157E5C"/>
    <w:rsid w:val="33E77FFD"/>
    <w:rsid w:val="34603939"/>
    <w:rsid w:val="34BD0BF5"/>
    <w:rsid w:val="34D8334B"/>
    <w:rsid w:val="34EA3248"/>
    <w:rsid w:val="35452274"/>
    <w:rsid w:val="356674DA"/>
    <w:rsid w:val="35702107"/>
    <w:rsid w:val="35BD56C2"/>
    <w:rsid w:val="35D75D5C"/>
    <w:rsid w:val="35DE52C2"/>
    <w:rsid w:val="35FA6CEE"/>
    <w:rsid w:val="35FD0CE2"/>
    <w:rsid w:val="36070CBD"/>
    <w:rsid w:val="36286128"/>
    <w:rsid w:val="36946BEA"/>
    <w:rsid w:val="36F72AEA"/>
    <w:rsid w:val="37134114"/>
    <w:rsid w:val="371B06EF"/>
    <w:rsid w:val="375963E4"/>
    <w:rsid w:val="379822BE"/>
    <w:rsid w:val="37C120AE"/>
    <w:rsid w:val="37CE5112"/>
    <w:rsid w:val="37D719C4"/>
    <w:rsid w:val="383167A5"/>
    <w:rsid w:val="386A6CAF"/>
    <w:rsid w:val="38AA2308"/>
    <w:rsid w:val="38C52B98"/>
    <w:rsid w:val="395B779A"/>
    <w:rsid w:val="396564B9"/>
    <w:rsid w:val="39882014"/>
    <w:rsid w:val="39D92970"/>
    <w:rsid w:val="39F07CBA"/>
    <w:rsid w:val="3A57296E"/>
    <w:rsid w:val="3AC60AFD"/>
    <w:rsid w:val="3AF245CE"/>
    <w:rsid w:val="3AFE0A3A"/>
    <w:rsid w:val="3B5A1D36"/>
    <w:rsid w:val="3BD068C2"/>
    <w:rsid w:val="3BD77022"/>
    <w:rsid w:val="3C8D4293"/>
    <w:rsid w:val="3CB036B4"/>
    <w:rsid w:val="3CCF005B"/>
    <w:rsid w:val="3D1752CE"/>
    <w:rsid w:val="3D1813A1"/>
    <w:rsid w:val="3DBB5979"/>
    <w:rsid w:val="3DF40CAE"/>
    <w:rsid w:val="3E3F7E3E"/>
    <w:rsid w:val="3E8F3D21"/>
    <w:rsid w:val="3EBA0ED2"/>
    <w:rsid w:val="3F850EA5"/>
    <w:rsid w:val="3FA04890"/>
    <w:rsid w:val="3FDC2362"/>
    <w:rsid w:val="40296AF8"/>
    <w:rsid w:val="409F3FC1"/>
    <w:rsid w:val="41076FC3"/>
    <w:rsid w:val="4109610A"/>
    <w:rsid w:val="41255C38"/>
    <w:rsid w:val="418C59A2"/>
    <w:rsid w:val="41A260B4"/>
    <w:rsid w:val="42137ED9"/>
    <w:rsid w:val="426C3D5E"/>
    <w:rsid w:val="429E2E16"/>
    <w:rsid w:val="42ED13DD"/>
    <w:rsid w:val="430345BA"/>
    <w:rsid w:val="432B3119"/>
    <w:rsid w:val="434A0905"/>
    <w:rsid w:val="435E7A42"/>
    <w:rsid w:val="43DF2D18"/>
    <w:rsid w:val="44250FAE"/>
    <w:rsid w:val="442E0EB5"/>
    <w:rsid w:val="44B72216"/>
    <w:rsid w:val="45154A79"/>
    <w:rsid w:val="45330C85"/>
    <w:rsid w:val="454A2974"/>
    <w:rsid w:val="45AB6CFC"/>
    <w:rsid w:val="45C40123"/>
    <w:rsid w:val="45F10750"/>
    <w:rsid w:val="462027DB"/>
    <w:rsid w:val="464E014C"/>
    <w:rsid w:val="465A26BA"/>
    <w:rsid w:val="4699066B"/>
    <w:rsid w:val="477037D6"/>
    <w:rsid w:val="47BA3549"/>
    <w:rsid w:val="48835206"/>
    <w:rsid w:val="48B23078"/>
    <w:rsid w:val="48B87233"/>
    <w:rsid w:val="492016F8"/>
    <w:rsid w:val="49237EB4"/>
    <w:rsid w:val="49C00CA6"/>
    <w:rsid w:val="49DE5DE3"/>
    <w:rsid w:val="49EF440A"/>
    <w:rsid w:val="4A1E62C9"/>
    <w:rsid w:val="4A6C00B9"/>
    <w:rsid w:val="4A9E2772"/>
    <w:rsid w:val="4B1E3170"/>
    <w:rsid w:val="4B3D667E"/>
    <w:rsid w:val="4BA7122B"/>
    <w:rsid w:val="4C6A0153"/>
    <w:rsid w:val="4C8F06B1"/>
    <w:rsid w:val="4CA4080B"/>
    <w:rsid w:val="4D882BFF"/>
    <w:rsid w:val="4E9B767C"/>
    <w:rsid w:val="4F1813ED"/>
    <w:rsid w:val="4F4A229E"/>
    <w:rsid w:val="4F5579E8"/>
    <w:rsid w:val="4F6A7CE9"/>
    <w:rsid w:val="4F800A86"/>
    <w:rsid w:val="50011BC2"/>
    <w:rsid w:val="503C270C"/>
    <w:rsid w:val="505E1082"/>
    <w:rsid w:val="507375BC"/>
    <w:rsid w:val="50A2777F"/>
    <w:rsid w:val="50A555EF"/>
    <w:rsid w:val="510164F4"/>
    <w:rsid w:val="510D4856"/>
    <w:rsid w:val="518F6638"/>
    <w:rsid w:val="51F620EE"/>
    <w:rsid w:val="523011AA"/>
    <w:rsid w:val="523F37D2"/>
    <w:rsid w:val="52F57557"/>
    <w:rsid w:val="53124313"/>
    <w:rsid w:val="53E03099"/>
    <w:rsid w:val="5435659E"/>
    <w:rsid w:val="543A1567"/>
    <w:rsid w:val="544113E6"/>
    <w:rsid w:val="544B7448"/>
    <w:rsid w:val="5453165A"/>
    <w:rsid w:val="549500A2"/>
    <w:rsid w:val="55164621"/>
    <w:rsid w:val="553A0E1D"/>
    <w:rsid w:val="558705E9"/>
    <w:rsid w:val="55A21290"/>
    <w:rsid w:val="55A91E1D"/>
    <w:rsid w:val="55F32170"/>
    <w:rsid w:val="567333AD"/>
    <w:rsid w:val="56D84E57"/>
    <w:rsid w:val="56E524FD"/>
    <w:rsid w:val="57580F21"/>
    <w:rsid w:val="57C6377C"/>
    <w:rsid w:val="57F86260"/>
    <w:rsid w:val="585F7164"/>
    <w:rsid w:val="588673C8"/>
    <w:rsid w:val="5894152B"/>
    <w:rsid w:val="58D2085F"/>
    <w:rsid w:val="591930C3"/>
    <w:rsid w:val="5A0B5254"/>
    <w:rsid w:val="5A78154C"/>
    <w:rsid w:val="5A785436"/>
    <w:rsid w:val="5AF5455D"/>
    <w:rsid w:val="5B6B21CB"/>
    <w:rsid w:val="5B8142CC"/>
    <w:rsid w:val="5B891536"/>
    <w:rsid w:val="5BE07737"/>
    <w:rsid w:val="5C7E6E4B"/>
    <w:rsid w:val="5CF36FF6"/>
    <w:rsid w:val="5CF422B5"/>
    <w:rsid w:val="5D041719"/>
    <w:rsid w:val="5D127DA1"/>
    <w:rsid w:val="5D2204C2"/>
    <w:rsid w:val="5D4B0BE0"/>
    <w:rsid w:val="5DBD6AC5"/>
    <w:rsid w:val="5DDF634D"/>
    <w:rsid w:val="5E9E5FFC"/>
    <w:rsid w:val="5EDD0A89"/>
    <w:rsid w:val="5F30143C"/>
    <w:rsid w:val="5FE57DAC"/>
    <w:rsid w:val="5FF60F8E"/>
    <w:rsid w:val="601626ED"/>
    <w:rsid w:val="6022434F"/>
    <w:rsid w:val="60570B09"/>
    <w:rsid w:val="606F03C5"/>
    <w:rsid w:val="60926D93"/>
    <w:rsid w:val="60C413D5"/>
    <w:rsid w:val="61AB2239"/>
    <w:rsid w:val="61AB3132"/>
    <w:rsid w:val="623A0EAA"/>
    <w:rsid w:val="62732CD4"/>
    <w:rsid w:val="62852BB4"/>
    <w:rsid w:val="62B24DD3"/>
    <w:rsid w:val="62C550AA"/>
    <w:rsid w:val="62D31AD3"/>
    <w:rsid w:val="63724BE9"/>
    <w:rsid w:val="63D25BB7"/>
    <w:rsid w:val="63E95AD3"/>
    <w:rsid w:val="649878A8"/>
    <w:rsid w:val="650009C8"/>
    <w:rsid w:val="659E0FC7"/>
    <w:rsid w:val="65B80DDC"/>
    <w:rsid w:val="66094DB2"/>
    <w:rsid w:val="66382359"/>
    <w:rsid w:val="66471D71"/>
    <w:rsid w:val="66A3383B"/>
    <w:rsid w:val="66FD73EF"/>
    <w:rsid w:val="673F27BC"/>
    <w:rsid w:val="6744501E"/>
    <w:rsid w:val="682A15B5"/>
    <w:rsid w:val="68A4203C"/>
    <w:rsid w:val="68D67EF7"/>
    <w:rsid w:val="69063BAF"/>
    <w:rsid w:val="693B7D5A"/>
    <w:rsid w:val="694A2693"/>
    <w:rsid w:val="698E1C77"/>
    <w:rsid w:val="6999381C"/>
    <w:rsid w:val="69F33D1B"/>
    <w:rsid w:val="6A2C5734"/>
    <w:rsid w:val="6A546B33"/>
    <w:rsid w:val="6A5F368D"/>
    <w:rsid w:val="6A6344FC"/>
    <w:rsid w:val="6AD15259"/>
    <w:rsid w:val="6AEC2E18"/>
    <w:rsid w:val="6BBC09CC"/>
    <w:rsid w:val="6BE72C68"/>
    <w:rsid w:val="6C732E5F"/>
    <w:rsid w:val="6C7812C6"/>
    <w:rsid w:val="6CBD29B8"/>
    <w:rsid w:val="6CF90658"/>
    <w:rsid w:val="6D0832E2"/>
    <w:rsid w:val="6F8E6B8A"/>
    <w:rsid w:val="6FEB0D89"/>
    <w:rsid w:val="6FEE1FCA"/>
    <w:rsid w:val="703C2DB9"/>
    <w:rsid w:val="705F6A24"/>
    <w:rsid w:val="71801FF5"/>
    <w:rsid w:val="71B72890"/>
    <w:rsid w:val="71E573FD"/>
    <w:rsid w:val="72002E95"/>
    <w:rsid w:val="727D2B42"/>
    <w:rsid w:val="72936E0C"/>
    <w:rsid w:val="72E75625"/>
    <w:rsid w:val="734C0B58"/>
    <w:rsid w:val="735A21CD"/>
    <w:rsid w:val="736D42C8"/>
    <w:rsid w:val="73745DF6"/>
    <w:rsid w:val="73B25072"/>
    <w:rsid w:val="73FB4CB6"/>
    <w:rsid w:val="74D67C51"/>
    <w:rsid w:val="74E724EC"/>
    <w:rsid w:val="751E7C15"/>
    <w:rsid w:val="752308C1"/>
    <w:rsid w:val="753A6D9B"/>
    <w:rsid w:val="75400603"/>
    <w:rsid w:val="75743AE4"/>
    <w:rsid w:val="758A4D6A"/>
    <w:rsid w:val="759058D2"/>
    <w:rsid w:val="75E66401"/>
    <w:rsid w:val="762C0553"/>
    <w:rsid w:val="769A3D6A"/>
    <w:rsid w:val="769A54CE"/>
    <w:rsid w:val="76F27A90"/>
    <w:rsid w:val="77300CBA"/>
    <w:rsid w:val="77316C41"/>
    <w:rsid w:val="774A3CB2"/>
    <w:rsid w:val="77757F0F"/>
    <w:rsid w:val="77846CDF"/>
    <w:rsid w:val="77B06985"/>
    <w:rsid w:val="780265B8"/>
    <w:rsid w:val="783D5537"/>
    <w:rsid w:val="784B3D60"/>
    <w:rsid w:val="78547EE7"/>
    <w:rsid w:val="78566930"/>
    <w:rsid w:val="788C655B"/>
    <w:rsid w:val="78A23952"/>
    <w:rsid w:val="78B33DB1"/>
    <w:rsid w:val="791660EE"/>
    <w:rsid w:val="79404844"/>
    <w:rsid w:val="794E7636"/>
    <w:rsid w:val="79602E32"/>
    <w:rsid w:val="79C10305"/>
    <w:rsid w:val="79FE36B2"/>
    <w:rsid w:val="7A08608A"/>
    <w:rsid w:val="7A9E283F"/>
    <w:rsid w:val="7AE71710"/>
    <w:rsid w:val="7AFE5B2C"/>
    <w:rsid w:val="7B6167B8"/>
    <w:rsid w:val="7BF5648F"/>
    <w:rsid w:val="7C4F0331"/>
    <w:rsid w:val="7CB400F8"/>
    <w:rsid w:val="7D8907D6"/>
    <w:rsid w:val="7DC07C7A"/>
    <w:rsid w:val="7E421789"/>
    <w:rsid w:val="7E7D5F83"/>
    <w:rsid w:val="7E7F64E4"/>
    <w:rsid w:val="7E945012"/>
    <w:rsid w:val="7EEE5273"/>
    <w:rsid w:val="7EFA3173"/>
    <w:rsid w:val="7F0F7041"/>
    <w:rsid w:val="7F11316B"/>
    <w:rsid w:val="7F20668C"/>
    <w:rsid w:val="7FAC0B54"/>
    <w:rsid w:val="7FD0349B"/>
    <w:rsid w:val="7FD50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44"/>
    </w:rPr>
  </w:style>
  <w:style w:type="paragraph" w:styleId="5">
    <w:name w:val="heading 2"/>
    <w:basedOn w:val="1"/>
    <w:next w:val="1"/>
    <w:unhideWhenUsed/>
    <w:qFormat/>
    <w:uiPriority w:val="9"/>
    <w:pPr>
      <w:keepNext/>
      <w:keepLines/>
      <w:spacing w:line="560" w:lineRule="exact"/>
      <w:outlineLvl w:val="1"/>
    </w:pPr>
    <w:rPr>
      <w:rFonts w:eastAsia="楷体_GB2312"/>
    </w:rPr>
  </w:style>
  <w:style w:type="paragraph" w:styleId="6">
    <w:name w:val="heading 3"/>
    <w:basedOn w:val="1"/>
    <w:next w:val="1"/>
    <w:link w:val="21"/>
    <w:unhideWhenUsed/>
    <w:qFormat/>
    <w:uiPriority w:val="9"/>
    <w:pPr>
      <w:keepNext/>
      <w:keepLines/>
      <w:spacing w:line="560" w:lineRule="exact"/>
      <w:outlineLvl w:val="2"/>
    </w:pPr>
    <w:rPr>
      <w:b/>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ind w:left="420" w:leftChars="200"/>
    </w:pPr>
    <w:rPr>
      <w:rFonts w:hint="eastAsia"/>
    </w:rPr>
  </w:style>
  <w:style w:type="paragraph" w:styleId="7">
    <w:name w:val="footer"/>
    <w:basedOn w:val="1"/>
    <w:next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jc w:val="left"/>
    </w:pPr>
    <w:rPr>
      <w:kern w:val="0"/>
      <w:sz w:val="24"/>
    </w:rPr>
  </w:style>
  <w:style w:type="paragraph" w:styleId="10">
    <w:name w:val="Title"/>
    <w:basedOn w:val="1"/>
    <w:next w:val="1"/>
    <w:qFormat/>
    <w:uiPriority w:val="0"/>
    <w:pPr>
      <w:spacing w:before="240" w:after="60"/>
      <w:jc w:val="center"/>
      <w:outlineLvl w:val="0"/>
    </w:pPr>
    <w:rPr>
      <w:rFonts w:ascii="Arial" w:hAnsi="Arial" w:cs="Arial"/>
      <w:b/>
      <w:bCs/>
      <w:sz w:val="32"/>
      <w:szCs w:val="32"/>
    </w:rPr>
  </w:style>
  <w:style w:type="paragraph" w:customStyle="1" w:styleId="13">
    <w:name w:val="_Style 1"/>
    <w:qFormat/>
    <w:uiPriority w:val="99"/>
    <w:pPr>
      <w:widowControl w:val="0"/>
      <w:ind w:firstLine="200" w:firstLineChars="200"/>
      <w:jc w:val="both"/>
    </w:pPr>
    <w:rPr>
      <w:rFonts w:ascii="Calibri" w:hAnsi="Calibri" w:eastAsia="仿宋_GB2312" w:cs="Times New Roman"/>
      <w:kern w:val="2"/>
      <w:sz w:val="24"/>
      <w:szCs w:val="22"/>
      <w:lang w:val="en-US" w:eastAsia="zh-CN" w:bidi="ar-SA"/>
    </w:rPr>
  </w:style>
  <w:style w:type="paragraph" w:customStyle="1" w:styleId="14">
    <w:name w:val="列表段落1"/>
    <w:basedOn w:val="1"/>
    <w:qFormat/>
    <w:uiPriority w:val="34"/>
    <w:pPr>
      <w:ind w:firstLine="420" w:firstLineChars="200"/>
    </w:pPr>
  </w:style>
  <w:style w:type="paragraph" w:customStyle="1" w:styleId="15">
    <w:name w:val="列表段落2"/>
    <w:basedOn w:val="1"/>
    <w:qFormat/>
    <w:uiPriority w:val="34"/>
    <w:pPr>
      <w:ind w:firstLine="420" w:firstLineChars="200"/>
    </w:pPr>
  </w:style>
  <w:style w:type="character" w:customStyle="1" w:styleId="16">
    <w:name w:val="font01"/>
    <w:basedOn w:val="12"/>
    <w:qFormat/>
    <w:uiPriority w:val="0"/>
    <w:rPr>
      <w:rFonts w:hint="eastAsia" w:ascii="宋体" w:hAnsi="宋体" w:eastAsia="宋体" w:cs="宋体"/>
      <w:color w:val="000000"/>
      <w:sz w:val="20"/>
      <w:szCs w:val="20"/>
      <w:u w:val="none"/>
    </w:rPr>
  </w:style>
  <w:style w:type="character" w:customStyle="1" w:styleId="17">
    <w:name w:val="font41"/>
    <w:basedOn w:val="12"/>
    <w:qFormat/>
    <w:uiPriority w:val="0"/>
    <w:rPr>
      <w:rFonts w:ascii="Courier New" w:hAnsi="Courier New" w:cs="Courier New"/>
      <w:color w:val="000000"/>
      <w:sz w:val="20"/>
      <w:szCs w:val="20"/>
      <w:u w:val="none"/>
    </w:rPr>
  </w:style>
  <w:style w:type="character" w:customStyle="1" w:styleId="18">
    <w:name w:val="font31"/>
    <w:basedOn w:val="12"/>
    <w:qFormat/>
    <w:uiPriority w:val="0"/>
    <w:rPr>
      <w:rFonts w:hint="eastAsia" w:ascii="宋体" w:hAnsi="宋体" w:eastAsia="宋体" w:cs="宋体"/>
      <w:b/>
      <w:bCs/>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0"/>
      <w:szCs w:val="20"/>
      <w:u w:val="none"/>
    </w:rPr>
  </w:style>
  <w:style w:type="character" w:customStyle="1" w:styleId="20">
    <w:name w:val="font51"/>
    <w:basedOn w:val="12"/>
    <w:qFormat/>
    <w:uiPriority w:val="0"/>
    <w:rPr>
      <w:rFonts w:hint="default" w:ascii="Courier New" w:hAnsi="Courier New" w:cs="Courier New"/>
      <w:color w:val="000000"/>
      <w:sz w:val="20"/>
      <w:szCs w:val="20"/>
      <w:u w:val="none"/>
    </w:rPr>
  </w:style>
  <w:style w:type="character" w:customStyle="1" w:styleId="21">
    <w:name w:val="标题 3 字符"/>
    <w:link w:val="6"/>
    <w:qFormat/>
    <w:uiPriority w:val="0"/>
    <w:rPr>
      <w:b/>
    </w:rPr>
  </w:style>
  <w:style w:type="character" w:customStyle="1" w:styleId="22">
    <w:name w:val="font11"/>
    <w:basedOn w:val="12"/>
    <w:qFormat/>
    <w:uiPriority w:val="0"/>
    <w:rPr>
      <w:rFonts w:hint="default" w:ascii="Courier New" w:hAnsi="Courier New" w:cs="Courier New"/>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1651</Words>
  <Characters>1692</Characters>
  <Lines>26</Lines>
  <Paragraphs>7</Paragraphs>
  <TotalTime>223</TotalTime>
  <ScaleCrop>false</ScaleCrop>
  <LinksUpToDate>false</LinksUpToDate>
  <CharactersWithSpaces>1706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2023-02-27T08:17:00Z</dcterms:created>
  <dc:creator>1</dc:creator>
  <cp:lastModifiedBy>屈小雯</cp:lastModifiedBy>
  <cp:lastPrinted>2023-07-07T02:08:00Z</cp:lastPrinted>
  <dcterms:modified xsi:type="dcterms:W3CDTF">2025-05-15T06:04:49Z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55F64CF0E35E4F4FB6699677B0524A8C_13</vt:lpwstr>
  </property>
  <property fmtid="{D5CDD505-2E9C-101B-9397-08002B2CF9AE}" pid="4" name="KSOTemplateDocerSaveRecord">
    <vt:lpwstr>eyJoZGlkIjoiMGViYjFjMmIwMDJjMWYwZTEyYTM2YTY5OTY1ZThiNWIiLCJ1c2VySWQiOiI0MDgzNTQxMjQifQ==</vt:lpwstr>
  </property>
</Properties>
</file>