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cs="方正小标宋简体"/>
          <w:b/>
          <w:color w:val="auto"/>
          <w:sz w:val="52"/>
          <w:szCs w:val="52"/>
          <w:highlight w:val="none"/>
          <w:lang w:eastAsia="zh-CN" w:bidi="ar"/>
        </w:rPr>
      </w:pPr>
    </w:p>
    <w:p>
      <w:pPr>
        <w:jc w:val="center"/>
        <w:rPr>
          <w:rFonts w:hint="eastAsia" w:ascii="华文中宋" w:hAnsi="华文中宋" w:eastAsia="华文中宋" w:cs="方正小标宋简体"/>
          <w:b/>
          <w:color w:val="auto"/>
          <w:sz w:val="52"/>
          <w:szCs w:val="52"/>
          <w:highlight w:val="none"/>
          <w:lang w:eastAsia="zh-CN" w:bidi="ar"/>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pacing w:val="0"/>
          <w:kern w:val="0"/>
          <w:sz w:val="44"/>
          <w:szCs w:val="44"/>
          <w:lang w:val="en-US" w:eastAsia="zh-CN"/>
        </w:rPr>
      </w:pPr>
      <w:r>
        <w:rPr>
          <w:rFonts w:hint="eastAsia" w:ascii="方正小标宋简体" w:hAnsi="方正小标宋简体" w:eastAsia="方正小标宋简体" w:cs="方正小标宋简体"/>
          <w:spacing w:val="0"/>
          <w:kern w:val="0"/>
          <w:sz w:val="44"/>
          <w:szCs w:val="44"/>
          <w:lang w:val="en-US" w:eastAsia="zh-CN"/>
        </w:rPr>
        <w:t>夏镇奥依曼买里村杏子产业园道路建设</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pacing w:val="0"/>
          <w:kern w:val="0"/>
          <w:sz w:val="44"/>
          <w:szCs w:val="44"/>
          <w:lang w:val="en-US" w:eastAsia="zh-CN"/>
        </w:rPr>
      </w:pPr>
      <w:r>
        <w:rPr>
          <w:rFonts w:hint="eastAsia" w:ascii="方正小标宋简体" w:hAnsi="方正小标宋简体" w:eastAsia="方正小标宋简体" w:cs="方正小标宋简体"/>
          <w:spacing w:val="0"/>
          <w:kern w:val="0"/>
          <w:sz w:val="44"/>
          <w:szCs w:val="44"/>
          <w:lang w:val="en-US" w:eastAsia="zh-CN"/>
        </w:rPr>
        <w:t>项目实施方案</w:t>
      </w:r>
    </w:p>
    <w:p>
      <w:pPr>
        <w:pStyle w:val="2"/>
        <w:widowControl/>
        <w:spacing w:line="500" w:lineRule="exact"/>
        <w:ind w:firstLine="420"/>
        <w:rPr>
          <w:color w:val="auto"/>
          <w:highlight w:val="none"/>
        </w:rPr>
      </w:pPr>
    </w:p>
    <w:p>
      <w:pPr>
        <w:spacing w:line="500" w:lineRule="exact"/>
        <w:rPr>
          <w:color w:val="auto"/>
          <w:highlight w:val="none"/>
        </w:rPr>
      </w:pPr>
    </w:p>
    <w:p>
      <w:pPr>
        <w:pStyle w:val="8"/>
        <w:autoSpaceDE w:val="0"/>
        <w:autoSpaceDN w:val="0"/>
        <w:adjustRightInd w:val="0"/>
        <w:spacing w:line="500" w:lineRule="exact"/>
        <w:jc w:val="left"/>
        <w:rPr>
          <w:color w:val="auto"/>
          <w:highlight w:val="none"/>
        </w:rPr>
      </w:pPr>
    </w:p>
    <w:p>
      <w:pPr>
        <w:spacing w:line="500" w:lineRule="exact"/>
        <w:rPr>
          <w:color w:val="auto"/>
          <w:highlight w:val="none"/>
        </w:rPr>
      </w:pPr>
    </w:p>
    <w:p>
      <w:pPr>
        <w:pStyle w:val="8"/>
        <w:autoSpaceDE w:val="0"/>
        <w:autoSpaceDN w:val="0"/>
        <w:adjustRightInd w:val="0"/>
        <w:spacing w:line="500" w:lineRule="exact"/>
        <w:jc w:val="left"/>
        <w:rPr>
          <w:color w:val="auto"/>
          <w:highlight w:val="none"/>
        </w:rPr>
      </w:pPr>
    </w:p>
    <w:p>
      <w:pPr>
        <w:spacing w:line="500" w:lineRule="exact"/>
        <w:rPr>
          <w:color w:val="auto"/>
          <w:highlight w:val="none"/>
        </w:rPr>
      </w:pPr>
    </w:p>
    <w:p>
      <w:pPr>
        <w:pStyle w:val="8"/>
        <w:autoSpaceDE w:val="0"/>
        <w:autoSpaceDN w:val="0"/>
        <w:adjustRightInd w:val="0"/>
        <w:spacing w:line="500" w:lineRule="exact"/>
        <w:jc w:val="left"/>
        <w:rPr>
          <w:color w:val="auto"/>
          <w:highlight w:val="none"/>
        </w:rPr>
      </w:pPr>
    </w:p>
    <w:p>
      <w:pPr>
        <w:pStyle w:val="8"/>
        <w:autoSpaceDE w:val="0"/>
        <w:autoSpaceDN w:val="0"/>
        <w:adjustRightInd w:val="0"/>
        <w:spacing w:line="500" w:lineRule="exact"/>
        <w:jc w:val="left"/>
        <w:rPr>
          <w:color w:val="auto"/>
          <w:highlight w:val="none"/>
        </w:rPr>
      </w:pPr>
    </w:p>
    <w:p>
      <w:pPr>
        <w:pStyle w:val="8"/>
        <w:autoSpaceDE w:val="0"/>
        <w:autoSpaceDN w:val="0"/>
        <w:adjustRightInd w:val="0"/>
        <w:spacing w:line="500" w:lineRule="exact"/>
        <w:jc w:val="left"/>
        <w:rPr>
          <w:color w:val="auto"/>
          <w:highlight w:val="none"/>
        </w:rPr>
      </w:pPr>
    </w:p>
    <w:p>
      <w:pPr>
        <w:keepNext/>
        <w:keepLines w:val="0"/>
        <w:pageBreakBefore w:val="0"/>
        <w:widowControl w:val="0"/>
        <w:kinsoku/>
        <w:wordWrap/>
        <w:overflowPunct/>
        <w:topLinePunct w:val="0"/>
        <w:autoSpaceDE/>
        <w:autoSpaceDN/>
        <w:bidi w:val="0"/>
        <w:adjustRightInd/>
        <w:snapToGrid/>
        <w:spacing w:line="560" w:lineRule="exact"/>
        <w:ind w:left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项目名称：夏镇奥依曼买里村杏子产业园道路建设项目</w:t>
      </w:r>
    </w:p>
    <w:p>
      <w:pPr>
        <w:keepNext/>
        <w:keepLines w:val="0"/>
        <w:pageBreakBefore w:val="0"/>
        <w:widowControl w:val="0"/>
        <w:kinsoku/>
        <w:wordWrap/>
        <w:overflowPunct/>
        <w:topLinePunct w:val="0"/>
        <w:autoSpaceDE/>
        <w:autoSpaceDN/>
        <w:bidi w:val="0"/>
        <w:adjustRightInd/>
        <w:snapToGrid/>
        <w:spacing w:line="560" w:lineRule="exact"/>
        <w:ind w:left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项目行政主管单位：托克逊县乡村振兴局</w:t>
      </w:r>
    </w:p>
    <w:p>
      <w:pPr>
        <w:keepNext/>
        <w:keepLines w:val="0"/>
        <w:pageBreakBefore w:val="0"/>
        <w:widowControl w:val="0"/>
        <w:kinsoku/>
        <w:wordWrap/>
        <w:overflowPunct/>
        <w:topLinePunct w:val="0"/>
        <w:autoSpaceDE/>
        <w:autoSpaceDN/>
        <w:bidi w:val="0"/>
        <w:adjustRightInd/>
        <w:snapToGrid/>
        <w:spacing w:line="560" w:lineRule="exact"/>
        <w:ind w:left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项目实施单位：夏镇人民政府</w:t>
      </w:r>
    </w:p>
    <w:p>
      <w:pPr>
        <w:keepNext/>
        <w:keepLines w:val="0"/>
        <w:pageBreakBefore w:val="0"/>
        <w:widowControl w:val="0"/>
        <w:kinsoku/>
        <w:wordWrap/>
        <w:overflowPunct/>
        <w:topLinePunct w:val="0"/>
        <w:autoSpaceDE/>
        <w:autoSpaceDN/>
        <w:bidi w:val="0"/>
        <w:adjustRightInd/>
        <w:snapToGrid/>
        <w:spacing w:line="560" w:lineRule="exact"/>
        <w:ind w:left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编 制  时 间：2025年1月7日</w:t>
      </w:r>
    </w:p>
    <w:p>
      <w:pPr>
        <w:keepNext/>
        <w:keepLines w:val="0"/>
        <w:pageBreakBefore w:val="0"/>
        <w:widowControl w:val="0"/>
        <w:kinsoku/>
        <w:wordWrap/>
        <w:overflowPunct/>
        <w:topLinePunct w:val="0"/>
        <w:autoSpaceDE/>
        <w:autoSpaceDN/>
        <w:bidi w:val="0"/>
        <w:adjustRightInd/>
        <w:snapToGrid/>
        <w:spacing w:line="560" w:lineRule="exact"/>
        <w:ind w:left="420" w:leftChars="200" w:firstLine="1280" w:firstLineChars="400"/>
        <w:jc w:val="both"/>
        <w:textAlignment w:val="auto"/>
        <w:rPr>
          <w:rFonts w:hint="eastAsia" w:ascii="黑体" w:hAnsi="黑体" w:eastAsia="黑体" w:cs="黑体"/>
          <w:b w:val="0"/>
          <w:bCs w:val="0"/>
          <w:sz w:val="32"/>
          <w:szCs w:val="32"/>
          <w:lang w:val="en-US" w:eastAsia="zh-CN"/>
        </w:rPr>
        <w:sectPr>
          <w:pgSz w:w="11906" w:h="16838"/>
          <w:pgMar w:top="1440" w:right="1797" w:bottom="1440" w:left="1797" w:header="851" w:footer="992" w:gutter="0"/>
          <w:cols w:space="720" w:num="1"/>
          <w:docGrid w:linePitch="286" w:charSpace="0"/>
        </w:sectPr>
      </w:pPr>
    </w:p>
    <w:p>
      <w:pPr>
        <w:keepNext w:val="0"/>
        <w:keepLines w:val="0"/>
        <w:pageBreakBefore w:val="0"/>
        <w:widowControl w:val="0"/>
        <w:kinsoku/>
        <w:wordWrap/>
        <w:overflowPunct/>
        <w:topLinePunct w:val="0"/>
        <w:autoSpaceDE/>
        <w:autoSpaceDN/>
        <w:bidi w:val="0"/>
        <w:adjustRightInd/>
        <w:snapToGrid/>
        <w:spacing w:before="144" w:beforeLines="50" w:after="240" w:afterLines="100" w:line="560" w:lineRule="exact"/>
        <w:jc w:val="center"/>
        <w:textAlignment w:val="auto"/>
        <w:rPr>
          <w:rFonts w:hint="eastAsia" w:ascii="方正小标宋简体" w:hAnsi="方正黑体简体" w:eastAsia="方正小标宋简体"/>
          <w:color w:val="auto"/>
          <w:sz w:val="44"/>
          <w:szCs w:val="44"/>
          <w:highlight w:val="none"/>
          <w:lang w:val="en-US" w:eastAsia="zh-CN"/>
        </w:rPr>
      </w:pPr>
      <w:r>
        <w:rPr>
          <w:rFonts w:hint="eastAsia" w:ascii="方正小标宋简体" w:hAnsi="方正黑体简体" w:eastAsia="方正小标宋简体"/>
          <w:color w:val="auto"/>
          <w:sz w:val="44"/>
          <w:szCs w:val="44"/>
          <w:highlight w:val="none"/>
          <w:lang w:val="en-US" w:eastAsia="zh-CN"/>
        </w:rPr>
        <w:t>夏镇奥依曼买里村杏子产业园道路建设项目</w:t>
      </w:r>
    </w:p>
    <w:p>
      <w:pPr>
        <w:keepNext w:val="0"/>
        <w:keepLines w:val="0"/>
        <w:pageBreakBefore w:val="0"/>
        <w:widowControl w:val="0"/>
        <w:kinsoku/>
        <w:wordWrap/>
        <w:overflowPunct/>
        <w:topLinePunct w:val="0"/>
        <w:autoSpaceDE/>
        <w:autoSpaceDN/>
        <w:bidi w:val="0"/>
        <w:adjustRightInd/>
        <w:snapToGrid/>
        <w:spacing w:before="144" w:beforeLines="50" w:after="240" w:afterLines="100" w:line="560" w:lineRule="exact"/>
        <w:jc w:val="center"/>
        <w:textAlignment w:val="auto"/>
        <w:rPr>
          <w:rFonts w:ascii="方正小标宋简体" w:hAnsi="方正黑体简体" w:eastAsia="方正小标宋简体"/>
          <w:color w:val="auto"/>
          <w:sz w:val="44"/>
          <w:szCs w:val="44"/>
          <w:highlight w:val="none"/>
        </w:rPr>
      </w:pPr>
      <w:r>
        <w:rPr>
          <w:rFonts w:hint="eastAsia" w:ascii="方正小标宋简体" w:hAnsi="方正黑体简体" w:eastAsia="方正小标宋简体"/>
          <w:color w:val="auto"/>
          <w:sz w:val="44"/>
          <w:szCs w:val="44"/>
          <w:highlight w:val="none"/>
        </w:rPr>
        <w:t>实施方案</w:t>
      </w:r>
    </w:p>
    <w:p>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0" w:firstLineChars="200"/>
        <w:rPr>
          <w:rFonts w:hint="eastAsia" w:ascii="仿宋_GB2312" w:hAnsi="仿宋_GB2312" w:eastAsia="仿宋_GB2312" w:cs="仿宋_GB2312"/>
          <w:b/>
          <w:bCs/>
          <w:color w:val="auto"/>
          <w:sz w:val="32"/>
          <w:szCs w:val="32"/>
          <w:highlight w:val="none"/>
          <w:lang w:val="en-US" w:eastAsia="zh-CN"/>
        </w:rPr>
      </w:pPr>
      <w:r>
        <w:rPr>
          <w:rFonts w:hint="eastAsia" w:ascii="黑体" w:hAnsi="黑体" w:eastAsia="黑体" w:cs="黑体"/>
          <w:kern w:val="2"/>
          <w:sz w:val="32"/>
          <w:szCs w:val="22"/>
          <w:lang w:val="en-US" w:eastAsia="zh-CN" w:bidi="ar-SA"/>
        </w:rPr>
        <w:t>一、项目概况</w:t>
      </w:r>
    </w:p>
    <w:p>
      <w:pPr>
        <w:pStyle w:val="18"/>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kern w:val="2"/>
          <w:sz w:val="32"/>
          <w:szCs w:val="32"/>
          <w:lang w:val="en-US" w:eastAsia="zh-CN" w:bidi="ar-SA"/>
        </w:rPr>
        <w:t>项目名称：</w:t>
      </w:r>
      <w:r>
        <w:rPr>
          <w:rFonts w:hint="eastAsia" w:ascii="仿宋_GB2312" w:hAnsi="仿宋_GB2312" w:eastAsia="仿宋_GB2312" w:cs="仿宋_GB2312"/>
          <w:color w:val="auto"/>
          <w:sz w:val="32"/>
          <w:szCs w:val="32"/>
          <w:highlight w:val="none"/>
          <w:lang w:val="en-US" w:eastAsia="zh-CN"/>
        </w:rPr>
        <w:t>夏镇奥依曼买里村杏子产业园道路建设项目</w:t>
      </w:r>
    </w:p>
    <w:p>
      <w:pPr>
        <w:pStyle w:val="18"/>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项目库编号：</w:t>
      </w:r>
      <w:r>
        <w:rPr>
          <w:rFonts w:hint="eastAsia" w:ascii="仿宋_GB2312" w:hAnsi="仿宋_GB2312" w:eastAsia="仿宋_GB2312" w:cs="仿宋_GB2312"/>
          <w:sz w:val="32"/>
          <w:szCs w:val="32"/>
          <w:highlight w:val="none"/>
          <w:lang w:val="en-US" w:eastAsia="zh-CN"/>
        </w:rPr>
        <w:t>TKX0015</w:t>
      </w:r>
    </w:p>
    <w:p>
      <w:pPr>
        <w:pStyle w:val="18"/>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项目建设单位及单位负责人：</w:t>
      </w:r>
      <w:r>
        <w:rPr>
          <w:rFonts w:hint="eastAsia" w:ascii="仿宋_GB2312" w:hAnsi="仿宋_GB2312" w:eastAsia="仿宋_GB2312" w:cs="仿宋_GB2312"/>
          <w:color w:val="auto"/>
          <w:sz w:val="32"/>
          <w:szCs w:val="32"/>
          <w:highlight w:val="none"/>
          <w:lang w:eastAsia="zh-CN"/>
        </w:rPr>
        <w:t>夏镇</w:t>
      </w:r>
      <w:r>
        <w:rPr>
          <w:rFonts w:hint="eastAsia" w:ascii="仿宋_GB2312" w:hAnsi="仿宋_GB2312" w:eastAsia="仿宋_GB2312" w:cs="仿宋_GB2312"/>
          <w:color w:val="auto"/>
          <w:sz w:val="32"/>
          <w:szCs w:val="32"/>
          <w:highlight w:val="none"/>
        </w:rPr>
        <w:t>人民政府（法人：</w:t>
      </w:r>
      <w:r>
        <w:rPr>
          <w:rFonts w:hint="eastAsia" w:ascii="仿宋_GB2312" w:hAnsi="仿宋_GB2312" w:eastAsia="仿宋_GB2312" w:cs="仿宋_GB2312"/>
          <w:color w:val="auto"/>
          <w:sz w:val="32"/>
          <w:szCs w:val="32"/>
          <w:highlight w:val="none"/>
          <w:lang w:eastAsia="zh-CN"/>
        </w:rPr>
        <w:t>夏镇</w:t>
      </w:r>
      <w:r>
        <w:rPr>
          <w:rFonts w:hint="eastAsia" w:ascii="仿宋_GB2312" w:hAnsi="仿宋_GB2312" w:eastAsia="仿宋_GB2312" w:cs="仿宋_GB2312"/>
          <w:color w:val="auto"/>
          <w:sz w:val="32"/>
          <w:szCs w:val="32"/>
          <w:highlight w:val="none"/>
        </w:rPr>
        <w:t>党委副书记、</w:t>
      </w:r>
      <w:r>
        <w:rPr>
          <w:rFonts w:hint="eastAsia" w:ascii="仿宋_GB2312" w:hAnsi="仿宋_GB2312" w:eastAsia="仿宋_GB2312" w:cs="仿宋_GB2312"/>
          <w:color w:val="auto"/>
          <w:sz w:val="32"/>
          <w:szCs w:val="32"/>
          <w:highlight w:val="none"/>
          <w:lang w:eastAsia="zh-CN"/>
        </w:rPr>
        <w:t>镇</w:t>
      </w:r>
      <w:r>
        <w:rPr>
          <w:rFonts w:hint="eastAsia" w:ascii="仿宋_GB2312" w:hAnsi="仿宋_GB2312" w:eastAsia="仿宋_GB2312" w:cs="仿宋_GB2312"/>
          <w:color w:val="auto"/>
          <w:sz w:val="32"/>
          <w:szCs w:val="32"/>
          <w:highlight w:val="none"/>
        </w:rPr>
        <w:t xml:space="preserve">长  </w:t>
      </w:r>
      <w:r>
        <w:rPr>
          <w:rFonts w:hint="eastAsia" w:ascii="仿宋_GB2312" w:hAnsi="仿宋_GB2312" w:eastAsia="仿宋_GB2312" w:cs="仿宋_GB2312"/>
          <w:color w:val="auto"/>
          <w:sz w:val="32"/>
          <w:szCs w:val="32"/>
          <w:highlight w:val="none"/>
          <w:lang w:eastAsia="zh-CN"/>
        </w:rPr>
        <w:t>艾尼瓦尔</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尔西丁</w:t>
      </w:r>
      <w:r>
        <w:rPr>
          <w:rFonts w:hint="eastAsia" w:ascii="仿宋_GB2312" w:hAnsi="仿宋_GB2312" w:eastAsia="仿宋_GB2312" w:cs="仿宋_GB2312"/>
          <w:color w:val="auto"/>
          <w:sz w:val="32"/>
          <w:szCs w:val="32"/>
          <w:highlight w:val="none"/>
          <w:lang w:eastAsia="zh-CN"/>
        </w:rPr>
        <w:t>）</w:t>
      </w:r>
    </w:p>
    <w:p>
      <w:pPr>
        <w:pStyle w:val="18"/>
        <w:keepNext/>
        <w:keepLines w:val="0"/>
        <w:pageBreakBefore w:val="0"/>
        <w:widowControl w:val="0"/>
        <w:numPr>
          <w:ilvl w:val="0"/>
          <w:numId w:val="0"/>
        </w:numPr>
        <w:kinsoku/>
        <w:wordWrap/>
        <w:overflowPunct/>
        <w:topLinePunct w:val="0"/>
        <w:autoSpaceDE/>
        <w:autoSpaceDN/>
        <w:bidi w:val="0"/>
        <w:adjustRightInd/>
        <w:snapToGrid/>
        <w:spacing w:line="560" w:lineRule="exact"/>
        <w:ind w:leftChars="200"/>
        <w:jc w:val="both"/>
        <w:textAlignment w:val="auto"/>
        <w:rPr>
          <w:rFonts w:hint="default" w:ascii="仿宋_GB2312" w:hAnsi="仿宋_GB2312" w:eastAsia="仿宋_GB2312" w:cs="仿宋_GB2312"/>
          <w:b/>
          <w:bCs/>
          <w:kern w:val="2"/>
          <w:sz w:val="28"/>
          <w:szCs w:val="21"/>
          <w:lang w:val="en-US" w:eastAsia="zh-CN" w:bidi="ar-SA"/>
        </w:rPr>
      </w:pPr>
      <w:r>
        <w:rPr>
          <w:rFonts w:hint="eastAsia" w:ascii="仿宋_GB2312" w:hAnsi="仿宋_GB2312" w:eastAsia="仿宋_GB2312" w:cs="仿宋_GB2312"/>
          <w:b/>
          <w:bCs/>
          <w:kern w:val="2"/>
          <w:sz w:val="32"/>
          <w:szCs w:val="32"/>
          <w:lang w:val="en-US" w:eastAsia="zh-CN" w:bidi="ar-SA"/>
        </w:rPr>
        <w:t xml:space="preserve">    项目负责人：</w:t>
      </w:r>
      <w:r>
        <w:rPr>
          <w:rFonts w:hint="eastAsia" w:ascii="仿宋_GB2312" w:hAnsi="Calibri" w:eastAsia="仿宋_GB2312" w:cs="Times New Roman"/>
          <w:color w:val="auto"/>
          <w:sz w:val="32"/>
          <w:szCs w:val="32"/>
          <w:highlight w:val="none"/>
          <w:lang w:val="en-US" w:eastAsia="zh-CN"/>
        </w:rPr>
        <w:t xml:space="preserve">马军 </w:t>
      </w:r>
    </w:p>
    <w:p>
      <w:pPr>
        <w:pStyle w:val="18"/>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项目行政主管单位：</w:t>
      </w:r>
      <w:r>
        <w:rPr>
          <w:rFonts w:hint="eastAsia" w:ascii="仿宋_GB2312" w:hAnsi="仿宋_GB2312" w:eastAsia="仿宋_GB2312" w:cs="仿宋_GB2312"/>
          <w:b w:val="0"/>
          <w:bCs w:val="0"/>
          <w:kern w:val="2"/>
          <w:sz w:val="32"/>
          <w:szCs w:val="32"/>
          <w:lang w:val="en-US" w:eastAsia="zh-CN" w:bidi="ar-SA"/>
        </w:rPr>
        <w:t>托克逊县乡</w:t>
      </w:r>
      <w:bookmarkStart w:id="0" w:name="_GoBack"/>
      <w:bookmarkEnd w:id="0"/>
      <w:r>
        <w:rPr>
          <w:rFonts w:hint="eastAsia" w:ascii="仿宋_GB2312" w:hAnsi="仿宋_GB2312" w:eastAsia="仿宋_GB2312" w:cs="仿宋_GB2312"/>
          <w:b w:val="0"/>
          <w:bCs w:val="0"/>
          <w:kern w:val="2"/>
          <w:sz w:val="32"/>
          <w:szCs w:val="32"/>
          <w:lang w:val="en-US" w:eastAsia="zh-CN" w:bidi="ar-SA"/>
        </w:rPr>
        <w:t>村振兴局</w:t>
      </w:r>
    </w:p>
    <w:p>
      <w:pPr>
        <w:pStyle w:val="18"/>
        <w:keepNext/>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643" w:firstLineChars="200"/>
        <w:jc w:val="both"/>
        <w:textAlignment w:val="auto"/>
        <w:rPr>
          <w:rFonts w:hint="default"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项目行业主管单位：</w:t>
      </w:r>
      <w:r>
        <w:rPr>
          <w:rFonts w:hint="eastAsia" w:ascii="仿宋_GB2312" w:hAnsi="仿宋_GB2312" w:eastAsia="仿宋_GB2312" w:cs="仿宋_GB2312"/>
          <w:b w:val="0"/>
          <w:bCs w:val="0"/>
          <w:kern w:val="2"/>
          <w:sz w:val="32"/>
          <w:szCs w:val="32"/>
          <w:lang w:val="en-US" w:eastAsia="zh-CN" w:bidi="ar-SA"/>
        </w:rPr>
        <w:t>托克逊县交通运输局</w:t>
      </w:r>
    </w:p>
    <w:p>
      <w:pPr>
        <w:pStyle w:val="18"/>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项目建设性质：</w:t>
      </w:r>
      <w:r>
        <w:rPr>
          <w:rFonts w:hint="eastAsia" w:ascii="仿宋_GB2312" w:hAnsi="仿宋_GB2312" w:eastAsia="仿宋_GB2312" w:cs="仿宋_GB2312"/>
          <w:color w:val="auto"/>
          <w:sz w:val="32"/>
          <w:szCs w:val="32"/>
          <w:highlight w:val="none"/>
          <w:lang w:val="en-US" w:eastAsia="zh-CN"/>
        </w:rPr>
        <w:t>新建</w:t>
      </w:r>
    </w:p>
    <w:p>
      <w:pPr>
        <w:pStyle w:val="18"/>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项目类别：</w:t>
      </w:r>
      <w:r>
        <w:rPr>
          <w:rFonts w:hint="eastAsia" w:ascii="仿宋_GB2312" w:hAnsi="仿宋_GB2312" w:eastAsia="仿宋_GB2312" w:cs="仿宋_GB2312"/>
          <w:color w:val="auto"/>
          <w:sz w:val="32"/>
          <w:szCs w:val="32"/>
          <w:highlight w:val="none"/>
          <w:lang w:val="en-US" w:eastAsia="zh-CN"/>
        </w:rPr>
        <w:t>道路等基础设施建设</w:t>
      </w:r>
    </w:p>
    <w:p>
      <w:pPr>
        <w:pStyle w:val="18"/>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建设地点：</w:t>
      </w:r>
      <w:r>
        <w:rPr>
          <w:rFonts w:hint="eastAsia" w:ascii="仿宋_GB2312" w:hAnsi="Calibri" w:eastAsia="仿宋_GB2312" w:cs="Times New Roman"/>
          <w:b w:val="0"/>
          <w:bCs w:val="0"/>
          <w:color w:val="auto"/>
          <w:kern w:val="2"/>
          <w:sz w:val="32"/>
          <w:szCs w:val="32"/>
          <w:highlight w:val="none"/>
          <w:lang w:val="en-US" w:eastAsia="zh-CN" w:bidi="ar-SA"/>
        </w:rPr>
        <w:t>夏镇奥依曼买里村</w:t>
      </w:r>
    </w:p>
    <w:p>
      <w:pPr>
        <w:pStyle w:val="18"/>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项目总投资：</w:t>
      </w:r>
      <w:r>
        <w:rPr>
          <w:rFonts w:hint="eastAsia" w:ascii="仿宋_GB2312" w:hAnsi="仿宋_GB2312" w:eastAsia="仿宋_GB2312" w:cs="仿宋_GB2312"/>
          <w:b w:val="0"/>
          <w:bCs w:val="0"/>
          <w:kern w:val="2"/>
          <w:sz w:val="32"/>
          <w:szCs w:val="32"/>
          <w:lang w:val="en-US" w:eastAsia="zh-CN" w:bidi="ar-SA"/>
        </w:rPr>
        <w:t>400万元</w:t>
      </w:r>
    </w:p>
    <w:p>
      <w:pPr>
        <w:pStyle w:val="18"/>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9、主要建设内容与规模：</w:t>
      </w:r>
      <w:r>
        <w:rPr>
          <w:rFonts w:hint="eastAsia" w:ascii="仿宋_GB2312" w:hAnsi="仿宋_GB2312" w:eastAsia="仿宋_GB2312" w:cs="仿宋_GB2312"/>
          <w:b w:val="0"/>
          <w:bCs w:val="0"/>
          <w:kern w:val="2"/>
          <w:sz w:val="32"/>
          <w:szCs w:val="32"/>
          <w:lang w:val="en-US" w:eastAsia="zh-CN" w:bidi="ar-SA"/>
        </w:rPr>
        <w:t>计划在奥依曼买里村杏子产业园内铺设4.5公里沥青道路以及附属设施，项目建设费用约380万元、其他费用约20万元。项目总投资约400万元。</w:t>
      </w:r>
    </w:p>
    <w:p>
      <w:pPr>
        <w:pStyle w:val="18"/>
        <w:keepNext/>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黑体" w:hAnsi="黑体" w:eastAsia="黑体" w:cs="黑体"/>
          <w:kern w:val="2"/>
          <w:sz w:val="32"/>
          <w:szCs w:val="22"/>
          <w:lang w:val="en-US" w:eastAsia="zh-CN" w:bidi="ar-SA"/>
        </w:rPr>
      </w:pPr>
      <w:r>
        <w:rPr>
          <w:rFonts w:hint="eastAsia" w:ascii="黑体" w:hAnsi="黑体" w:eastAsia="黑体" w:cs="黑体"/>
          <w:kern w:val="2"/>
          <w:sz w:val="32"/>
          <w:szCs w:val="22"/>
          <w:lang w:val="en-US" w:eastAsia="zh-CN" w:bidi="ar-SA"/>
        </w:rPr>
        <w:t>二、项目区基本情况及建设必要性、可行性</w:t>
      </w:r>
    </w:p>
    <w:p>
      <w:pPr>
        <w:keepNext/>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textAlignment w:val="auto"/>
        <w:outlineLvl w:val="9"/>
        <w:rPr>
          <w:rFonts w:hint="default" w:ascii="仿宋_GB2312" w:hAnsi="仿宋_GB2312" w:eastAsia="仿宋_GB2312" w:cs="仿宋_GB2312"/>
          <w:sz w:val="28"/>
          <w:szCs w:val="36"/>
          <w:lang w:val="en-US" w:eastAsia="zh-CN"/>
        </w:rPr>
      </w:pPr>
      <w:r>
        <w:rPr>
          <w:rFonts w:hint="eastAsia" w:ascii="仿宋_GB2312" w:hAnsi="仿宋_GB2312" w:eastAsia="仿宋_GB2312" w:cs="仿宋_GB2312"/>
          <w:b/>
          <w:sz w:val="32"/>
          <w:szCs w:val="32"/>
          <w:lang w:val="en-US" w:eastAsia="zh-CN"/>
        </w:rPr>
        <w:t>1、项目区基本情况：</w:t>
      </w:r>
      <w:r>
        <w:rPr>
          <w:rFonts w:hint="eastAsia" w:ascii="仿宋_GB2312" w:hAnsi="仿宋_GB2312" w:eastAsia="仿宋_GB2312" w:cs="仿宋_GB2312"/>
          <w:b w:val="0"/>
          <w:bCs w:val="0"/>
          <w:color w:val="auto"/>
          <w:sz w:val="32"/>
          <w:szCs w:val="32"/>
          <w:highlight w:val="none"/>
          <w:lang w:eastAsia="zh-CN"/>
        </w:rPr>
        <w:t>夏镇奥依曼买里村位于托克逊县东南部，距县城中心5公里。辖8个自然村，总面积38平方公里，耕地面积6850亩，全镇总人口8910户29950人，其中非农业户籍1758户2405人，农业户籍7158户26545人，脱贫户752户2620人，监测户107户310人。均已达到“一超过、两不愁三保障”脱贫标准。随着夏镇奥依曼买里村经济的快速发展，现有的交通设施已无法满足日益增长的交通需求。为了提升村民出行便利，促进经济发展，特制定此产业路建设项目</w:t>
      </w:r>
      <w:r>
        <w:rPr>
          <w:rFonts w:hint="eastAsia" w:ascii="仿宋_GB2312" w:hAnsi="仿宋_GB2312" w:eastAsia="仿宋_GB2312" w:cs="仿宋_GB2312"/>
          <w:bCs/>
          <w:color w:val="auto"/>
          <w:kern w:val="0"/>
          <w:sz w:val="32"/>
          <w:szCs w:val="32"/>
          <w:highlight w:val="none"/>
        </w:rPr>
        <w:t>。</w:t>
      </w:r>
    </w:p>
    <w:p>
      <w:pPr>
        <w:pStyle w:val="15"/>
        <w:keepNext w:val="0"/>
        <w:keepLines w:val="0"/>
        <w:pageBreakBefore w:val="0"/>
        <w:widowControl w:val="0"/>
        <w:kinsoku/>
        <w:wordWrap/>
        <w:overflowPunct/>
        <w:topLinePunct w:val="0"/>
        <w:autoSpaceDN/>
        <w:bidi w:val="0"/>
        <w:adjustRightInd/>
        <w:snapToGrid/>
        <w:spacing w:line="560" w:lineRule="exact"/>
        <w:rPr>
          <w:rFonts w:hint="default" w:ascii="仿宋_GB2312" w:hAnsi="仿宋_GB2312" w:eastAsia="仿宋_GB2312" w:cs="仿宋_GB2312"/>
          <w:color w:val="auto"/>
          <w:w w:val="100"/>
          <w:kern w:val="2"/>
          <w:sz w:val="32"/>
          <w:szCs w:val="32"/>
          <w:highlight w:val="none"/>
          <w:lang w:val="en-US" w:eastAsia="zh-CN" w:bidi="ar-SA"/>
        </w:rPr>
      </w:pPr>
      <w:r>
        <w:rPr>
          <w:rFonts w:hint="eastAsia" w:ascii="仿宋_GB2312" w:hAnsi="仿宋_GB2312" w:eastAsia="仿宋_GB2312" w:cs="仿宋_GB2312"/>
          <w:b/>
          <w:sz w:val="32"/>
          <w:szCs w:val="32"/>
          <w:lang w:val="en-US" w:eastAsia="zh-CN"/>
        </w:rPr>
        <w:t>2、建设的</w:t>
      </w:r>
      <w:r>
        <w:rPr>
          <w:rFonts w:hint="eastAsia" w:ascii="仿宋_GB2312" w:hAnsi="仿宋_GB2312" w:eastAsia="仿宋_GB2312" w:cs="仿宋_GB2312"/>
          <w:b/>
          <w:bCs/>
          <w:sz w:val="32"/>
          <w:szCs w:val="32"/>
          <w:highlight w:val="none"/>
          <w:lang w:val="en-US" w:eastAsia="zh-CN"/>
        </w:rPr>
        <w:t>必要性：</w:t>
      </w:r>
      <w:r>
        <w:rPr>
          <w:rFonts w:hint="eastAsia" w:ascii="仿宋_GB2312" w:hAnsi="仿宋_GB2312" w:cs="仿宋_GB2312"/>
          <w:b/>
          <w:bCs/>
          <w:color w:val="auto"/>
          <w:w w:val="100"/>
          <w:kern w:val="2"/>
          <w:sz w:val="32"/>
          <w:szCs w:val="32"/>
          <w:highlight w:val="none"/>
          <w:lang w:val="en-US" w:eastAsia="zh-CN" w:bidi="ar-SA"/>
        </w:rPr>
        <w:t>一是</w:t>
      </w:r>
      <w:r>
        <w:rPr>
          <w:rFonts w:hint="eastAsia" w:ascii="仿宋_GB2312" w:hAnsi="仿宋_GB2312" w:eastAsia="仿宋_GB2312" w:cs="仿宋_GB2312"/>
          <w:color w:val="auto"/>
          <w:w w:val="100"/>
          <w:kern w:val="2"/>
          <w:sz w:val="32"/>
          <w:szCs w:val="32"/>
          <w:highlight w:val="none"/>
          <w:lang w:val="en-US" w:eastAsia="zh-CN" w:bidi="ar-SA"/>
        </w:rPr>
        <w:t>杏子产业园作为奥依曼买里村的一个重要地点，是村民休闲、娱乐、集会的重要场所。建设</w:t>
      </w:r>
      <w:r>
        <w:rPr>
          <w:rFonts w:hint="eastAsia" w:ascii="仿宋_GB2312" w:hAnsi="仿宋_GB2312" w:cs="仿宋_GB2312"/>
          <w:color w:val="auto"/>
          <w:w w:val="100"/>
          <w:kern w:val="2"/>
          <w:sz w:val="32"/>
          <w:szCs w:val="32"/>
          <w:highlight w:val="none"/>
          <w:lang w:val="en-US" w:eastAsia="zh-CN" w:bidi="ar-SA"/>
        </w:rPr>
        <w:t>道路建设</w:t>
      </w:r>
      <w:r>
        <w:rPr>
          <w:rFonts w:hint="eastAsia" w:ascii="仿宋_GB2312" w:hAnsi="仿宋_GB2312" w:eastAsia="仿宋_GB2312" w:cs="仿宋_GB2312"/>
          <w:color w:val="auto"/>
          <w:w w:val="100"/>
          <w:kern w:val="2"/>
          <w:sz w:val="32"/>
          <w:szCs w:val="32"/>
          <w:highlight w:val="none"/>
          <w:lang w:val="en-US" w:eastAsia="zh-CN" w:bidi="ar-SA"/>
        </w:rPr>
        <w:t>将极大地方便村民和游客的出行，进而促进当地旅游业和相关产业的发展，为当地经济带来积极的推动作用。</w:t>
      </w:r>
      <w:r>
        <w:rPr>
          <w:rFonts w:hint="eastAsia" w:ascii="仿宋_GB2312" w:hAnsi="仿宋_GB2312" w:cs="仿宋_GB2312"/>
          <w:color w:val="auto"/>
          <w:w w:val="100"/>
          <w:kern w:val="2"/>
          <w:sz w:val="32"/>
          <w:szCs w:val="32"/>
          <w:highlight w:val="none"/>
          <w:lang w:val="en-US" w:eastAsia="zh-CN" w:bidi="ar-SA"/>
        </w:rPr>
        <w:t>二是</w:t>
      </w:r>
      <w:r>
        <w:rPr>
          <w:rFonts w:hint="eastAsia" w:ascii="仿宋_GB2312" w:hAnsi="仿宋_GB2312" w:eastAsia="仿宋_GB2312" w:cs="仿宋_GB2312"/>
          <w:color w:val="auto"/>
          <w:w w:val="100"/>
          <w:kern w:val="2"/>
          <w:sz w:val="32"/>
          <w:szCs w:val="32"/>
          <w:highlight w:val="none"/>
          <w:lang w:val="en-US" w:eastAsia="zh-CN" w:bidi="ar-SA"/>
        </w:rPr>
        <w:t>铺设沥青道路可以提升托海公园的整体形象和品质，为游客提供更加舒适、便捷的游览体验。这将有助于提升公园的吸引力和知名度，进一步促进当地旅游业的发展。</w:t>
      </w:r>
      <w:r>
        <w:rPr>
          <w:rFonts w:hint="eastAsia" w:ascii="仿宋_GB2312" w:hAnsi="仿宋_GB2312" w:cs="仿宋_GB2312"/>
          <w:color w:val="auto"/>
          <w:w w:val="100"/>
          <w:kern w:val="2"/>
          <w:sz w:val="32"/>
          <w:szCs w:val="32"/>
          <w:highlight w:val="none"/>
          <w:lang w:val="en-US" w:eastAsia="zh-CN" w:bidi="ar-SA"/>
        </w:rPr>
        <w:t>三是</w:t>
      </w:r>
      <w:r>
        <w:rPr>
          <w:rFonts w:hint="eastAsia" w:ascii="仿宋_GB2312" w:hAnsi="仿宋_GB2312" w:eastAsia="仿宋_GB2312" w:cs="仿宋_GB2312"/>
          <w:color w:val="auto"/>
          <w:w w:val="100"/>
          <w:kern w:val="2"/>
          <w:sz w:val="32"/>
          <w:szCs w:val="32"/>
          <w:highlight w:val="none"/>
          <w:lang w:val="en-US" w:eastAsia="zh-CN" w:bidi="ar-SA"/>
        </w:rPr>
        <w:t>建设产业路将极大地改善</w:t>
      </w:r>
      <w:r>
        <w:rPr>
          <w:rFonts w:hint="eastAsia" w:ascii="仿宋_GB2312" w:hAnsi="仿宋_GB2312" w:cs="仿宋_GB2312"/>
          <w:color w:val="auto"/>
          <w:w w:val="100"/>
          <w:kern w:val="2"/>
          <w:sz w:val="32"/>
          <w:szCs w:val="32"/>
          <w:highlight w:val="none"/>
          <w:lang w:val="en-US" w:eastAsia="zh-CN" w:bidi="ar-SA"/>
        </w:rPr>
        <w:t>杏子产业园</w:t>
      </w:r>
      <w:r>
        <w:rPr>
          <w:rFonts w:hint="eastAsia" w:ascii="仿宋_GB2312" w:hAnsi="仿宋_GB2312" w:eastAsia="仿宋_GB2312" w:cs="仿宋_GB2312"/>
          <w:color w:val="auto"/>
          <w:w w:val="100"/>
          <w:kern w:val="2"/>
          <w:sz w:val="32"/>
          <w:szCs w:val="32"/>
          <w:highlight w:val="none"/>
          <w:lang w:val="en-US" w:eastAsia="zh-CN" w:bidi="ar-SA"/>
        </w:rPr>
        <w:t>的交通条件，方便游客和村民的出行，同时也为</w:t>
      </w:r>
      <w:r>
        <w:rPr>
          <w:rFonts w:hint="eastAsia" w:ascii="仿宋_GB2312" w:hAnsi="仿宋_GB2312" w:cs="仿宋_GB2312"/>
          <w:color w:val="auto"/>
          <w:w w:val="100"/>
          <w:kern w:val="2"/>
          <w:sz w:val="32"/>
          <w:szCs w:val="32"/>
          <w:highlight w:val="none"/>
          <w:lang w:val="en-US" w:eastAsia="zh-CN" w:bidi="ar-SA"/>
        </w:rPr>
        <w:t>产业园</w:t>
      </w:r>
      <w:r>
        <w:rPr>
          <w:rFonts w:hint="eastAsia" w:ascii="仿宋_GB2312" w:hAnsi="仿宋_GB2312" w:eastAsia="仿宋_GB2312" w:cs="仿宋_GB2312"/>
          <w:color w:val="auto"/>
          <w:w w:val="100"/>
          <w:kern w:val="2"/>
          <w:sz w:val="32"/>
          <w:szCs w:val="32"/>
          <w:highlight w:val="none"/>
          <w:lang w:val="en-US" w:eastAsia="zh-CN" w:bidi="ar-SA"/>
        </w:rPr>
        <w:t>内的各种活动提供了便利。这对于提升</w:t>
      </w:r>
      <w:r>
        <w:rPr>
          <w:rFonts w:hint="eastAsia" w:ascii="仿宋_GB2312" w:hAnsi="仿宋_GB2312" w:cs="仿宋_GB2312"/>
          <w:color w:val="auto"/>
          <w:w w:val="100"/>
          <w:kern w:val="2"/>
          <w:sz w:val="32"/>
          <w:szCs w:val="32"/>
          <w:highlight w:val="none"/>
          <w:lang w:val="en-US" w:eastAsia="zh-CN" w:bidi="ar-SA"/>
        </w:rPr>
        <w:t>产业园</w:t>
      </w:r>
      <w:r>
        <w:rPr>
          <w:rFonts w:hint="eastAsia" w:ascii="仿宋_GB2312" w:hAnsi="仿宋_GB2312" w:eastAsia="仿宋_GB2312" w:cs="仿宋_GB2312"/>
          <w:color w:val="auto"/>
          <w:w w:val="100"/>
          <w:kern w:val="2"/>
          <w:sz w:val="32"/>
          <w:szCs w:val="32"/>
          <w:highlight w:val="none"/>
          <w:lang w:val="en-US" w:eastAsia="zh-CN" w:bidi="ar-SA"/>
        </w:rPr>
        <w:t>的使用效率和游客满意度具有重要意义。</w:t>
      </w:r>
      <w:r>
        <w:rPr>
          <w:rFonts w:hint="eastAsia" w:ascii="仿宋_GB2312" w:hAnsi="仿宋_GB2312" w:cs="仿宋_GB2312"/>
          <w:color w:val="auto"/>
          <w:w w:val="100"/>
          <w:kern w:val="2"/>
          <w:sz w:val="32"/>
          <w:szCs w:val="32"/>
          <w:highlight w:val="none"/>
          <w:lang w:val="en-US" w:eastAsia="zh-CN" w:bidi="ar-SA"/>
        </w:rPr>
        <w:t>四是道路</w:t>
      </w:r>
      <w:r>
        <w:rPr>
          <w:rFonts w:hint="eastAsia" w:ascii="仿宋_GB2312" w:hAnsi="仿宋_GB2312" w:eastAsia="仿宋_GB2312" w:cs="仿宋_GB2312"/>
          <w:color w:val="auto"/>
          <w:w w:val="100"/>
          <w:kern w:val="2"/>
          <w:sz w:val="32"/>
          <w:szCs w:val="32"/>
          <w:highlight w:val="none"/>
          <w:lang w:val="en-US" w:eastAsia="zh-CN" w:bidi="ar-SA"/>
        </w:rPr>
        <w:t>建设将改善村民的出行条件，提高他们的生活质量。同时，随着当地经济的发展和旅游业的繁荣，村民的收入水平也将得到提升，进一步改善他们的生活水平。</w:t>
      </w:r>
    </w:p>
    <w:p>
      <w:pPr>
        <w:pStyle w:val="18"/>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sz w:val="32"/>
          <w:szCs w:val="32"/>
          <w:lang w:val="en-US" w:eastAsia="zh-CN"/>
        </w:rPr>
        <w:t>3、建设的</w:t>
      </w:r>
      <w:r>
        <w:rPr>
          <w:rFonts w:hint="eastAsia" w:ascii="仿宋_GB2312" w:hAnsi="仿宋_GB2312" w:eastAsia="仿宋_GB2312" w:cs="仿宋_GB2312"/>
          <w:b/>
          <w:bCs/>
          <w:sz w:val="32"/>
          <w:szCs w:val="32"/>
          <w:highlight w:val="none"/>
          <w:lang w:val="en-US" w:eastAsia="zh-CN"/>
        </w:rPr>
        <w:t>可行性：</w:t>
      </w:r>
      <w:r>
        <w:rPr>
          <w:rFonts w:hint="eastAsia" w:ascii="仿宋_GB2312" w:hAnsi="仿宋_GB2312" w:eastAsia="仿宋_GB2312" w:cs="仿宋_GB2312"/>
          <w:b/>
          <w:bCs w:val="0"/>
          <w:sz w:val="32"/>
          <w:szCs w:val="32"/>
          <w:highlight w:val="none"/>
          <w:lang w:val="en-US" w:eastAsia="zh-CN"/>
        </w:rPr>
        <w:t>一是</w:t>
      </w:r>
      <w:r>
        <w:rPr>
          <w:rFonts w:hint="eastAsia" w:ascii="仿宋_GB2312" w:hAnsi="仿宋_GB2312" w:eastAsia="仿宋_GB2312" w:cs="仿宋_GB2312"/>
          <w:bCs/>
          <w:sz w:val="32"/>
          <w:szCs w:val="32"/>
          <w:highlight w:val="none"/>
          <w:lang w:val="en-US" w:eastAsia="zh-CN"/>
        </w:rPr>
        <w:t>本项目符合国家关于新农村建设的有关政策。在改革开放、发展经济的进程中，夏镇奥依曼买里村经济和社会发展取得显著成效，精神文明建设深入人心，项目按规划建设是顺理成章的，是可行的。</w:t>
      </w:r>
      <w:r>
        <w:rPr>
          <w:rFonts w:hint="eastAsia" w:ascii="仿宋_GB2312" w:hAnsi="仿宋_GB2312" w:eastAsia="仿宋_GB2312" w:cs="仿宋_GB2312"/>
          <w:b/>
          <w:bCs w:val="0"/>
          <w:sz w:val="32"/>
          <w:szCs w:val="32"/>
          <w:highlight w:val="none"/>
          <w:lang w:val="en-US" w:eastAsia="zh-CN"/>
        </w:rPr>
        <w:t>二是</w:t>
      </w:r>
      <w:r>
        <w:rPr>
          <w:rFonts w:hint="eastAsia" w:ascii="仿宋_GB2312" w:hAnsi="仿宋_GB2312" w:eastAsia="仿宋_GB2312" w:cs="仿宋_GB2312"/>
          <w:bCs/>
          <w:sz w:val="32"/>
          <w:szCs w:val="32"/>
          <w:highlight w:val="none"/>
          <w:lang w:val="en-US" w:eastAsia="zh-CN"/>
        </w:rPr>
        <w:t>夏镇党委、政府对此项目高度重视，已将该工程列入重要议事日程，明确了责任领导，为项目提供坚强组织保证，创造良好的施工环境</w:t>
      </w:r>
      <w:r>
        <w:rPr>
          <w:rFonts w:hint="eastAsia" w:ascii="仿宋_GB2312" w:hAnsi="Calibri" w:eastAsia="仿宋_GB2312" w:cs="Times New Roman"/>
          <w:color w:val="auto"/>
          <w:kern w:val="2"/>
          <w:sz w:val="32"/>
          <w:szCs w:val="32"/>
          <w:highlight w:val="none"/>
          <w:lang w:val="en-US" w:eastAsia="zh-CN" w:bidi="ar-SA"/>
        </w:rPr>
        <w:t>。</w:t>
      </w:r>
    </w:p>
    <w:p>
      <w:pPr>
        <w:pStyle w:val="18"/>
        <w:keepNext/>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黑体" w:hAnsi="黑体" w:eastAsia="黑体" w:cs="黑体"/>
          <w:kern w:val="2"/>
          <w:sz w:val="32"/>
          <w:szCs w:val="22"/>
          <w:lang w:val="en-US" w:eastAsia="zh-CN" w:bidi="ar-SA"/>
        </w:rPr>
      </w:pPr>
      <w:r>
        <w:rPr>
          <w:rFonts w:hint="eastAsia" w:ascii="黑体" w:hAnsi="黑体" w:eastAsia="黑体" w:cs="黑体"/>
          <w:kern w:val="2"/>
          <w:sz w:val="32"/>
          <w:szCs w:val="22"/>
          <w:lang w:val="en-US" w:eastAsia="zh-CN" w:bidi="ar-SA"/>
        </w:rPr>
        <w:t>三、资金筹措及投资概算</w:t>
      </w:r>
    </w:p>
    <w:p>
      <w:pPr>
        <w:keepNext/>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资金来源：</w:t>
      </w:r>
      <w:r>
        <w:rPr>
          <w:rFonts w:hint="eastAsia" w:ascii="仿宋" w:hAnsi="仿宋" w:eastAsia="仿宋" w:cs="仿宋"/>
          <w:w w:val="100"/>
          <w:kern w:val="2"/>
          <w:sz w:val="32"/>
          <w:szCs w:val="32"/>
          <w:lang w:val="en-US" w:eastAsia="zh-CN" w:bidi="ar-SA"/>
        </w:rPr>
        <w:t>财政</w:t>
      </w:r>
      <w:r>
        <w:rPr>
          <w:rFonts w:hint="default" w:ascii="Times New Roman" w:hAnsi="Times New Roman" w:eastAsia="仿宋_GB2312" w:cs="Times New Roman"/>
          <w:color w:val="auto"/>
          <w:w w:val="100"/>
          <w:kern w:val="2"/>
          <w:sz w:val="32"/>
          <w:szCs w:val="32"/>
          <w:lang w:val="en-US" w:eastAsia="zh-CN" w:bidi="ar-SA"/>
        </w:rPr>
        <w:t>衔接推进乡村振兴补助资金</w:t>
      </w:r>
      <w:r>
        <w:rPr>
          <w:rFonts w:hint="eastAsia" w:ascii="Times New Roman" w:hAnsi="Times New Roman" w:eastAsia="仿宋_GB2312" w:cs="Times New Roman"/>
          <w:color w:val="auto"/>
          <w:w w:val="100"/>
          <w:kern w:val="2"/>
          <w:sz w:val="32"/>
          <w:szCs w:val="32"/>
          <w:lang w:val="en-US" w:eastAsia="zh-CN" w:bidi="ar-SA"/>
        </w:rPr>
        <w:t>400万元。</w:t>
      </w:r>
    </w:p>
    <w:p>
      <w:pPr>
        <w:pStyle w:val="15"/>
        <w:keepNext w:val="0"/>
        <w:keepLines w:val="0"/>
        <w:pageBreakBefore w:val="0"/>
        <w:widowControl w:val="0"/>
        <w:kinsoku/>
        <w:wordWrap/>
        <w:overflowPunct/>
        <w:topLinePunct w:val="0"/>
        <w:autoSpaceDE/>
        <w:autoSpaceDN/>
        <w:bidi w:val="0"/>
        <w:adjustRightInd/>
        <w:snapToGrid/>
        <w:spacing w:line="560" w:lineRule="exact"/>
        <w:ind w:firstLine="643"/>
        <w:textAlignment w:val="auto"/>
        <w:rPr>
          <w:rFonts w:hint="eastAsia" w:ascii="仿宋_GB2312" w:hAnsi="Calibri" w:eastAsia="仿宋_GB2312" w:cs="Times New Roman"/>
          <w:color w:val="auto"/>
          <w:kern w:val="2"/>
          <w:sz w:val="32"/>
          <w:szCs w:val="32"/>
          <w:highlight w:val="none"/>
          <w:lang w:val="en-US" w:eastAsia="zh-CN" w:bidi="ar-SA"/>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投资</w:t>
      </w:r>
      <w:r>
        <w:rPr>
          <w:rFonts w:hint="eastAsia" w:ascii="仿宋_GB2312" w:hAnsi="仿宋_GB2312" w:eastAsia="仿宋_GB2312" w:cs="仿宋_GB2312"/>
          <w:b/>
          <w:bCs/>
          <w:sz w:val="32"/>
          <w:szCs w:val="32"/>
          <w:lang w:val="en-US" w:eastAsia="zh-CN"/>
        </w:rPr>
        <w:t>概算</w:t>
      </w:r>
      <w:r>
        <w:rPr>
          <w:rFonts w:hint="eastAsia" w:ascii="仿宋_GB2312" w:hAnsi="仿宋_GB2312" w:eastAsia="仿宋_GB2312" w:cs="仿宋_GB2312"/>
          <w:b/>
          <w:bCs/>
          <w:sz w:val="32"/>
          <w:szCs w:val="32"/>
        </w:rPr>
        <w:t>：</w:t>
      </w:r>
      <w:r>
        <w:rPr>
          <w:rFonts w:hint="eastAsia" w:ascii="仿宋_GB2312" w:hAnsi="仿宋_GB2312" w:eastAsia="仿宋_GB2312" w:cs="仿宋_GB2312"/>
          <w:b w:val="0"/>
          <w:bCs w:val="0"/>
          <w:spacing w:val="-6"/>
          <w:kern w:val="2"/>
          <w:sz w:val="32"/>
          <w:szCs w:val="32"/>
          <w:highlight w:val="none"/>
          <w:lang w:val="en-US" w:eastAsia="zh-CN" w:bidi="ar-SA"/>
        </w:rPr>
        <w:t>计划在奥依曼买里村杏子产业园内铺设4.5公里沥青道路以及附属设施，项目建设费用约380万元、其他</w:t>
      </w:r>
      <w:r>
        <w:rPr>
          <w:rFonts w:hint="eastAsia" w:ascii="仿宋_GB2312" w:hAnsi="仿宋_GB2312" w:cs="仿宋_GB2312"/>
          <w:b w:val="0"/>
          <w:bCs w:val="0"/>
          <w:spacing w:val="-6"/>
          <w:kern w:val="2"/>
          <w:sz w:val="32"/>
          <w:szCs w:val="32"/>
          <w:highlight w:val="none"/>
          <w:lang w:val="en-US" w:eastAsia="zh-CN" w:bidi="ar-SA"/>
        </w:rPr>
        <w:t>费用</w:t>
      </w:r>
      <w:r>
        <w:rPr>
          <w:rFonts w:hint="eastAsia" w:ascii="仿宋_GB2312" w:hAnsi="仿宋_GB2312" w:eastAsia="仿宋_GB2312" w:cs="仿宋_GB2312"/>
          <w:b w:val="0"/>
          <w:bCs w:val="0"/>
          <w:spacing w:val="-6"/>
          <w:kern w:val="2"/>
          <w:sz w:val="32"/>
          <w:szCs w:val="32"/>
          <w:highlight w:val="none"/>
          <w:lang w:val="en-US" w:eastAsia="zh-CN" w:bidi="ar-SA"/>
        </w:rPr>
        <w:t>约20万元。项目总投资约400万元</w:t>
      </w:r>
      <w:r>
        <w:rPr>
          <w:rFonts w:hint="eastAsia" w:ascii="仿宋_GB2312" w:hAnsi="Calibri" w:eastAsia="仿宋_GB2312" w:cs="Times New Roman"/>
          <w:color w:val="auto"/>
          <w:kern w:val="2"/>
          <w:sz w:val="32"/>
          <w:szCs w:val="32"/>
          <w:highlight w:val="none"/>
          <w:lang w:val="en-US" w:eastAsia="zh-CN" w:bidi="ar-SA"/>
        </w:rPr>
        <w:t xml:space="preserve">。  </w:t>
      </w:r>
    </w:p>
    <w:p>
      <w:pPr>
        <w:pStyle w:val="15"/>
        <w:keepNext w:val="0"/>
        <w:keepLines w:val="0"/>
        <w:pageBreakBefore w:val="0"/>
        <w:widowControl w:val="0"/>
        <w:kinsoku/>
        <w:wordWrap/>
        <w:overflowPunct/>
        <w:topLinePunct w:val="0"/>
        <w:autoSpaceDE/>
        <w:autoSpaceDN/>
        <w:bidi w:val="0"/>
        <w:adjustRightInd/>
        <w:snapToGrid/>
        <w:spacing w:line="560" w:lineRule="exact"/>
        <w:ind w:firstLine="643"/>
        <w:textAlignment w:val="auto"/>
        <w:rPr>
          <w:rFonts w:hint="eastAsia" w:ascii="黑体" w:hAnsi="黑体" w:eastAsia="黑体" w:cs="黑体"/>
          <w:kern w:val="2"/>
          <w:sz w:val="32"/>
          <w:szCs w:val="22"/>
          <w:lang w:val="en-US" w:eastAsia="zh-CN" w:bidi="ar-SA"/>
        </w:rPr>
      </w:pPr>
      <w:r>
        <w:rPr>
          <w:rFonts w:hint="eastAsia" w:ascii="黑体" w:hAnsi="黑体" w:eastAsia="黑体" w:cs="黑体"/>
          <w:kern w:val="2"/>
          <w:sz w:val="32"/>
          <w:szCs w:val="22"/>
          <w:lang w:val="en-US" w:eastAsia="zh-CN" w:bidi="ar-SA"/>
        </w:rPr>
        <w:t xml:space="preserve">四、项目实施进度计划 </w:t>
      </w:r>
    </w:p>
    <w:p>
      <w:pPr>
        <w:keepNext w:val="0"/>
        <w:keepLines w:val="0"/>
        <w:pageBreakBefore w:val="0"/>
        <w:widowControl w:val="0"/>
        <w:kinsoku w:val="0"/>
        <w:wordWrap/>
        <w:overflowPunct w:val="0"/>
        <w:topLinePunct w:val="0"/>
        <w:autoSpaceDE w:val="0"/>
        <w:autoSpaceDN w:val="0"/>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2025年4月，项目开始施工。</w:t>
      </w:r>
    </w:p>
    <w:p>
      <w:pPr>
        <w:keepNext w:val="0"/>
        <w:keepLines w:val="0"/>
        <w:pageBreakBefore w:val="0"/>
        <w:widowControl w:val="0"/>
        <w:kinsoku w:val="0"/>
        <w:wordWrap/>
        <w:overflowPunct w:val="0"/>
        <w:topLinePunct w:val="0"/>
        <w:autoSpaceDE w:val="0"/>
        <w:autoSpaceDN w:val="0"/>
        <w:bidi w:val="0"/>
        <w:adjustRightInd/>
        <w:snapToGrid/>
        <w:spacing w:line="560" w:lineRule="exact"/>
        <w:ind w:firstLine="640" w:firstLineChars="200"/>
        <w:textAlignment w:val="auto"/>
        <w:rPr>
          <w:rFonts w:hint="eastAsia" w:ascii="仿宋_GB2312" w:hAnsi="宋体" w:eastAsia="仿宋_GB2312" w:cs="黑体"/>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rPr>
        <w:t>2024年10月，</w:t>
      </w:r>
      <w:r>
        <w:rPr>
          <w:rFonts w:hint="eastAsia" w:ascii="仿宋" w:hAnsi="仿宋" w:eastAsia="仿宋" w:cs="仿宋"/>
          <w:color w:val="auto"/>
          <w:sz w:val="32"/>
          <w:szCs w:val="32"/>
          <w:highlight w:val="none"/>
          <w:lang w:val="en-US" w:eastAsia="zh-CN"/>
        </w:rPr>
        <w:t>项目完工，组织联合验收</w:t>
      </w:r>
      <w:r>
        <w:rPr>
          <w:rFonts w:hint="eastAsia" w:ascii="仿宋_GB2312" w:hAnsi="仿宋_GB2312" w:eastAsia="仿宋_GB2312" w:cs="仿宋_GB2312"/>
          <w:color w:val="auto"/>
          <w:sz w:val="32"/>
          <w:szCs w:val="32"/>
          <w:highlight w:val="none"/>
        </w:rPr>
        <w:t>。</w:t>
      </w:r>
    </w:p>
    <w:p>
      <w:pPr>
        <w:pStyle w:val="18"/>
        <w:keepNext/>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Chars="0" w:firstLine="640" w:firstLineChars="200"/>
        <w:jc w:val="both"/>
        <w:textAlignment w:val="auto"/>
        <w:rPr>
          <w:rFonts w:hint="eastAsia" w:ascii="黑体" w:hAnsi="黑体" w:eastAsia="黑体" w:cs="黑体"/>
          <w:kern w:val="2"/>
          <w:sz w:val="32"/>
          <w:szCs w:val="22"/>
          <w:lang w:val="en-US" w:eastAsia="zh-CN" w:bidi="ar-SA"/>
        </w:rPr>
      </w:pPr>
      <w:r>
        <w:rPr>
          <w:rFonts w:hint="eastAsia" w:ascii="黑体" w:hAnsi="黑体" w:eastAsia="黑体" w:cs="黑体"/>
          <w:kern w:val="2"/>
          <w:sz w:val="32"/>
          <w:szCs w:val="22"/>
          <w:lang w:val="en-US" w:eastAsia="zh-CN" w:bidi="ar-SA"/>
        </w:rPr>
        <w:t>五、项目组织实施能力与内控管理措施</w:t>
      </w:r>
    </w:p>
    <w:p>
      <w:pPr>
        <w:keepNext w:val="0"/>
        <w:keepLines w:val="0"/>
        <w:pageBreakBefore w:val="0"/>
        <w:widowControl w:val="0"/>
        <w:numPr>
          <w:ilvl w:val="0"/>
          <w:numId w:val="2"/>
        </w:numPr>
        <w:kinsoku/>
        <w:wordWrap/>
        <w:overflowPunct/>
        <w:topLinePunct w:val="0"/>
        <w:autoSpaceDE w:val="0"/>
        <w:autoSpaceDN/>
        <w:bidi w:val="0"/>
        <w:adjustRightInd/>
        <w:snapToGrid/>
        <w:spacing w:beforeAutospacing="0" w:afterAutospacing="0" w:line="560" w:lineRule="exact"/>
        <w:ind w:firstLine="643" w:firstLineChars="200"/>
        <w:textAlignment w:val="auto"/>
        <w:rPr>
          <w:rFonts w:ascii="仿宋_GB2312" w:hAnsi="仿宋_GB2312" w:eastAsia="仿宋_GB2312" w:cs="仿宋_GB2312"/>
          <w:bCs/>
          <w:sz w:val="32"/>
          <w:szCs w:val="32"/>
          <w:highlight w:val="none"/>
        </w:rPr>
      </w:pPr>
      <w:r>
        <w:rPr>
          <w:rFonts w:hint="eastAsia" w:ascii="仿宋_GB2312" w:hAnsi="仿宋_GB2312" w:eastAsia="仿宋_GB2312" w:cs="仿宋_GB2312"/>
          <w:b/>
          <w:bCs/>
          <w:sz w:val="32"/>
          <w:szCs w:val="32"/>
          <w:lang w:val="en-US" w:eastAsia="zh-CN"/>
        </w:rPr>
        <w:t>组织领导机构及职责分工</w:t>
      </w:r>
    </w:p>
    <w:p>
      <w:pPr>
        <w:keepNext w:val="0"/>
        <w:keepLines w:val="0"/>
        <w:pageBreakBefore w:val="0"/>
        <w:widowControl w:val="0"/>
        <w:kinsoku/>
        <w:wordWrap/>
        <w:overflowPunct/>
        <w:topLinePunct w:val="0"/>
        <w:bidi w:val="0"/>
        <w:adjustRightInd/>
        <w:snapToGrid/>
        <w:spacing w:line="560" w:lineRule="exact"/>
        <w:ind w:firstLine="640" w:firstLineChars="200"/>
        <w:rPr>
          <w:rFonts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为加强项目监督和技术指导，按期完成建设任务，</w:t>
      </w:r>
      <w:r>
        <w:rPr>
          <w:rFonts w:hint="eastAsia" w:ascii="仿宋_GB2312" w:hAnsi="仿宋_GB2312" w:eastAsia="仿宋_GB2312" w:cs="仿宋_GB2312"/>
          <w:bCs/>
          <w:sz w:val="32"/>
          <w:szCs w:val="32"/>
          <w:highlight w:val="none"/>
          <w:lang w:val="en-US" w:eastAsia="zh-CN"/>
        </w:rPr>
        <w:t>根据</w:t>
      </w:r>
      <w:r>
        <w:rPr>
          <w:rFonts w:hint="eastAsia" w:ascii="仿宋_GB2312" w:eastAsia="仿宋_GB2312"/>
          <w:sz w:val="32"/>
          <w:szCs w:val="32"/>
          <w:highlight w:val="none"/>
          <w:lang w:val="en-US" w:eastAsia="zh-CN"/>
        </w:rPr>
        <w:t>《托克逊县夏镇财政衔接推进乡村振兴补助金（巩固拓展脱贫攻坚成果和乡村振兴任务）项目管理办法（暂行）》</w:t>
      </w:r>
      <w:r>
        <w:rPr>
          <w:rFonts w:hint="eastAsia" w:ascii="仿宋_GB2312" w:hAnsi="仿宋_GB2312" w:eastAsia="仿宋_GB2312" w:cs="仿宋_GB2312"/>
          <w:bCs/>
          <w:sz w:val="32"/>
          <w:szCs w:val="32"/>
          <w:highlight w:val="none"/>
          <w:lang w:val="en-US" w:eastAsia="zh-CN"/>
        </w:rPr>
        <w:t>规定</w:t>
      </w:r>
      <w:r>
        <w:rPr>
          <w:rFonts w:hint="eastAsia" w:ascii="仿宋_GB2312" w:hAnsi="仿宋_GB2312" w:eastAsia="仿宋_GB2312" w:cs="仿宋_GB2312"/>
          <w:bCs/>
          <w:sz w:val="32"/>
          <w:szCs w:val="32"/>
          <w:highlight w:val="none"/>
        </w:rPr>
        <w:t>成立项目管理组织机构</w:t>
      </w:r>
      <w:r>
        <w:rPr>
          <w:rFonts w:hint="eastAsia" w:ascii="仿宋_GB2312" w:hAnsi="仿宋_GB2312" w:eastAsia="仿宋_GB2312" w:cs="仿宋_GB2312"/>
          <w:bCs/>
          <w:sz w:val="32"/>
          <w:szCs w:val="32"/>
          <w:highlight w:val="none"/>
          <w:lang w:eastAsia="zh-CN"/>
        </w:rPr>
        <w:t>，</w:t>
      </w:r>
      <w:r>
        <w:rPr>
          <w:rFonts w:hint="eastAsia" w:ascii="仿宋_GB2312" w:hAnsi="Calibri" w:eastAsia="仿宋_GB2312" w:cs="Times New Roman"/>
          <w:sz w:val="32"/>
          <w:szCs w:val="32"/>
          <w:highlight w:val="none"/>
          <w:lang w:val="en-US" w:eastAsia="zh-CN"/>
        </w:rPr>
        <w:t>项目管理工作实行分级负责制</w:t>
      </w:r>
      <w:r>
        <w:rPr>
          <w:rFonts w:hint="eastAsia" w:ascii="仿宋_GB2312" w:hAnsi="仿宋_GB2312" w:eastAsia="仿宋_GB2312" w:cs="仿宋_GB2312"/>
          <w:bCs/>
          <w:sz w:val="32"/>
          <w:szCs w:val="32"/>
          <w:highlight w:val="none"/>
        </w:rPr>
        <w:t>。</w:t>
      </w:r>
      <w:r>
        <w:rPr>
          <w:rFonts w:hint="eastAsia" w:ascii="仿宋_GB2312" w:hAnsi="仿宋_GB2312" w:eastAsia="仿宋_GB2312" w:cs="仿宋_GB2312"/>
          <w:bCs/>
          <w:sz w:val="32"/>
          <w:szCs w:val="32"/>
          <w:highlight w:val="none"/>
          <w:lang w:val="en-US" w:eastAsia="zh-CN"/>
        </w:rPr>
        <w:t>项目组相关领导机构</w:t>
      </w:r>
      <w:r>
        <w:rPr>
          <w:rFonts w:ascii="仿宋_GB2312" w:hAnsi="仿宋_GB2312" w:eastAsia="仿宋_GB2312" w:cs="仿宋_GB2312"/>
          <w:bCs/>
          <w:sz w:val="32"/>
          <w:szCs w:val="32"/>
          <w:highlight w:val="none"/>
        </w:rPr>
        <w:t>如下：</w:t>
      </w:r>
    </w:p>
    <w:p>
      <w:pPr>
        <w:pStyle w:val="18"/>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 xml:space="preserve">组 长：艾尼瓦尔·尔西丁       </w:t>
      </w:r>
      <w:r>
        <w:rPr>
          <w:rFonts w:hint="eastAsia" w:ascii="仿宋_GB2312" w:hAnsi="仿宋_GB2312" w:eastAsia="仿宋_GB2312" w:cs="仿宋_GB2312"/>
          <w:sz w:val="32"/>
          <w:szCs w:val="32"/>
          <w:highlight w:val="none"/>
          <w:lang w:eastAsia="zh-CN"/>
        </w:rPr>
        <w:t>镇</w:t>
      </w:r>
      <w:r>
        <w:rPr>
          <w:rFonts w:hint="eastAsia" w:ascii="仿宋_GB2312" w:hAnsi="仿宋_GB2312" w:eastAsia="仿宋_GB2312" w:cs="仿宋_GB2312"/>
          <w:sz w:val="32"/>
          <w:szCs w:val="32"/>
          <w:highlight w:val="none"/>
        </w:rPr>
        <w:t>党委副书记、</w:t>
      </w:r>
      <w:r>
        <w:rPr>
          <w:rFonts w:hint="eastAsia" w:ascii="仿宋_GB2312" w:hAnsi="仿宋_GB2312" w:eastAsia="仿宋_GB2312" w:cs="仿宋_GB2312"/>
          <w:sz w:val="32"/>
          <w:szCs w:val="32"/>
          <w:highlight w:val="none"/>
          <w:lang w:eastAsia="zh-CN"/>
        </w:rPr>
        <w:t>镇</w:t>
      </w:r>
      <w:r>
        <w:rPr>
          <w:rFonts w:hint="eastAsia" w:ascii="仿宋_GB2312" w:hAnsi="仿宋_GB2312" w:eastAsia="仿宋_GB2312" w:cs="仿宋_GB2312"/>
          <w:sz w:val="32"/>
          <w:szCs w:val="32"/>
          <w:highlight w:val="none"/>
        </w:rPr>
        <w:t>长</w:t>
      </w:r>
      <w:r>
        <w:rPr>
          <w:rFonts w:hint="eastAsia" w:ascii="仿宋_GB2312" w:hAnsi="仿宋_GB2312" w:eastAsia="仿宋_GB2312" w:cs="仿宋_GB2312"/>
          <w:b w:val="0"/>
          <w:bCs w:val="0"/>
          <w:sz w:val="32"/>
          <w:szCs w:val="32"/>
          <w:highlight w:val="none"/>
          <w:lang w:val="en-US" w:eastAsia="zh-CN"/>
        </w:rPr>
        <w:t xml:space="preserve"> </w:t>
      </w:r>
    </w:p>
    <w:p>
      <w:pPr>
        <w:pStyle w:val="18"/>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 xml:space="preserve">副组长：马军                  镇党委委员、常务副镇长 </w:t>
      </w:r>
    </w:p>
    <w:p>
      <w:pPr>
        <w:pStyle w:val="18"/>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成 员：</w:t>
      </w:r>
      <w:r>
        <w:rPr>
          <w:rFonts w:hint="eastAsia" w:ascii="仿宋_GB2312" w:hAnsi="仿宋_GB2312" w:eastAsia="仿宋_GB2312" w:cs="仿宋_GB2312"/>
          <w:sz w:val="32"/>
          <w:szCs w:val="32"/>
          <w:lang w:eastAsia="zh-CN"/>
        </w:rPr>
        <w:t>武永强</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镇</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办主任</w:t>
      </w:r>
    </w:p>
    <w:p>
      <w:pPr>
        <w:pStyle w:val="18"/>
        <w:keepNext w:val="0"/>
        <w:keepLines w:val="0"/>
        <w:pageBreakBefore w:val="0"/>
        <w:widowControl w:val="0"/>
        <w:kinsoku/>
        <w:wordWrap/>
        <w:overflowPunct/>
        <w:topLinePunct w:val="0"/>
        <w:autoSpaceDE/>
        <w:autoSpaceDN/>
        <w:bidi w:val="0"/>
        <w:adjustRightInd/>
        <w:snapToGrid/>
        <w:spacing w:line="560" w:lineRule="exact"/>
        <w:ind w:firstLine="960" w:firstLineChars="3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 xml:space="preserve">木克热木·热合曼       镇纪检办主任 </w:t>
      </w:r>
    </w:p>
    <w:p>
      <w:pPr>
        <w:pStyle w:val="18"/>
        <w:keepNext w:val="0"/>
        <w:keepLines w:val="0"/>
        <w:pageBreakBefore w:val="0"/>
        <w:widowControl w:val="0"/>
        <w:kinsoku/>
        <w:wordWrap/>
        <w:overflowPunct/>
        <w:topLinePunct w:val="0"/>
        <w:autoSpaceDE/>
        <w:autoSpaceDN/>
        <w:bidi w:val="0"/>
        <w:adjustRightInd/>
        <w:snapToGrid/>
        <w:spacing w:line="560" w:lineRule="exact"/>
        <w:ind w:left="0" w:leftChars="0" w:firstLine="960" w:firstLineChars="3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古丽博斯坦·艾尼       镇乡村振兴办主任</w:t>
      </w:r>
    </w:p>
    <w:p>
      <w:pPr>
        <w:pStyle w:val="18"/>
        <w:keepNext w:val="0"/>
        <w:keepLines w:val="0"/>
        <w:pageBreakBefore w:val="0"/>
        <w:widowControl w:val="0"/>
        <w:kinsoku/>
        <w:wordWrap/>
        <w:overflowPunct/>
        <w:topLinePunct w:val="0"/>
        <w:autoSpaceDE/>
        <w:autoSpaceDN/>
        <w:bidi w:val="0"/>
        <w:adjustRightInd/>
        <w:snapToGrid/>
        <w:spacing w:line="560" w:lineRule="exact"/>
        <w:ind w:left="0" w:leftChars="0" w:firstLine="960" w:firstLineChars="3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 xml:space="preserve">吐尔尼亚孜汗·玉苏甫   镇财政所干部 </w:t>
      </w:r>
    </w:p>
    <w:p>
      <w:pPr>
        <w:pStyle w:val="18"/>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960" w:firstLineChars="300"/>
        <w:jc w:val="both"/>
        <w:textAlignment w:val="auto"/>
        <w:rPr>
          <w:rFonts w:hint="default"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 xml:space="preserve">魏  育                 镇项目办干部 </w:t>
      </w:r>
    </w:p>
    <w:p>
      <w:pPr>
        <w:pStyle w:val="18"/>
        <w:keepNext w:val="0"/>
        <w:keepLines w:val="0"/>
        <w:pageBreakBefore w:val="0"/>
        <w:widowControl w:val="0"/>
        <w:kinsoku/>
        <w:wordWrap/>
        <w:overflowPunct/>
        <w:topLinePunct w:val="0"/>
        <w:autoSpaceDE/>
        <w:autoSpaceDN/>
        <w:bidi w:val="0"/>
        <w:adjustRightInd/>
        <w:snapToGrid/>
        <w:spacing w:line="560" w:lineRule="exact"/>
        <w:ind w:left="0" w:leftChars="0" w:firstLine="960" w:firstLineChars="3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 xml:space="preserve">阿迪力·亚森          奥依曼买里村党支部书记 </w:t>
      </w:r>
    </w:p>
    <w:p>
      <w:pPr>
        <w:pStyle w:val="18"/>
        <w:keepNext w:val="0"/>
        <w:keepLines w:val="0"/>
        <w:pageBreakBefore w:val="0"/>
        <w:widowControl w:val="0"/>
        <w:kinsoku/>
        <w:wordWrap/>
        <w:overflowPunct/>
        <w:topLinePunct w:val="0"/>
        <w:autoSpaceDE/>
        <w:autoSpaceDN/>
        <w:bidi w:val="0"/>
        <w:adjustRightInd/>
        <w:snapToGrid/>
        <w:spacing w:line="560" w:lineRule="exact"/>
        <w:ind w:left="0" w:leftChars="0" w:firstLine="960" w:firstLineChars="300"/>
        <w:jc w:val="both"/>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lang w:val="en-US" w:eastAsia="zh-CN"/>
        </w:rPr>
        <w:t>吾甫尔·艾尼          奥依曼买里村委会主任</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（1）成立以村第一书记为组长，村党支部书记为副组长、各职能小组负责人为成员的领导小组，负责项目的领导、协调、实施、督促、指导等工作，为项目建设提供组织保障。</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（2）镇乡村振兴、纪检、财政所等部门为项目实施的监督单位。负责项目实施全过程中的监督、检查，资金审批及管理。</w:t>
      </w:r>
    </w:p>
    <w:p>
      <w:pPr>
        <w:pStyle w:val="10"/>
        <w:keepLines w:val="0"/>
        <w:pageBreakBefore w:val="0"/>
        <w:widowControl w:val="0"/>
        <w:kinsoku/>
        <w:wordWrap/>
        <w:overflowPunct/>
        <w:topLinePunct w:val="0"/>
        <w:autoSpaceDN/>
        <w:bidi w:val="0"/>
        <w:adjustRightInd/>
        <w:snapToGrid/>
        <w:spacing w:beforeAutospacing="0" w:after="0" w:afterAutospacing="0" w:line="560" w:lineRule="exact"/>
        <w:ind w:left="0" w:leftChars="0" w:firstLine="640" w:firstLineChars="200"/>
        <w:rPr>
          <w:rFonts w:hint="eastAsia" w:eastAsia="仿宋_GB2312"/>
          <w:lang w:val="en-US" w:eastAsia="zh-CN"/>
        </w:rPr>
      </w:pPr>
      <w:r>
        <w:rPr>
          <w:rFonts w:hint="eastAsia" w:ascii="仿宋_GB2312" w:hAnsi="仿宋_GB2312" w:eastAsia="仿宋_GB2312" w:cs="仿宋_GB2312"/>
          <w:sz w:val="32"/>
          <w:szCs w:val="32"/>
          <w:highlight w:val="none"/>
        </w:rPr>
        <w:t>（3）夏镇为项目实施主体。乡和行政村分别成立项目实施领导小组，明确1名副科级领导专抓此项工作，主要负责宣传发动、组织实施和协助村里并进行指导，帮助落实任务；负责组织开展验收、项目档案的归档等工作</w:t>
      </w:r>
      <w:r>
        <w:rPr>
          <w:rFonts w:hint="eastAsia" w:ascii="仿宋_GB2312" w:hAnsi="仿宋_GB2312" w:eastAsia="仿宋_GB2312" w:cs="仿宋_GB2312"/>
          <w:sz w:val="32"/>
          <w:szCs w:val="32"/>
          <w:highlight w:val="none"/>
          <w:lang w:eastAsia="zh-CN"/>
        </w:rPr>
        <w:t>。</w:t>
      </w:r>
    </w:p>
    <w:p>
      <w:pPr>
        <w:keepLines w:val="0"/>
        <w:pageBreakBefore w:val="0"/>
        <w:widowControl w:val="0"/>
        <w:numPr>
          <w:ilvl w:val="0"/>
          <w:numId w:val="2"/>
        </w:numPr>
        <w:kinsoku/>
        <w:wordWrap/>
        <w:overflowPunct/>
        <w:topLinePunct w:val="0"/>
        <w:autoSpaceDE w:val="0"/>
        <w:autoSpaceDN/>
        <w:bidi w:val="0"/>
        <w:adjustRightInd/>
        <w:snapToGrid/>
        <w:spacing w:beforeAutospacing="0" w:afterAutospacing="0"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项目招标、采购管理</w:t>
      </w:r>
    </w:p>
    <w:p>
      <w:pPr>
        <w:keepNext w:val="0"/>
        <w:keepLines w:val="0"/>
        <w:pageBreakBefore w:val="0"/>
        <w:widowControl w:val="0"/>
        <w:kinsoku/>
        <w:wordWrap/>
        <w:overflowPunct/>
        <w:topLinePunct w:val="0"/>
        <w:autoSpaceDE w:val="0"/>
        <w:autoSpaceDN/>
        <w:bidi w:val="0"/>
        <w:adjustRightInd/>
        <w:snapToGrid/>
        <w:spacing w:beforeAutospacing="0" w:afterAutospacing="0" w:line="560" w:lineRule="exact"/>
        <w:ind w:firstLine="643" w:firstLineChars="200"/>
        <w:textAlignment w:val="baseline"/>
        <w:rPr>
          <w:rFonts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（1）招投标组织单位：</w:t>
      </w:r>
      <w:r>
        <w:rPr>
          <w:rFonts w:hint="eastAsia" w:ascii="仿宋_GB2312" w:hAnsi="仿宋_GB2312" w:eastAsia="仿宋_GB2312" w:cs="仿宋_GB2312"/>
          <w:b w:val="0"/>
          <w:bCs w:val="0"/>
          <w:sz w:val="32"/>
          <w:szCs w:val="32"/>
          <w:highlight w:val="none"/>
        </w:rPr>
        <w:t>托克逊县</w:t>
      </w:r>
      <w:r>
        <w:rPr>
          <w:rFonts w:hint="eastAsia" w:ascii="仿宋_GB2312" w:hAnsi="仿宋_GB2312" w:eastAsia="仿宋_GB2312" w:cs="仿宋_GB2312"/>
          <w:sz w:val="32"/>
          <w:szCs w:val="32"/>
          <w:highlight w:val="none"/>
          <w:lang w:eastAsia="zh-CN"/>
        </w:rPr>
        <w:t>夏镇</w:t>
      </w:r>
      <w:r>
        <w:rPr>
          <w:rFonts w:hint="eastAsia" w:ascii="仿宋_GB2312" w:hAnsi="仿宋_GB2312" w:eastAsia="仿宋_GB2312" w:cs="仿宋_GB2312"/>
          <w:sz w:val="32"/>
          <w:szCs w:val="32"/>
          <w:highlight w:val="none"/>
        </w:rPr>
        <w:t>人民政府</w:t>
      </w:r>
    </w:p>
    <w:p>
      <w:pPr>
        <w:keepNext w:val="0"/>
        <w:keepLines w:val="0"/>
        <w:pageBreakBefore w:val="0"/>
        <w:widowControl w:val="0"/>
        <w:kinsoku/>
        <w:wordWrap/>
        <w:overflowPunct/>
        <w:topLinePunct w:val="0"/>
        <w:autoSpaceDE w:val="0"/>
        <w:autoSpaceDN/>
        <w:bidi w:val="0"/>
        <w:adjustRightInd/>
        <w:snapToGrid/>
        <w:spacing w:beforeAutospacing="0" w:afterAutospacing="0" w:line="560" w:lineRule="exact"/>
        <w:ind w:firstLine="643" w:firstLineChars="200"/>
        <w:textAlignment w:val="baseline"/>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（2）招投标流程：</w:t>
      </w:r>
      <w:r>
        <w:rPr>
          <w:rFonts w:hint="eastAsia" w:ascii="仿宋_GB2312" w:hAnsi="仿宋_GB2312" w:eastAsia="仿宋_GB2312" w:cs="仿宋_GB2312"/>
          <w:sz w:val="32"/>
          <w:szCs w:val="32"/>
          <w:highlight w:val="none"/>
        </w:rPr>
        <w:t>招投标组织单位进行会议研究，进行公开招标，公开投标。</w:t>
      </w:r>
    </w:p>
    <w:p>
      <w:pPr>
        <w:keepNext w:val="0"/>
        <w:keepLines w:val="0"/>
        <w:pageBreakBefore w:val="0"/>
        <w:widowControl w:val="0"/>
        <w:kinsoku/>
        <w:wordWrap/>
        <w:overflowPunct/>
        <w:topLinePunct w:val="0"/>
        <w:autoSpaceDE w:val="0"/>
        <w:autoSpaceDN/>
        <w:bidi w:val="0"/>
        <w:adjustRightInd/>
        <w:snapToGrid/>
        <w:spacing w:beforeAutospacing="0" w:afterAutospacing="0" w:line="560" w:lineRule="exact"/>
        <w:ind w:firstLine="643"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（3）招投标承办单位：</w:t>
      </w:r>
      <w:r>
        <w:rPr>
          <w:rFonts w:hint="eastAsia" w:ascii="仿宋_GB2312" w:hAnsi="仿宋_GB2312" w:eastAsia="仿宋_GB2312" w:cs="仿宋_GB2312"/>
          <w:b w:val="0"/>
          <w:bCs w:val="0"/>
          <w:sz w:val="32"/>
          <w:szCs w:val="32"/>
          <w:highlight w:val="none"/>
        </w:rPr>
        <w:t>托克逊县</w:t>
      </w:r>
      <w:r>
        <w:rPr>
          <w:rFonts w:hint="eastAsia" w:ascii="仿宋_GB2312" w:hAnsi="仿宋_GB2312" w:eastAsia="仿宋_GB2312" w:cs="仿宋_GB2312"/>
          <w:sz w:val="32"/>
          <w:szCs w:val="32"/>
          <w:highlight w:val="none"/>
          <w:lang w:eastAsia="zh-CN"/>
        </w:rPr>
        <w:t>夏镇</w:t>
      </w:r>
      <w:r>
        <w:rPr>
          <w:rFonts w:hint="eastAsia" w:ascii="仿宋_GB2312" w:hAnsi="仿宋_GB2312" w:eastAsia="仿宋_GB2312" w:cs="仿宋_GB2312"/>
          <w:sz w:val="32"/>
          <w:szCs w:val="32"/>
          <w:highlight w:val="none"/>
        </w:rPr>
        <w:t>人民政府</w:t>
      </w:r>
    </w:p>
    <w:p>
      <w:pPr>
        <w:pStyle w:val="15"/>
        <w:keepLines w:val="0"/>
        <w:pageBreakBefore w:val="0"/>
        <w:widowControl w:val="0"/>
        <w:kinsoku/>
        <w:wordWrap/>
        <w:overflowPunct/>
        <w:topLinePunct w:val="0"/>
        <w:autoSpaceDN/>
        <w:bidi w:val="0"/>
        <w:adjustRightInd/>
        <w:snapToGrid/>
        <w:spacing w:beforeAutospacing="0" w:afterAutospacing="0" w:line="560" w:lineRule="exact"/>
        <w:ind w:firstLine="640" w:firstLineChars="200"/>
        <w:rPr>
          <w:rFonts w:hint="eastAsia" w:eastAsia="仿宋_GB2312"/>
          <w:lang w:val="en-US" w:eastAsia="zh-CN"/>
        </w:rPr>
      </w:pPr>
      <w:r>
        <w:rPr>
          <w:rFonts w:hint="eastAsia" w:ascii="仿宋_GB2312" w:hAnsi="仿宋_GB2312" w:eastAsia="仿宋_GB2312" w:cs="仿宋_GB2312"/>
          <w:sz w:val="32"/>
          <w:szCs w:val="32"/>
          <w:highlight w:val="none"/>
        </w:rPr>
        <w:t>本项目建设采用投标制，由</w:t>
      </w:r>
      <w:r>
        <w:rPr>
          <w:rFonts w:hint="eastAsia" w:ascii="仿宋_GB2312" w:hAnsi="仿宋_GB2312" w:eastAsia="仿宋_GB2312" w:cs="仿宋_GB2312"/>
          <w:sz w:val="32"/>
          <w:szCs w:val="32"/>
          <w:highlight w:val="none"/>
          <w:lang w:val="en-US" w:eastAsia="zh-CN"/>
        </w:rPr>
        <w:t>夏</w:t>
      </w:r>
      <w:r>
        <w:rPr>
          <w:rFonts w:hint="eastAsia" w:ascii="仿宋_GB2312" w:hAnsi="仿宋_GB2312" w:eastAsia="仿宋_GB2312" w:cs="仿宋_GB2312"/>
          <w:sz w:val="32"/>
          <w:szCs w:val="32"/>
          <w:highlight w:val="none"/>
        </w:rPr>
        <w:t>镇人民政府选择有资质的招标代理机构进行招标，依据《中华人民共和国招标投标法</w:t>
      </w:r>
      <w:r>
        <w:rPr>
          <w:rFonts w:hint="eastAsia" w:ascii="仿宋_GB2312" w:hAnsi="仿宋_GB2312" w:cs="仿宋_GB2312"/>
          <w:sz w:val="32"/>
          <w:szCs w:val="32"/>
          <w:highlight w:val="none"/>
          <w:lang w:eastAsia="zh-CN"/>
        </w:rPr>
        <w:t>》《</w:t>
      </w:r>
      <w:r>
        <w:rPr>
          <w:rFonts w:hint="eastAsia" w:ascii="仿宋_GB2312" w:hAnsi="仿宋_GB2312" w:eastAsia="仿宋_GB2312" w:cs="仿宋_GB2312"/>
          <w:sz w:val="32"/>
          <w:szCs w:val="32"/>
          <w:highlight w:val="none"/>
        </w:rPr>
        <w:t>中华人民共和国政府采购法》以及《</w:t>
      </w:r>
      <w:r>
        <w:rPr>
          <w:rFonts w:hint="eastAsia" w:ascii="仿宋_GB2312" w:hAnsi="仿宋_GB2312" w:eastAsia="仿宋_GB2312" w:cs="仿宋_GB2312"/>
          <w:sz w:val="32"/>
          <w:szCs w:val="32"/>
          <w:highlight w:val="none"/>
          <w:lang w:val="en-US" w:eastAsia="zh-CN"/>
        </w:rPr>
        <w:t>夏镇人民政府</w:t>
      </w:r>
      <w:r>
        <w:rPr>
          <w:rFonts w:hint="eastAsia" w:ascii="仿宋_GB2312" w:hAnsi="仿宋_GB2312" w:eastAsia="仿宋_GB2312" w:cs="仿宋_GB2312"/>
          <w:sz w:val="32"/>
          <w:szCs w:val="32"/>
          <w:highlight w:val="none"/>
        </w:rPr>
        <w:t>招投标采购管理办法》，通过公开招标方式，择优选择承包方，承包方通过竞争中标后依法签</w:t>
      </w:r>
      <w:r>
        <w:rPr>
          <w:rFonts w:hint="eastAsia" w:ascii="仿宋_GB2312" w:hAnsi="仿宋_GB2312" w:eastAsia="仿宋_GB2312" w:cs="仿宋_GB2312"/>
          <w:sz w:val="32"/>
          <w:szCs w:val="32"/>
          <w:highlight w:val="none"/>
          <w:lang w:val="en-US" w:eastAsia="zh-CN"/>
        </w:rPr>
        <w:t>订</w:t>
      </w:r>
      <w:r>
        <w:rPr>
          <w:rFonts w:hint="eastAsia" w:ascii="仿宋_GB2312" w:hAnsi="仿宋_GB2312" w:eastAsia="仿宋_GB2312" w:cs="仿宋_GB2312"/>
          <w:sz w:val="32"/>
          <w:szCs w:val="32"/>
          <w:highlight w:val="none"/>
        </w:rPr>
        <w:t>承包合同，合同中明确规定项目的投资额度，工程规模，技术标准，不能搞“半拉子”工程，不能留投资缺口，不能转包，严格履行合同</w:t>
      </w:r>
      <w:r>
        <w:rPr>
          <w:rFonts w:hint="eastAsia" w:ascii="仿宋_GB2312" w:hAnsi="仿宋_GB2312" w:cs="仿宋_GB2312"/>
          <w:sz w:val="32"/>
          <w:szCs w:val="32"/>
          <w:highlight w:val="none"/>
          <w:lang w:eastAsia="zh-CN"/>
        </w:rPr>
        <w:t>。</w:t>
      </w:r>
    </w:p>
    <w:p>
      <w:pPr>
        <w:keepLines w:val="0"/>
        <w:pageBreakBefore w:val="0"/>
        <w:widowControl w:val="0"/>
        <w:numPr>
          <w:ilvl w:val="0"/>
          <w:numId w:val="2"/>
        </w:numPr>
        <w:kinsoku/>
        <w:wordWrap/>
        <w:overflowPunct/>
        <w:topLinePunct w:val="0"/>
        <w:autoSpaceDE w:val="0"/>
        <w:autoSpaceDN/>
        <w:bidi w:val="0"/>
        <w:adjustRightInd/>
        <w:snapToGrid/>
        <w:spacing w:beforeAutospacing="0" w:afterAutospacing="0"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项目实施与监督检查</w:t>
      </w:r>
    </w:p>
    <w:p>
      <w:pPr>
        <w:pStyle w:val="2"/>
        <w:keepLines w:val="0"/>
        <w:pageBreakBefore w:val="0"/>
        <w:widowControl w:val="0"/>
        <w:kinsoku/>
        <w:wordWrap/>
        <w:overflowPunct/>
        <w:topLinePunct w:val="0"/>
        <w:autoSpaceDN/>
        <w:bidi w:val="0"/>
        <w:adjustRightInd/>
        <w:snapToGrid/>
        <w:spacing w:beforeAutospacing="0" w:afterAutospacing="0" w:line="560" w:lineRule="exact"/>
        <w:ind w:firstLine="640" w:firstLineChars="200"/>
        <w:rPr>
          <w:rFonts w:hint="eastAsia"/>
          <w:b w:val="0"/>
          <w:bCs/>
          <w:lang w:val="en-US" w:eastAsia="zh-CN"/>
        </w:rPr>
      </w:pPr>
      <w:r>
        <w:rPr>
          <w:rFonts w:hint="eastAsia" w:ascii="仿宋_GB2312" w:hAnsi="仿宋_GB2312" w:eastAsia="仿宋_GB2312" w:cs="仿宋_GB2312"/>
          <w:b w:val="0"/>
          <w:bCs/>
          <w:sz w:val="32"/>
          <w:szCs w:val="32"/>
          <w:highlight w:val="none"/>
          <w:lang w:val="en-US" w:eastAsia="zh-CN"/>
        </w:rPr>
        <w:t>根据《关于批复实施2025年中央、自治区财政衔接推进乡村振兴补助资金项目的通知》（托党农领发〔2025〕1号）文件要求，为进一步加强资金管理和使用，依据项目计划和实施进度，提出支付申请并提供相关真实、合规的证明材料，制定资金使用计划，经审核后按照国库集中支付管理制度的规定和程序及时支付资金。从国库直接支付到衔接资金项目施工单位。严格执行专款专用，杜绝挤占、挪用项目资金，严禁虚列支出、以拨代支虚增项目进度。项目资金支付后，在审计或检查中发现资金使用存在违法违规问题的，应及时追回、收回。对资金使用严格监管，防止资金使用不精准、虚报冒领。预付项目的首付款，后续根据项目实施进度，提出支付申请并提供相关合同、项目进度证明材料、经审核后按照国库集中支付管理制度的规定和程序及时向施工方支付资金。</w:t>
      </w:r>
    </w:p>
    <w:p>
      <w:pPr>
        <w:keepLines w:val="0"/>
        <w:pageBreakBefore w:val="0"/>
        <w:widowControl w:val="0"/>
        <w:numPr>
          <w:ilvl w:val="0"/>
          <w:numId w:val="2"/>
        </w:numPr>
        <w:kinsoku/>
        <w:wordWrap/>
        <w:overflowPunct/>
        <w:topLinePunct w:val="0"/>
        <w:autoSpaceDE w:val="0"/>
        <w:autoSpaceDN/>
        <w:bidi w:val="0"/>
        <w:adjustRightInd/>
        <w:snapToGrid/>
        <w:spacing w:beforeAutospacing="0" w:afterAutospacing="0"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资金使用管理</w:t>
      </w:r>
    </w:p>
    <w:p>
      <w:pPr>
        <w:pStyle w:val="2"/>
        <w:keepLines w:val="0"/>
        <w:pageBreakBefore w:val="0"/>
        <w:widowControl w:val="0"/>
        <w:kinsoku/>
        <w:wordWrap/>
        <w:overflowPunct/>
        <w:topLinePunct w:val="0"/>
        <w:autoSpaceDN/>
        <w:bidi w:val="0"/>
        <w:adjustRightInd/>
        <w:snapToGrid/>
        <w:spacing w:beforeAutospacing="0" w:afterAutospacing="0" w:line="560" w:lineRule="exact"/>
        <w:ind w:firstLine="616" w:firstLineChars="200"/>
        <w:rPr>
          <w:rFonts w:hint="eastAsia"/>
          <w:b w:val="0"/>
          <w:bCs/>
          <w:lang w:val="en-US" w:eastAsia="zh-CN"/>
        </w:rPr>
      </w:pPr>
      <w:r>
        <w:rPr>
          <w:rFonts w:hint="eastAsia" w:ascii="仿宋_GB2312" w:hAnsi="仿宋_GB2312" w:eastAsia="仿宋_GB2312" w:cs="仿宋_GB2312"/>
          <w:b w:val="0"/>
          <w:bCs/>
          <w:spacing w:val="-6"/>
          <w:sz w:val="32"/>
          <w:szCs w:val="32"/>
          <w:highlight w:val="none"/>
          <w:lang w:val="en-US" w:eastAsia="zh-CN"/>
        </w:rPr>
        <w:t>严格按照关于印发《新疆维吾尔自治区财政衔接推进乡村振兴补助资金（巩固拓展脱贫攻坚成果和乡村振兴任务）项目管理办法（暂行）》的通知（新乡振〔2021〕32号）、</w:t>
      </w:r>
      <w:r>
        <w:rPr>
          <w:rFonts w:hint="eastAsia" w:ascii="仿宋_GB2312" w:hAnsi="仿宋_GB2312" w:eastAsia="仿宋_GB2312" w:cs="仿宋_GB2312"/>
          <w:b w:val="0"/>
          <w:bCs/>
          <w:sz w:val="32"/>
          <w:szCs w:val="32"/>
          <w:highlight w:val="none"/>
          <w:lang w:val="en-US" w:eastAsia="zh-CN"/>
        </w:rPr>
        <w:t>《关于批复实施2025年中央、自治区财政衔接推进乡村振兴补助资金项目的通知》（托党农领发〔2025〕1号）文件要求</w:t>
      </w:r>
      <w:r>
        <w:rPr>
          <w:rFonts w:hint="eastAsia" w:ascii="仿宋_GB2312" w:hAnsi="仿宋_GB2312" w:eastAsia="仿宋_GB2312" w:cs="仿宋_GB2312"/>
          <w:b w:val="0"/>
          <w:bCs/>
          <w:spacing w:val="-6"/>
          <w:sz w:val="32"/>
          <w:szCs w:val="32"/>
          <w:highlight w:val="none"/>
          <w:lang w:val="en-US" w:eastAsia="zh-CN"/>
        </w:rPr>
        <w:t>，项目实施单位依据项目计划和实施进度，提出支付申请并提供相关真实、合规的证明材料，制定资金使用计划，经审核后按照国库集中支付管理制度的规定和程序及时支付资金。严格执行专款专用，杜绝挤占、挪用项目资金，严禁虚列支出、以拨代支虚增项目进度。项目资金支付后，在审计或检查中发现资金使用存在违法违规问题的，及时追回、收回。对资金使用严格监管，防止资金使用不精准、虚报冒领。</w:t>
      </w:r>
    </w:p>
    <w:p>
      <w:pPr>
        <w:keepLines w:val="0"/>
        <w:pageBreakBefore w:val="0"/>
        <w:widowControl w:val="0"/>
        <w:numPr>
          <w:ilvl w:val="0"/>
          <w:numId w:val="2"/>
        </w:numPr>
        <w:kinsoku/>
        <w:wordWrap/>
        <w:overflowPunct/>
        <w:topLinePunct w:val="0"/>
        <w:autoSpaceDE w:val="0"/>
        <w:autoSpaceDN/>
        <w:bidi w:val="0"/>
        <w:adjustRightInd/>
        <w:snapToGrid/>
        <w:spacing w:beforeAutospacing="0" w:afterAutospacing="0"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项目验收管理</w:t>
      </w:r>
    </w:p>
    <w:p>
      <w:pPr>
        <w:pStyle w:val="2"/>
        <w:keepLines w:val="0"/>
        <w:pageBreakBefore w:val="0"/>
        <w:widowControl w:val="0"/>
        <w:kinsoku/>
        <w:wordWrap/>
        <w:overflowPunct/>
        <w:topLinePunct w:val="0"/>
        <w:autoSpaceDN/>
        <w:bidi w:val="0"/>
        <w:adjustRightInd/>
        <w:snapToGrid/>
        <w:spacing w:beforeAutospacing="0" w:afterAutospacing="0" w:line="560" w:lineRule="exact"/>
        <w:ind w:firstLine="616" w:firstLineChars="200"/>
        <w:rPr>
          <w:rFonts w:hint="eastAsia"/>
          <w:b w:val="0"/>
          <w:bCs/>
          <w:lang w:val="en-US" w:eastAsia="zh-CN"/>
        </w:rPr>
      </w:pPr>
      <w:r>
        <w:rPr>
          <w:rFonts w:hint="eastAsia" w:ascii="仿宋_GB2312" w:hAnsi="仿宋_GB2312" w:eastAsia="仿宋_GB2312" w:cs="仿宋_GB2312"/>
          <w:b w:val="0"/>
          <w:bCs/>
          <w:spacing w:val="-6"/>
          <w:sz w:val="32"/>
          <w:szCs w:val="32"/>
          <w:highlight w:val="none"/>
          <w:lang w:val="en-US" w:eastAsia="zh-CN"/>
        </w:rPr>
        <w:t>根据《新疆维吾尔自治区衔接推进乡村振兴补助资金管理办法》文件精神，坚持项目竣工验收制度，遵照属地管理、“谁审批、谁验收”的原则。按照村、镇、县三个级别逐级开展验收工作。村级由村第一书记组织村党支部书记、经济发展组成员组织验收。镇级由常务、副镇长组织项目办、财政所、安全生产办验收。镇、村两级验收合格后，报县乡村振兴局和行业部门申请县级验收。</w:t>
      </w:r>
    </w:p>
    <w:p>
      <w:pPr>
        <w:keepLines w:val="0"/>
        <w:pageBreakBefore w:val="0"/>
        <w:widowControl w:val="0"/>
        <w:numPr>
          <w:ilvl w:val="0"/>
          <w:numId w:val="2"/>
        </w:numPr>
        <w:kinsoku/>
        <w:wordWrap/>
        <w:overflowPunct/>
        <w:topLinePunct w:val="0"/>
        <w:autoSpaceDE w:val="0"/>
        <w:autoSpaceDN/>
        <w:bidi w:val="0"/>
        <w:adjustRightInd/>
        <w:snapToGrid/>
        <w:spacing w:beforeAutospacing="0" w:afterAutospacing="0"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项目公告公示</w:t>
      </w:r>
    </w:p>
    <w:p>
      <w:pPr>
        <w:pStyle w:val="2"/>
        <w:keepLines w:val="0"/>
        <w:pageBreakBefore w:val="0"/>
        <w:widowControl w:val="0"/>
        <w:kinsoku/>
        <w:wordWrap/>
        <w:overflowPunct/>
        <w:topLinePunct w:val="0"/>
        <w:autoSpaceDN/>
        <w:bidi w:val="0"/>
        <w:adjustRightInd/>
        <w:snapToGrid/>
        <w:spacing w:beforeAutospacing="0" w:afterAutospacing="0" w:line="560" w:lineRule="exact"/>
        <w:ind w:firstLine="640" w:firstLineChars="200"/>
        <w:rPr>
          <w:rFonts w:hint="eastAsia"/>
          <w:b w:val="0"/>
          <w:bCs/>
          <w:lang w:val="en-US" w:eastAsia="zh-CN"/>
        </w:rPr>
      </w:pPr>
      <w:r>
        <w:rPr>
          <w:rFonts w:hint="eastAsia" w:ascii="仿宋_GB2312" w:hAnsi="仿宋_GB2312" w:eastAsia="仿宋_GB2312" w:cs="仿宋_GB2312"/>
          <w:b w:val="0"/>
          <w:bCs/>
          <w:sz w:val="32"/>
          <w:szCs w:val="32"/>
          <w:highlight w:val="none"/>
          <w:lang w:val="en-US" w:eastAsia="zh-CN"/>
        </w:rPr>
        <w:t>项目实施需按《新疆维吾尔自治区衔接推进乡村振兴补助资金管理办法》文件精神，县级通过政府网站对项目建设内容、受益情况等进行公告公示，镇、村两级通过公示栏、入户宣讲等形式对项目事前、事中、事后全过程进行公告公示。</w:t>
      </w:r>
    </w:p>
    <w:p>
      <w:pPr>
        <w:pStyle w:val="1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rPr>
          <w:rFonts w:hint="eastAsia" w:ascii="仿宋_GB2312" w:hAnsi="Calibri" w:eastAsia="仿宋_GB2312" w:cs="Times New Roman"/>
          <w:color w:val="auto"/>
          <w:kern w:val="2"/>
          <w:sz w:val="32"/>
          <w:szCs w:val="32"/>
          <w:highlight w:val="none"/>
          <w:lang w:val="en-US" w:eastAsia="zh-CN" w:bidi="ar-SA"/>
        </w:rPr>
      </w:pPr>
      <w:r>
        <w:rPr>
          <w:rFonts w:hint="eastAsia" w:ascii="仿宋_GB2312" w:hAnsi="仿宋_GB2312" w:cs="仿宋_GB2312"/>
          <w:b/>
          <w:bCs/>
          <w:sz w:val="32"/>
          <w:szCs w:val="32"/>
          <w:lang w:val="en-US" w:eastAsia="zh-CN"/>
        </w:rPr>
        <w:t>（七）</w:t>
      </w:r>
      <w:r>
        <w:rPr>
          <w:rFonts w:hint="eastAsia" w:ascii="仿宋_GB2312" w:hAnsi="仿宋_GB2312" w:eastAsia="仿宋_GB2312" w:cs="仿宋_GB2312"/>
          <w:b/>
          <w:bCs/>
          <w:sz w:val="32"/>
          <w:szCs w:val="32"/>
          <w:lang w:val="en-US" w:eastAsia="zh-CN"/>
        </w:rPr>
        <w:t>项目后期管护及运营管理</w:t>
      </w:r>
      <w:r>
        <w:rPr>
          <w:rFonts w:hint="eastAsia" w:ascii="仿宋_GB2312" w:hAnsi="Calibri" w:eastAsia="仿宋_GB2312" w:cs="Times New Roman"/>
          <w:color w:val="auto"/>
          <w:kern w:val="2"/>
          <w:sz w:val="32"/>
          <w:szCs w:val="32"/>
          <w:highlight w:val="none"/>
          <w:lang w:val="en-US" w:eastAsia="zh-CN" w:bidi="ar-SA"/>
        </w:rPr>
        <w:t xml:space="preserve"> </w:t>
      </w:r>
    </w:p>
    <w:p>
      <w:pPr>
        <w:pStyle w:val="15"/>
        <w:keepNext w:val="0"/>
        <w:keepLines w:val="0"/>
        <w:pageBreakBefore w:val="0"/>
        <w:widowControl w:val="0"/>
        <w:numPr>
          <w:ilvl w:val="0"/>
          <w:numId w:val="0"/>
        </w:numPr>
        <w:kinsoku/>
        <w:wordWrap/>
        <w:overflowPunct/>
        <w:topLinePunct w:val="0"/>
        <w:autoSpaceDN/>
        <w:bidi w:val="0"/>
        <w:adjustRightInd/>
        <w:snapToGrid/>
        <w:spacing w:beforeAutospacing="0" w:afterAutospacing="0" w:line="560" w:lineRule="exact"/>
        <w:ind w:left="0" w:leftChars="0" w:firstLine="616"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pacing w:val="-6"/>
          <w:kern w:val="2"/>
          <w:sz w:val="32"/>
          <w:szCs w:val="32"/>
          <w:highlight w:val="none"/>
          <w:lang w:val="en-US" w:eastAsia="zh-CN" w:bidi="ar-SA"/>
        </w:rPr>
        <w:t>根据《关于加强扶贫项目资产后续管理的实施意见》（新政办函〔2021〕149号）、《关于加强扶贫项目资产后续管理实施细则的通知》规定，一是遵照属地管理的原则，资产由项目实施所在地村委会所有并具体使用维护，任何有关该项</w:t>
      </w:r>
      <w:r>
        <w:rPr>
          <w:rFonts w:hint="eastAsia" w:ascii="仿宋_GB2312" w:hAnsi="仿宋_GB2312" w:cs="仿宋_GB2312"/>
          <w:spacing w:val="-6"/>
          <w:kern w:val="2"/>
          <w:sz w:val="32"/>
          <w:szCs w:val="32"/>
          <w:highlight w:val="none"/>
          <w:lang w:val="en-US" w:eastAsia="zh-CN" w:bidi="ar-SA"/>
        </w:rPr>
        <w:t>目的</w:t>
      </w:r>
      <w:r>
        <w:rPr>
          <w:rFonts w:hint="eastAsia" w:ascii="仿宋_GB2312" w:hAnsi="仿宋_GB2312" w:eastAsia="仿宋_GB2312" w:cs="仿宋_GB2312"/>
          <w:spacing w:val="-6"/>
          <w:kern w:val="2"/>
          <w:sz w:val="32"/>
          <w:szCs w:val="32"/>
          <w:highlight w:val="none"/>
          <w:lang w:val="en-US" w:eastAsia="zh-CN" w:bidi="ar-SA"/>
        </w:rPr>
        <w:t>事项，需经村民代表大会讨论通过。二是建立后续管理监管工作领导小组，明确具体办事机构和工作人员，落实后续管理措施和办法。三是成立项目监督管理小组等组织，监督项目实施单位管理情况，及时妥善解决项目后续管理中出现的问题，积极向镇人民政府和有关部门</w:t>
      </w:r>
      <w:r>
        <w:rPr>
          <w:rFonts w:hint="eastAsia" w:ascii="仿宋_GB2312" w:hAnsi="仿宋_GB2312" w:cs="仿宋_GB2312"/>
          <w:spacing w:val="-6"/>
          <w:kern w:val="2"/>
          <w:sz w:val="32"/>
          <w:szCs w:val="32"/>
          <w:highlight w:val="none"/>
          <w:lang w:val="en-US" w:eastAsia="zh-CN" w:bidi="ar-SA"/>
        </w:rPr>
        <w:t>反映</w:t>
      </w:r>
      <w:r>
        <w:rPr>
          <w:rFonts w:hint="eastAsia" w:ascii="仿宋_GB2312" w:hAnsi="仿宋_GB2312" w:eastAsia="仿宋_GB2312" w:cs="仿宋_GB2312"/>
          <w:spacing w:val="-6"/>
          <w:kern w:val="2"/>
          <w:sz w:val="32"/>
          <w:szCs w:val="32"/>
          <w:highlight w:val="none"/>
          <w:lang w:val="en-US" w:eastAsia="zh-CN" w:bidi="ar-SA"/>
        </w:rPr>
        <w:t>项目后续管理工作中出现的新情况、新问题和意见建议。四是全面跟踪项目运行管理和效益情况，每年12月开展一次项目后续管理评估。五是对自然灾害造成的项目损坏工程，其修复资金原则上由项目所在村委会自行解决</w:t>
      </w:r>
      <w:r>
        <w:rPr>
          <w:rFonts w:hint="default" w:ascii="仿宋_GB2312" w:hAnsi="仿宋_GB2312" w:eastAsia="仿宋_GB2312" w:cs="仿宋_GB2312"/>
          <w:spacing w:val="-6"/>
          <w:kern w:val="2"/>
          <w:sz w:val="32"/>
          <w:szCs w:val="32"/>
          <w:highlight w:val="none"/>
          <w:lang w:val="en-US" w:eastAsia="zh-CN" w:bidi="ar-SA"/>
        </w:rPr>
        <w:t>。</w:t>
      </w:r>
    </w:p>
    <w:p>
      <w:pPr>
        <w:pStyle w:val="18"/>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lang w:val="en-US" w:eastAsia="zh-CN"/>
        </w:rPr>
        <w:t>六、</w:t>
      </w:r>
      <w:r>
        <w:rPr>
          <w:rFonts w:hint="eastAsia" w:ascii="黑体" w:hAnsi="黑体" w:eastAsia="黑体" w:cs="黑体"/>
          <w:b w:val="0"/>
          <w:bCs w:val="0"/>
          <w:color w:val="auto"/>
          <w:sz w:val="32"/>
          <w:szCs w:val="32"/>
          <w:highlight w:val="none"/>
          <w:lang w:eastAsia="zh-CN"/>
        </w:rPr>
        <w:t>简要利益</w:t>
      </w:r>
      <w:r>
        <w:rPr>
          <w:rFonts w:hint="eastAsia" w:ascii="黑体" w:hAnsi="黑体" w:eastAsia="黑体" w:cs="黑体"/>
          <w:b w:val="0"/>
          <w:bCs w:val="0"/>
          <w:color w:val="auto"/>
          <w:sz w:val="32"/>
          <w:szCs w:val="32"/>
          <w:highlight w:val="none"/>
        </w:rPr>
        <w:t>机制</w:t>
      </w:r>
    </w:p>
    <w:p>
      <w:pPr>
        <w:pStyle w:val="18"/>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color w:val="auto"/>
          <w:kern w:val="2"/>
          <w:sz w:val="32"/>
          <w:szCs w:val="32"/>
          <w:highlight w:val="none"/>
          <w:lang w:val="en-US" w:eastAsia="zh-CN" w:bidi="ar-SA"/>
        </w:rPr>
        <w:t>一是项目的实施覆盖奥依曼买里村农户753户2800人。其中脱贫户170户601人，监测对象20户68人。二是项目的实施，能够极大地改善奥依曼买里村的交通条件，促进杏子、鱼塘、共享菜园和旅游等产业的发展，为乡村振兴注入强大动力。三是铺设沥青道路能够极大地改善杏子的运输条件，减少运输过程中的损耗。四是良好的道路条件能够吸引更多游客前来垂钓、观光，促进了休闲渔业的发展。游客可以更轻松地到达鱼塘，享受垂钓的乐趣。五是便捷的交通能够吸引更多城市居民前来参与共享菜园项目，扩大共享菜园的规模和影响力。六是提升村庄整体形象能够吸引更多的游客，发展乡村旅游，提高群众的幸福指数。</w:t>
      </w:r>
    </w:p>
    <w:p>
      <w:pPr>
        <w:keepNext w:val="0"/>
        <w:keepLines w:val="0"/>
        <w:pageBreakBefore w:val="0"/>
        <w:widowControl w:val="0"/>
        <w:numPr>
          <w:ilvl w:val="0"/>
          <w:numId w:val="0"/>
        </w:numPr>
        <w:kinsoku/>
        <w:wordWrap/>
        <w:overflowPunct/>
        <w:topLinePunct w:val="0"/>
        <w:autoSpaceDN/>
        <w:bidi w:val="0"/>
        <w:adjustRightInd/>
        <w:snapToGrid/>
        <w:spacing w:line="560" w:lineRule="exact"/>
        <w:ind w:firstLine="640" w:firstLineChars="200"/>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七、项目绩效目标及效益分析</w:t>
      </w:r>
    </w:p>
    <w:p>
      <w:pPr>
        <w:keepNext w:val="0"/>
        <w:keepLines w:val="0"/>
        <w:pageBreakBefore w:val="0"/>
        <w:widowControl w:val="0"/>
        <w:kinsoku/>
        <w:wordWrap/>
        <w:overflowPunct/>
        <w:topLinePunct w:val="0"/>
        <w:autoSpaceDN/>
        <w:bidi w:val="0"/>
        <w:adjustRightInd/>
        <w:snapToGrid/>
        <w:spacing w:line="560" w:lineRule="exact"/>
        <w:ind w:firstLine="643"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rPr>
        <w:t>年度目标：</w:t>
      </w:r>
      <w:r>
        <w:rPr>
          <w:rFonts w:hint="eastAsia" w:ascii="仿宋_GB2312" w:hAnsi="仿宋_GB2312" w:eastAsia="仿宋_GB2312" w:cs="仿宋_GB2312"/>
          <w:color w:val="auto"/>
          <w:sz w:val="32"/>
          <w:szCs w:val="32"/>
          <w:highlight w:val="none"/>
        </w:rPr>
        <w:t>计划在奥依曼买里村杏子产业园内铺设4.5公里沥青道路以及附属设施，项目建设费用约380万元、其他</w:t>
      </w:r>
      <w:r>
        <w:rPr>
          <w:rFonts w:hint="eastAsia" w:ascii="仿宋_GB2312" w:hAnsi="仿宋_GB2312" w:eastAsia="仿宋_GB2312" w:cs="仿宋_GB2312"/>
          <w:color w:val="auto"/>
          <w:sz w:val="32"/>
          <w:szCs w:val="32"/>
          <w:highlight w:val="none"/>
          <w:lang w:eastAsia="zh-CN"/>
        </w:rPr>
        <w:t>费用</w:t>
      </w:r>
      <w:r>
        <w:rPr>
          <w:rFonts w:hint="eastAsia" w:ascii="仿宋_GB2312" w:hAnsi="仿宋_GB2312" w:eastAsia="仿宋_GB2312" w:cs="仿宋_GB2312"/>
          <w:color w:val="auto"/>
          <w:sz w:val="32"/>
          <w:szCs w:val="32"/>
          <w:highlight w:val="none"/>
        </w:rPr>
        <w:t>约20万元。项目总投资约400万元。项目的实施可以推动乡村旅游基础设施的完善和升级，提高村民的生活品质，实现乡村振兴的目标。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rPr>
        <w:t>项目覆盖情况：</w:t>
      </w:r>
      <w:r>
        <w:rPr>
          <w:rFonts w:hint="eastAsia" w:ascii="仿宋_GB2312" w:hAnsi="仿宋_GB2312" w:eastAsia="仿宋_GB2312" w:cs="仿宋_GB2312"/>
          <w:color w:val="auto"/>
          <w:sz w:val="32"/>
          <w:szCs w:val="32"/>
          <w:highlight w:val="none"/>
        </w:rPr>
        <w:t>项目实施覆盖奥依曼买里村农户753户2800人。其中脱贫户170户601人，监测对象20户68人</w:t>
      </w:r>
      <w:r>
        <w:rPr>
          <w:rFonts w:hint="eastAsia" w:ascii="仿宋_GB2312" w:hAnsi="仿宋_GB2312" w:eastAsia="仿宋_GB2312" w:cs="仿宋_GB2312"/>
          <w:bCs/>
          <w:color w:val="auto"/>
          <w:kern w:val="0"/>
          <w:sz w:val="32"/>
          <w:szCs w:val="32"/>
          <w:highlight w:val="none"/>
        </w:rPr>
        <w:t>。</w:t>
      </w:r>
    </w:p>
    <w:p>
      <w:pPr>
        <w:pStyle w:val="18"/>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sz w:val="32"/>
          <w:szCs w:val="32"/>
          <w:highlight w:val="none"/>
          <w:lang w:val="en-US" w:eastAsia="zh-CN"/>
        </w:rPr>
        <w:t>3、社会效益：</w:t>
      </w:r>
      <w:r>
        <w:rPr>
          <w:rFonts w:hint="eastAsia" w:ascii="仿宋_GB2312" w:hAnsi="仿宋_GB2312" w:eastAsia="仿宋_GB2312" w:cs="仿宋_GB2312"/>
          <w:color w:val="auto"/>
          <w:sz w:val="32"/>
          <w:szCs w:val="32"/>
          <w:highlight w:val="none"/>
        </w:rPr>
        <w:t>项目的实施，极大地改善了奥依曼买里村的交通条件，促进了杏子、鱼塘、共享菜园和旅游等产业的发展，为乡村振兴注入了强大动力。</w:t>
      </w:r>
      <w:r>
        <w:rPr>
          <w:rFonts w:hint="default" w:ascii="Times New Roman" w:hAnsi="Times New Roman" w:eastAsia="仿宋_GB2312" w:cs="Times New Roman"/>
          <w:w w:val="100"/>
          <w:kern w:val="2"/>
          <w:sz w:val="32"/>
          <w:szCs w:val="32"/>
          <w:highlight w:val="none"/>
          <w:lang w:val="en-US" w:eastAsia="zh-CN" w:bidi="ar-SA"/>
        </w:rPr>
        <w:t>提升当地居民的生活质量，改善他们的出行条件。此外，项目的实施还将为当地创造就业机会，促进社会稳定和谐</w:t>
      </w:r>
      <w:r>
        <w:rPr>
          <w:rFonts w:hint="eastAsia" w:ascii="仿宋_GB2312" w:hAnsi="仿宋_GB2312" w:eastAsia="仿宋_GB2312" w:cs="仿宋_GB2312"/>
          <w:color w:val="auto"/>
          <w:kern w:val="2"/>
          <w:sz w:val="32"/>
          <w:szCs w:val="32"/>
          <w:highlight w:val="none"/>
          <w:lang w:val="en-US" w:eastAsia="zh-CN" w:bidi="ar-SA"/>
        </w:rPr>
        <w:t>。</w:t>
      </w:r>
    </w:p>
    <w:p>
      <w:pPr>
        <w:pStyle w:val="18"/>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sz w:val="32"/>
          <w:szCs w:val="32"/>
          <w:highlight w:val="none"/>
          <w:lang w:val="en-US" w:eastAsia="zh-CN"/>
        </w:rPr>
        <w:t>4、可持续影响指标：</w:t>
      </w:r>
      <w:r>
        <w:rPr>
          <w:rFonts w:hint="default" w:ascii="Times New Roman" w:hAnsi="Times New Roman" w:eastAsia="仿宋_GB2312" w:cs="Times New Roman"/>
          <w:w w:val="100"/>
          <w:kern w:val="2"/>
          <w:sz w:val="32"/>
          <w:szCs w:val="32"/>
          <w:highlight w:val="none"/>
          <w:lang w:val="en-US" w:eastAsia="zh-CN" w:bidi="ar-SA"/>
        </w:rPr>
        <w:t>项目的实施将增强当地的可持续发展能力，为未来的经济和社会发展奠定坚实的基础。</w:t>
      </w:r>
      <w:r>
        <w:rPr>
          <w:rFonts w:hint="eastAsia" w:ascii="Times New Roman" w:hAnsi="Times New Roman" w:eastAsia="仿宋_GB2312" w:cs="Times New Roman"/>
          <w:w w:val="100"/>
          <w:kern w:val="2"/>
          <w:sz w:val="32"/>
          <w:szCs w:val="32"/>
          <w:highlight w:val="none"/>
          <w:lang w:val="en-US" w:eastAsia="zh-CN" w:bidi="ar-SA"/>
        </w:rPr>
        <w:t>该项目工程设计使用年限达</w:t>
      </w:r>
      <w:r>
        <w:rPr>
          <w:rFonts w:hint="eastAsia" w:ascii="仿宋_GB2312" w:hAnsi="仿宋_GB2312" w:eastAsia="仿宋_GB2312" w:cs="仿宋_GB2312"/>
          <w:sz w:val="32"/>
          <w:szCs w:val="32"/>
          <w:highlight w:val="none"/>
        </w:rPr>
        <w:t>10年以上</w:t>
      </w:r>
      <w:r>
        <w:rPr>
          <w:rFonts w:hint="eastAsia" w:ascii="仿宋_GB2312" w:hAnsi="仿宋_GB2312" w:eastAsia="仿宋_GB2312" w:cs="仿宋_GB2312"/>
          <w:color w:val="auto"/>
          <w:kern w:val="2"/>
          <w:sz w:val="32"/>
          <w:szCs w:val="32"/>
          <w:highlight w:val="none"/>
          <w:lang w:val="en-US" w:eastAsia="zh-CN" w:bidi="ar-SA"/>
        </w:rPr>
        <w:t>。</w:t>
      </w:r>
    </w:p>
    <w:p>
      <w:pPr>
        <w:pStyle w:val="18"/>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color w:val="auto"/>
          <w:sz w:val="32"/>
          <w:szCs w:val="32"/>
          <w:highlight w:val="none"/>
          <w:lang w:val="en-US" w:eastAsia="zh-CN"/>
        </w:rPr>
        <w:t>5、服务对象满意度：</w:t>
      </w:r>
      <w:r>
        <w:rPr>
          <w:rFonts w:hint="eastAsia" w:ascii="仿宋_GB2312" w:hAnsi="仿宋_GB2312" w:eastAsia="仿宋_GB2312" w:cs="仿宋_GB2312"/>
          <w:color w:val="auto"/>
          <w:kern w:val="2"/>
          <w:sz w:val="32"/>
          <w:szCs w:val="32"/>
          <w:highlight w:val="none"/>
          <w:lang w:val="en-US" w:eastAsia="zh-CN" w:bidi="ar-SA"/>
        </w:rPr>
        <w:t>项目建成投入使用后，预计项目区受益群众满意度可达到90%以上，受益脱贫户及监测户人口满意度可达到95%以上。</w:t>
      </w:r>
    </w:p>
    <w:p>
      <w:pPr>
        <w:pStyle w:val="18"/>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0"/>
        <w:rPr>
          <w:rFonts w:hint="default" w:ascii="仿宋_GB2312" w:hAnsi="仿宋_GB2312" w:eastAsia="仿宋_GB2312" w:cs="仿宋_GB2312"/>
          <w:b/>
          <w:bCs/>
          <w:color w:val="auto"/>
          <w:kern w:val="2"/>
          <w:sz w:val="32"/>
          <w:szCs w:val="32"/>
          <w:highlight w:val="none"/>
          <w:lang w:val="en-US" w:eastAsia="zh-CN" w:bidi="ar-SA"/>
        </w:rPr>
      </w:pPr>
      <w:r>
        <w:rPr>
          <w:rFonts w:hint="eastAsia" w:ascii="黑体" w:hAnsi="黑体" w:eastAsia="黑体" w:cs="黑体"/>
          <w:b w:val="0"/>
          <w:bCs w:val="0"/>
          <w:color w:val="auto"/>
          <w:kern w:val="2"/>
          <w:sz w:val="32"/>
          <w:szCs w:val="32"/>
          <w:highlight w:val="none"/>
          <w:lang w:val="en-US" w:eastAsia="zh-CN" w:bidi="ar-SA"/>
        </w:rPr>
        <w:t>八、风险防范机制</w:t>
      </w:r>
    </w:p>
    <w:p>
      <w:pPr>
        <w:pStyle w:val="18"/>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（一）主要风险因素</w:t>
      </w:r>
    </w:p>
    <w:p>
      <w:pPr>
        <w:pStyle w:val="18"/>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仿宋_GB2312" w:hAnsi="Calibri" w:eastAsia="仿宋_GB2312" w:cs="Times New Roman"/>
          <w:sz w:val="32"/>
          <w:szCs w:val="32"/>
        </w:rPr>
      </w:pPr>
      <w:r>
        <w:rPr>
          <w:rFonts w:hint="eastAsia" w:ascii="仿宋_GB2312" w:eastAsia="仿宋_GB2312" w:cs="Times New Roman"/>
          <w:sz w:val="32"/>
          <w:szCs w:val="32"/>
        </w:rPr>
        <w:t>一是</w:t>
      </w:r>
      <w:r>
        <w:rPr>
          <w:rFonts w:hint="eastAsia" w:ascii="仿宋_GB2312" w:hAnsi="Calibri" w:eastAsia="仿宋_GB2312" w:cs="Times New Roman"/>
          <w:sz w:val="32"/>
          <w:szCs w:val="32"/>
        </w:rPr>
        <w:t>本项目施工风险主要来自</w:t>
      </w:r>
      <w:r>
        <w:rPr>
          <w:rFonts w:hint="eastAsia" w:ascii="仿宋_GB2312" w:hAnsi="Calibri" w:eastAsia="仿宋_GB2312" w:cs="Times New Roman"/>
          <w:sz w:val="32"/>
          <w:szCs w:val="32"/>
          <w:lang w:val="en-US" w:eastAsia="zh-CN"/>
        </w:rPr>
        <w:t>施工</w:t>
      </w:r>
      <w:r>
        <w:rPr>
          <w:rFonts w:hint="eastAsia" w:ascii="仿宋_GB2312" w:hAnsi="Calibri" w:eastAsia="仿宋_GB2312" w:cs="Times New Roman"/>
          <w:sz w:val="32"/>
          <w:szCs w:val="32"/>
        </w:rPr>
        <w:t>企业</w:t>
      </w:r>
      <w:r>
        <w:rPr>
          <w:rFonts w:hint="eastAsia" w:ascii="仿宋_GB2312" w:hAnsi="Calibri" w:eastAsia="仿宋_GB2312" w:cs="Times New Roman"/>
          <w:sz w:val="32"/>
          <w:szCs w:val="32"/>
          <w:lang w:val="en-US" w:eastAsia="zh-CN"/>
        </w:rPr>
        <w:t>专业能力</w:t>
      </w:r>
      <w:r>
        <w:rPr>
          <w:rFonts w:hint="eastAsia" w:ascii="仿宋_GB2312" w:hAnsi="Calibri" w:eastAsia="仿宋_GB2312" w:cs="Times New Roman"/>
          <w:sz w:val="32"/>
          <w:szCs w:val="32"/>
        </w:rPr>
        <w:t>，其中包含承揽项目的</w:t>
      </w:r>
      <w:r>
        <w:rPr>
          <w:rFonts w:hint="eastAsia" w:ascii="仿宋_GB2312" w:hAnsi="Calibri" w:eastAsia="仿宋_GB2312" w:cs="Times New Roman"/>
          <w:sz w:val="32"/>
          <w:szCs w:val="32"/>
          <w:lang w:val="en-US" w:eastAsia="zh-CN"/>
        </w:rPr>
        <w:t>施工</w:t>
      </w:r>
      <w:r>
        <w:rPr>
          <w:rFonts w:hint="eastAsia" w:ascii="仿宋_GB2312" w:hAnsi="Calibri" w:eastAsia="仿宋_GB2312" w:cs="Times New Roman"/>
          <w:sz w:val="32"/>
          <w:szCs w:val="32"/>
        </w:rPr>
        <w:t>队伍人员素质、装备能力、施工期间的成本控制及质量管理等。</w:t>
      </w:r>
      <w:r>
        <w:rPr>
          <w:rFonts w:hint="eastAsia" w:ascii="仿宋_GB2312" w:eastAsia="仿宋_GB2312" w:cs="Times New Roman"/>
          <w:sz w:val="32"/>
          <w:szCs w:val="32"/>
        </w:rPr>
        <w:t>二是</w:t>
      </w:r>
      <w:r>
        <w:rPr>
          <w:rFonts w:hint="eastAsia" w:ascii="仿宋_GB2312" w:hAnsi="Calibri" w:eastAsia="仿宋_GB2312" w:cs="Times New Roman"/>
          <w:sz w:val="32"/>
          <w:szCs w:val="32"/>
        </w:rPr>
        <w:t>主要危害为工程质量不合格、工期拖延、工程造价突破预算、出现大的安全事故等，造成工程不能按期投入使用，导致项目不能正常运行，造成经济损失和负面影响。</w:t>
      </w:r>
    </w:p>
    <w:p>
      <w:pPr>
        <w:pStyle w:val="18"/>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（二）防范化解措施</w:t>
      </w:r>
    </w:p>
    <w:p>
      <w:pPr>
        <w:pStyle w:val="18"/>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Calibri" w:eastAsia="仿宋_GB2312" w:cs="Times New Roman"/>
          <w:b w:val="0"/>
          <w:bCs w:val="0"/>
          <w:kern w:val="2"/>
          <w:sz w:val="32"/>
          <w:szCs w:val="32"/>
          <w:lang w:val="en-US" w:eastAsia="zh-CN" w:bidi="ar-SA"/>
        </w:rPr>
        <w:t>一是做好项目前期调研和询价工作。选择资质等级高、社会信誉好，同时施工技术方案成熟、施工组织设计完善、工程报价合理的施工、监理企业参与本项目的工程建设。从源头堵住由于施工企业能力不足可能造成的风险因素。二是在施工过程中，按照预期制定的总进度计划，实施阶段落实。要求施工企业建立质量保证和进度控制体系，要求施工现场实现标准化、规范化、制度化，对工程进度、质量、安全实行全过程监控</w:t>
      </w:r>
      <w:r>
        <w:rPr>
          <w:rFonts w:hint="eastAsia" w:ascii="仿宋_GB2312" w:hAnsi="仿宋_GB2312" w:eastAsia="仿宋_GB2312" w:cs="仿宋_GB2312"/>
          <w:color w:val="auto"/>
          <w:kern w:val="2"/>
          <w:sz w:val="32"/>
          <w:szCs w:val="32"/>
          <w:highlight w:val="none"/>
          <w:lang w:val="en-US" w:eastAsia="zh-CN" w:bidi="ar-SA"/>
        </w:rPr>
        <w:t>。</w:t>
      </w:r>
    </w:p>
    <w:p>
      <w:pPr>
        <w:pStyle w:val="18"/>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仿宋_GB2312" w:hAnsi="仿宋_GB2312" w:eastAsia="仿宋_GB2312" w:cs="仿宋_GB2312"/>
          <w:color w:val="auto"/>
          <w:kern w:val="2"/>
          <w:sz w:val="32"/>
          <w:szCs w:val="32"/>
          <w:highlight w:val="none"/>
          <w:lang w:val="en-US" w:eastAsia="zh-CN" w:bidi="ar-SA"/>
        </w:rPr>
      </w:pPr>
    </w:p>
    <w:p>
      <w:pPr>
        <w:pStyle w:val="18"/>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       </w:t>
      </w:r>
    </w:p>
    <w:p>
      <w:pPr>
        <w:keepLines w:val="0"/>
        <w:pageBreakBefore w:val="0"/>
        <w:widowControl w:val="0"/>
        <w:kinsoku/>
        <w:wordWrap/>
        <w:overflowPunct/>
        <w:topLinePunct w:val="0"/>
        <w:autoSpaceDE/>
        <w:autoSpaceDN/>
        <w:bidi w:val="0"/>
        <w:adjustRightInd/>
        <w:snapToGrid/>
        <w:spacing w:line="480" w:lineRule="exact"/>
        <w:ind w:right="0" w:rightChars="0" w:firstLine="640" w:firstLineChars="200"/>
        <w:textAlignment w:val="auto"/>
        <w:outlineLvl w:val="9"/>
        <w:rPr>
          <w:rFonts w:hint="default" w:ascii="仿宋_GB2312" w:hAnsi="仿宋_GB2312" w:eastAsia="仿宋_GB2312" w:cs="仿宋_GB2312"/>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 xml:space="preserve">                         </w:t>
      </w:r>
      <w:r>
        <w:rPr>
          <w:rFonts w:hint="eastAsia" w:ascii="仿宋_GB2312" w:hAnsi="仿宋_GB2312" w:eastAsia="仿宋_GB2312" w:cs="仿宋_GB2312"/>
          <w:color w:val="auto"/>
          <w:kern w:val="2"/>
          <w:sz w:val="32"/>
          <w:szCs w:val="32"/>
          <w:highlight w:val="none"/>
          <w:lang w:val="en-US" w:eastAsia="zh-CN" w:bidi="ar-SA"/>
        </w:rPr>
        <w:t xml:space="preserve">     </w:t>
      </w:r>
    </w:p>
    <w:p>
      <w:pPr>
        <w:pStyle w:val="18"/>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仿宋_GB2312" w:hAnsi="仿宋_GB2312" w:eastAsia="仿宋_GB2312" w:cs="仿宋_GB2312"/>
          <w:color w:val="auto"/>
          <w:kern w:val="2"/>
          <w:sz w:val="32"/>
          <w:szCs w:val="32"/>
          <w:highlight w:val="none"/>
          <w:lang w:val="en-US" w:eastAsia="zh-CN" w:bidi="ar-SA"/>
        </w:rPr>
      </w:pPr>
    </w:p>
    <w:p>
      <w:pPr>
        <w:pStyle w:val="18"/>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仿宋_GB2312" w:hAnsi="仿宋_GB2312" w:eastAsia="仿宋_GB2312" w:cs="仿宋_GB2312"/>
          <w:color w:val="auto"/>
          <w:kern w:val="2"/>
          <w:sz w:val="32"/>
          <w:szCs w:val="32"/>
          <w:highlight w:val="none"/>
          <w:lang w:val="en-US" w:eastAsia="zh-CN" w:bidi="ar-SA"/>
        </w:rPr>
      </w:pPr>
    </w:p>
    <w:p>
      <w:pPr>
        <w:pStyle w:val="18"/>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仿宋_GB2312" w:hAnsi="仿宋_GB2312" w:eastAsia="仿宋_GB2312" w:cs="仿宋_GB2312"/>
          <w:color w:val="auto"/>
          <w:kern w:val="2"/>
          <w:sz w:val="32"/>
          <w:szCs w:val="32"/>
          <w:highlight w:val="none"/>
          <w:lang w:val="en-US" w:eastAsia="zh-CN" w:bidi="ar-SA"/>
        </w:rPr>
      </w:pPr>
    </w:p>
    <w:p>
      <w:pPr>
        <w:pStyle w:val="18"/>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仿宋_GB2312" w:hAnsi="仿宋_GB2312" w:eastAsia="仿宋_GB2312" w:cs="仿宋_GB2312"/>
          <w:color w:val="auto"/>
          <w:kern w:val="2"/>
          <w:sz w:val="32"/>
          <w:szCs w:val="32"/>
          <w:highlight w:val="none"/>
          <w:lang w:val="en-US" w:eastAsia="zh-CN" w:bidi="ar-SA"/>
        </w:rPr>
      </w:pPr>
    </w:p>
    <w:p>
      <w:pPr>
        <w:pStyle w:val="18"/>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仿宋_GB2312" w:hAnsi="仿宋_GB2312" w:eastAsia="仿宋_GB2312" w:cs="仿宋_GB2312"/>
          <w:color w:val="auto"/>
          <w:kern w:val="2"/>
          <w:sz w:val="32"/>
          <w:szCs w:val="32"/>
          <w:highlight w:val="none"/>
          <w:lang w:val="en-US" w:eastAsia="zh-CN" w:bidi="ar-SA"/>
        </w:rPr>
      </w:pPr>
    </w:p>
    <w:sectPr>
      <w:pgSz w:w="11906" w:h="16838"/>
      <w:pgMar w:top="2098" w:right="1531" w:bottom="1984" w:left="1531" w:header="851" w:footer="992" w:gutter="0"/>
      <w:cols w:space="425"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CDAEE99-9481-41E8-881E-02E01531741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ACB08060-49F9-4324-BE82-AACDC2F6EA9C}"/>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0" w:usb1="00000000" w:usb2="00000000" w:usb3="00000000" w:csb0="00000000" w:csb1="00000000"/>
    <w:embedRegular r:id="rId3" w:fontKey="{7BFA67D2-27AE-4BDE-A5B9-601B62D7BBA3}"/>
  </w:font>
  <w:font w:name="HYb2gj">
    <w:altName w:val="宋体"/>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000" w:usb1="00000000" w:usb2="00000000" w:usb3="00000000" w:csb0="00000000" w:csb1="00000000"/>
    <w:embedRegular r:id="rId4" w:fontKey="{A0251107-5989-424A-88B9-C657971C8BD2}"/>
  </w:font>
  <w:font w:name="方正小标宋简体">
    <w:panose1 w:val="02010600010101010101"/>
    <w:charset w:val="86"/>
    <w:family w:val="script"/>
    <w:pitch w:val="default"/>
    <w:sig w:usb0="00000000" w:usb1="00000000" w:usb2="00000000" w:usb3="00000000" w:csb0="00000000" w:csb1="00000000"/>
    <w:embedRegular r:id="rId5" w:fontKey="{E7610BA7-9428-4833-BCE7-5B9140A00915}"/>
  </w:font>
  <w:font w:name="方正黑体简体">
    <w:altName w:val="微软雅黑"/>
    <w:panose1 w:val="02000000000000000000"/>
    <w:charset w:val="86"/>
    <w:family w:val="auto"/>
    <w:pitch w:val="default"/>
    <w:sig w:usb0="00000000" w:usb1="00000000" w:usb2="00000012" w:usb3="00000000" w:csb0="00040001" w:csb1="00000000"/>
    <w:embedRegular r:id="rId6" w:fontKey="{5E32118C-AE71-4688-8ACD-426627E463CB}"/>
  </w:font>
  <w:font w:name="仿宋">
    <w:panose1 w:val="02010609060101010101"/>
    <w:charset w:val="86"/>
    <w:family w:val="auto"/>
    <w:pitch w:val="default"/>
    <w:sig w:usb0="800002BF" w:usb1="38CF7CFA" w:usb2="00000016" w:usb3="00000000" w:csb0="00040001" w:csb1="00000000"/>
    <w:embedRegular r:id="rId7" w:fontKey="{A1A9E9C6-7C86-4555-9091-72AE17C454D6}"/>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7A5061"/>
    <w:multiLevelType w:val="singleLevel"/>
    <w:tmpl w:val="A57A5061"/>
    <w:lvl w:ilvl="0" w:tentative="0">
      <w:start w:val="1"/>
      <w:numFmt w:val="chineseCounting"/>
      <w:suff w:val="nothing"/>
      <w:lvlText w:val="（%1）"/>
      <w:lvlJc w:val="left"/>
      <w:rPr>
        <w:rFonts w:hint="eastAsia"/>
      </w:rPr>
    </w:lvl>
  </w:abstractNum>
  <w:abstractNum w:abstractNumId="1">
    <w:nsid w:val="4228ADC6"/>
    <w:multiLevelType w:val="singleLevel"/>
    <w:tmpl w:val="4228ADC6"/>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TrueTypeFonts/>
  <w:saveSubsetFonts/>
  <w:bordersDoNotSurroundHeader w:val="0"/>
  <w:bordersDoNotSurroundFooter w:val="0"/>
  <w:documentProtection w:enforcement="0"/>
  <w:defaultTabStop w:val="420"/>
  <w:drawingGridHorizontalSpacing w:val="105"/>
  <w:drawingGridVerticalSpacing w:val="14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wZjU3YTM0YTNlZWFjZjI4MDk1Njk0OGU3MGEyZGEifQ=="/>
  </w:docVars>
  <w:rsids>
    <w:rsidRoot w:val="00DC3189"/>
    <w:rsid w:val="00036ACC"/>
    <w:rsid w:val="00096F1A"/>
    <w:rsid w:val="001C0158"/>
    <w:rsid w:val="00286DB6"/>
    <w:rsid w:val="00290EF7"/>
    <w:rsid w:val="0036566E"/>
    <w:rsid w:val="00407F2D"/>
    <w:rsid w:val="00495F92"/>
    <w:rsid w:val="004B669C"/>
    <w:rsid w:val="00577A4A"/>
    <w:rsid w:val="00580B0C"/>
    <w:rsid w:val="0092513B"/>
    <w:rsid w:val="00995E96"/>
    <w:rsid w:val="00A0692A"/>
    <w:rsid w:val="00A06F97"/>
    <w:rsid w:val="00A21A15"/>
    <w:rsid w:val="00A400FD"/>
    <w:rsid w:val="00B24B29"/>
    <w:rsid w:val="00B93837"/>
    <w:rsid w:val="00C21ED0"/>
    <w:rsid w:val="00DC3189"/>
    <w:rsid w:val="00E165F2"/>
    <w:rsid w:val="01126BCE"/>
    <w:rsid w:val="01A8210C"/>
    <w:rsid w:val="01F50DCC"/>
    <w:rsid w:val="020E7EB7"/>
    <w:rsid w:val="02212219"/>
    <w:rsid w:val="038500F8"/>
    <w:rsid w:val="0402032C"/>
    <w:rsid w:val="050D0373"/>
    <w:rsid w:val="05E97064"/>
    <w:rsid w:val="06985F88"/>
    <w:rsid w:val="06C82F2B"/>
    <w:rsid w:val="07AD1E67"/>
    <w:rsid w:val="09002C8B"/>
    <w:rsid w:val="0A3A59A3"/>
    <w:rsid w:val="0ACB1149"/>
    <w:rsid w:val="0B230B32"/>
    <w:rsid w:val="0CD1749B"/>
    <w:rsid w:val="0E0E6F4E"/>
    <w:rsid w:val="0E326478"/>
    <w:rsid w:val="0FB63FFA"/>
    <w:rsid w:val="10E63E55"/>
    <w:rsid w:val="10EC6976"/>
    <w:rsid w:val="13E86628"/>
    <w:rsid w:val="14FA3039"/>
    <w:rsid w:val="1804624D"/>
    <w:rsid w:val="182621E3"/>
    <w:rsid w:val="18FF26C8"/>
    <w:rsid w:val="1A584B63"/>
    <w:rsid w:val="1AE14356"/>
    <w:rsid w:val="1B272F14"/>
    <w:rsid w:val="1B7F1479"/>
    <w:rsid w:val="1DE87108"/>
    <w:rsid w:val="1E3F732A"/>
    <w:rsid w:val="1E420DDF"/>
    <w:rsid w:val="200E65DA"/>
    <w:rsid w:val="2104519F"/>
    <w:rsid w:val="21AC2E46"/>
    <w:rsid w:val="22AF5101"/>
    <w:rsid w:val="23BC7311"/>
    <w:rsid w:val="23F84090"/>
    <w:rsid w:val="24E1388B"/>
    <w:rsid w:val="261A0C88"/>
    <w:rsid w:val="266A111E"/>
    <w:rsid w:val="28BD4D32"/>
    <w:rsid w:val="29186483"/>
    <w:rsid w:val="2A6228C9"/>
    <w:rsid w:val="2A6E6F80"/>
    <w:rsid w:val="2A9338CE"/>
    <w:rsid w:val="2AB72940"/>
    <w:rsid w:val="2B8F4D8E"/>
    <w:rsid w:val="2BC005BE"/>
    <w:rsid w:val="2BF749E2"/>
    <w:rsid w:val="2C523AEF"/>
    <w:rsid w:val="2CDC7790"/>
    <w:rsid w:val="2CE312D3"/>
    <w:rsid w:val="2D8E75F6"/>
    <w:rsid w:val="2DC66C82"/>
    <w:rsid w:val="30630B77"/>
    <w:rsid w:val="30C41C2D"/>
    <w:rsid w:val="31CA5A79"/>
    <w:rsid w:val="31E21774"/>
    <w:rsid w:val="33F03349"/>
    <w:rsid w:val="33F5258D"/>
    <w:rsid w:val="3506044E"/>
    <w:rsid w:val="35B13774"/>
    <w:rsid w:val="36794D16"/>
    <w:rsid w:val="36C214BF"/>
    <w:rsid w:val="36D90228"/>
    <w:rsid w:val="36ED30AF"/>
    <w:rsid w:val="37890972"/>
    <w:rsid w:val="37E071AC"/>
    <w:rsid w:val="37EF7244"/>
    <w:rsid w:val="38054282"/>
    <w:rsid w:val="388C4982"/>
    <w:rsid w:val="39541E6F"/>
    <w:rsid w:val="3C8D220B"/>
    <w:rsid w:val="3CEC23BE"/>
    <w:rsid w:val="3DF26BEC"/>
    <w:rsid w:val="3E36327E"/>
    <w:rsid w:val="3E615EAF"/>
    <w:rsid w:val="3E663DDD"/>
    <w:rsid w:val="3F396222"/>
    <w:rsid w:val="3FAC311E"/>
    <w:rsid w:val="3FBC7D9F"/>
    <w:rsid w:val="40C338E9"/>
    <w:rsid w:val="40C4211D"/>
    <w:rsid w:val="40FD4606"/>
    <w:rsid w:val="42C820FA"/>
    <w:rsid w:val="43532863"/>
    <w:rsid w:val="443524B7"/>
    <w:rsid w:val="4607366D"/>
    <w:rsid w:val="46FA0606"/>
    <w:rsid w:val="48CB006E"/>
    <w:rsid w:val="493D7469"/>
    <w:rsid w:val="4A3C32E7"/>
    <w:rsid w:val="4BD25714"/>
    <w:rsid w:val="4C2E58E4"/>
    <w:rsid w:val="4D0F4AE0"/>
    <w:rsid w:val="4EFA3BF6"/>
    <w:rsid w:val="4F9D58F3"/>
    <w:rsid w:val="4FB664F1"/>
    <w:rsid w:val="4FDC2EC5"/>
    <w:rsid w:val="55796AA2"/>
    <w:rsid w:val="55983344"/>
    <w:rsid w:val="567324E8"/>
    <w:rsid w:val="56BC77C3"/>
    <w:rsid w:val="580F6D1F"/>
    <w:rsid w:val="586A0485"/>
    <w:rsid w:val="58BB37C9"/>
    <w:rsid w:val="592D103A"/>
    <w:rsid w:val="59521C5C"/>
    <w:rsid w:val="5A7303DA"/>
    <w:rsid w:val="5A76671C"/>
    <w:rsid w:val="5AAB3680"/>
    <w:rsid w:val="5B7B7F48"/>
    <w:rsid w:val="5EA6236B"/>
    <w:rsid w:val="5F2959D4"/>
    <w:rsid w:val="5F634BE0"/>
    <w:rsid w:val="5FC07470"/>
    <w:rsid w:val="60035589"/>
    <w:rsid w:val="60C87C20"/>
    <w:rsid w:val="60EB4BB4"/>
    <w:rsid w:val="622D0D14"/>
    <w:rsid w:val="625B2F63"/>
    <w:rsid w:val="63260125"/>
    <w:rsid w:val="64727EC1"/>
    <w:rsid w:val="674555B8"/>
    <w:rsid w:val="67F06E77"/>
    <w:rsid w:val="685F63E3"/>
    <w:rsid w:val="69E82ABA"/>
    <w:rsid w:val="6AA015C6"/>
    <w:rsid w:val="6B5E6B77"/>
    <w:rsid w:val="6BAE72EB"/>
    <w:rsid w:val="6C8A4501"/>
    <w:rsid w:val="6C963968"/>
    <w:rsid w:val="6CE707D3"/>
    <w:rsid w:val="6D012174"/>
    <w:rsid w:val="6E3F5A41"/>
    <w:rsid w:val="6EC62B0F"/>
    <w:rsid w:val="6EF308E2"/>
    <w:rsid w:val="6FB8461B"/>
    <w:rsid w:val="6FF73669"/>
    <w:rsid w:val="6FFF1120"/>
    <w:rsid w:val="70B4686E"/>
    <w:rsid w:val="712619BF"/>
    <w:rsid w:val="71700C8F"/>
    <w:rsid w:val="71E46B34"/>
    <w:rsid w:val="73364E47"/>
    <w:rsid w:val="735A30D2"/>
    <w:rsid w:val="74602BD1"/>
    <w:rsid w:val="757D2CAE"/>
    <w:rsid w:val="75BB3C2A"/>
    <w:rsid w:val="786C1DDD"/>
    <w:rsid w:val="78DA3E8D"/>
    <w:rsid w:val="792355F8"/>
    <w:rsid w:val="79901767"/>
    <w:rsid w:val="79B3661E"/>
    <w:rsid w:val="7AD66664"/>
    <w:rsid w:val="7B185890"/>
    <w:rsid w:val="7D9F3B0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7"/>
    <w:qFormat/>
    <w:uiPriority w:val="9"/>
    <w:pPr>
      <w:keepNext/>
      <w:keepLines/>
      <w:spacing w:before="340" w:after="330" w:line="578" w:lineRule="auto"/>
      <w:outlineLvl w:val="0"/>
    </w:pPr>
    <w:rPr>
      <w:rFonts w:ascii="Times New Roman" w:hAnsi="Times New Roman" w:eastAsia="黑体" w:cs="Arial"/>
      <w:b/>
      <w:bCs/>
      <w:kern w:val="44"/>
      <w:sz w:val="28"/>
      <w:szCs w:val="44"/>
    </w:rPr>
  </w:style>
  <w:style w:type="paragraph" w:styleId="2">
    <w:name w:val="heading 3"/>
    <w:basedOn w:val="1"/>
    <w:next w:val="1"/>
    <w:unhideWhenUsed/>
    <w:qFormat/>
    <w:uiPriority w:val="9"/>
    <w:pPr>
      <w:spacing w:beforeAutospacing="1" w:afterAutospacing="1"/>
      <w:jc w:val="left"/>
      <w:outlineLvl w:val="2"/>
    </w:pPr>
    <w:rPr>
      <w:rFonts w:hint="eastAsia" w:ascii="宋体" w:hAnsi="宋体" w:eastAsia="宋体" w:cs="Times New Roman"/>
      <w:b/>
      <w:kern w:val="0"/>
      <w:sz w:val="27"/>
      <w:szCs w:val="27"/>
    </w:rPr>
  </w:style>
  <w:style w:type="character" w:default="1" w:styleId="13">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Indent"/>
    <w:basedOn w:val="1"/>
    <w:qFormat/>
    <w:uiPriority w:val="99"/>
    <w:pPr>
      <w:spacing w:after="120"/>
      <w:ind w:left="420" w:leftChars="200"/>
    </w:pPr>
  </w:style>
  <w:style w:type="paragraph" w:styleId="6">
    <w:name w:val="footer"/>
    <w:basedOn w:val="1"/>
    <w:link w:val="20"/>
    <w:unhideWhenUsed/>
    <w:qFormat/>
    <w:uiPriority w:val="99"/>
    <w:pPr>
      <w:tabs>
        <w:tab w:val="center" w:pos="4153"/>
        <w:tab w:val="right" w:pos="8306"/>
      </w:tabs>
      <w:snapToGrid w:val="0"/>
      <w:jc w:val="left"/>
    </w:pPr>
    <w:rPr>
      <w:sz w:val="18"/>
      <w:szCs w:val="18"/>
    </w:rPr>
  </w:style>
  <w:style w:type="paragraph" w:styleId="7">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spacing w:beforeAutospacing="1" w:afterAutospacing="1"/>
      <w:jc w:val="left"/>
    </w:pPr>
    <w:rPr>
      <w:rFonts w:cs="Times New Roman"/>
      <w:kern w:val="0"/>
      <w:sz w:val="24"/>
    </w:rPr>
  </w:style>
  <w:style w:type="paragraph" w:styleId="9">
    <w:name w:val="Title"/>
    <w:basedOn w:val="1"/>
    <w:next w:val="1"/>
    <w:qFormat/>
    <w:uiPriority w:val="0"/>
    <w:pPr>
      <w:spacing w:before="240" w:after="60"/>
      <w:jc w:val="center"/>
      <w:outlineLvl w:val="0"/>
    </w:pPr>
    <w:rPr>
      <w:rFonts w:ascii="Arial" w:hAnsi="Arial" w:cs="Arial"/>
      <w:b/>
      <w:bCs/>
      <w:sz w:val="32"/>
      <w:szCs w:val="32"/>
    </w:rPr>
  </w:style>
  <w:style w:type="paragraph" w:styleId="10">
    <w:name w:val="Body Text First Indent 2"/>
    <w:basedOn w:val="5"/>
    <w:qFormat/>
    <w:uiPriority w:val="99"/>
    <w:pPr>
      <w:ind w:firstLine="420" w:firstLineChars="200"/>
    </w:p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22"/>
    <w:rPr>
      <w:b/>
    </w:rPr>
  </w:style>
  <w:style w:type="paragraph" w:customStyle="1" w:styleId="15">
    <w:name w:val="_Style 1"/>
    <w:qFormat/>
    <w:uiPriority w:val="99"/>
    <w:pPr>
      <w:widowControl w:val="0"/>
      <w:ind w:firstLine="200" w:firstLineChars="200"/>
      <w:jc w:val="both"/>
    </w:pPr>
    <w:rPr>
      <w:rFonts w:ascii="Times New Roman" w:hAnsi="Times New Roman" w:eastAsia="仿宋_GB2312" w:cs="Times New Roman"/>
      <w:kern w:val="2"/>
      <w:sz w:val="24"/>
      <w:szCs w:val="22"/>
      <w:lang w:val="en-US" w:eastAsia="zh-CN" w:bidi="ar-SA"/>
    </w:rPr>
  </w:style>
  <w:style w:type="paragraph" w:customStyle="1" w:styleId="16">
    <w:name w:val="Default"/>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character" w:customStyle="1" w:styleId="17">
    <w:name w:val="标题 1 Char"/>
    <w:basedOn w:val="13"/>
    <w:link w:val="3"/>
    <w:qFormat/>
    <w:uiPriority w:val="9"/>
    <w:rPr>
      <w:rFonts w:ascii="Times New Roman" w:hAnsi="Times New Roman" w:eastAsia="黑体" w:cs="Arial"/>
      <w:b/>
      <w:bCs/>
      <w:kern w:val="44"/>
      <w:sz w:val="28"/>
      <w:szCs w:val="44"/>
    </w:rPr>
  </w:style>
  <w:style w:type="paragraph" w:customStyle="1" w:styleId="18">
    <w:name w:val="列表段落1"/>
    <w:basedOn w:val="1"/>
    <w:qFormat/>
    <w:uiPriority w:val="34"/>
    <w:pPr>
      <w:ind w:firstLine="420" w:firstLineChars="200"/>
    </w:pPr>
  </w:style>
  <w:style w:type="character" w:customStyle="1" w:styleId="19">
    <w:name w:val="页眉 Char"/>
    <w:basedOn w:val="13"/>
    <w:link w:val="7"/>
    <w:qFormat/>
    <w:uiPriority w:val="99"/>
    <w:rPr>
      <w:sz w:val="18"/>
      <w:szCs w:val="18"/>
    </w:rPr>
  </w:style>
  <w:style w:type="character" w:customStyle="1" w:styleId="20">
    <w:name w:val="页脚 Char"/>
    <w:basedOn w:val="13"/>
    <w:link w:val="6"/>
    <w:qFormat/>
    <w:uiPriority w:val="99"/>
    <w:rPr>
      <w:sz w:val="18"/>
      <w:szCs w:val="18"/>
    </w:rPr>
  </w:style>
  <w:style w:type="character" w:customStyle="1" w:styleId="21">
    <w:name w:val="font01"/>
    <w:basedOn w:val="13"/>
    <w:qFormat/>
    <w:uiPriority w:val="0"/>
    <w:rPr>
      <w:rFonts w:hint="eastAsia" w:ascii="宋体" w:hAnsi="宋体" w:eastAsia="宋体" w:cs="宋体"/>
      <w:color w:val="000000"/>
      <w:sz w:val="20"/>
      <w:szCs w:val="20"/>
      <w:u w:val="none"/>
    </w:rPr>
  </w:style>
  <w:style w:type="character" w:customStyle="1" w:styleId="22">
    <w:name w:val="font31"/>
    <w:basedOn w:val="13"/>
    <w:qFormat/>
    <w:uiPriority w:val="0"/>
    <w:rPr>
      <w:rFonts w:hint="default" w:ascii="Courier New" w:hAnsi="Courier New" w:cs="Courier New"/>
      <w:color w:val="000000"/>
      <w:sz w:val="20"/>
      <w:szCs w:val="20"/>
      <w:u w:val="none"/>
    </w:rPr>
  </w:style>
  <w:style w:type="character" w:customStyle="1" w:styleId="23">
    <w:name w:val="font51"/>
    <w:basedOn w:val="13"/>
    <w:qFormat/>
    <w:uiPriority w:val="0"/>
    <w:rPr>
      <w:rFonts w:hint="eastAsia" w:ascii="宋体" w:hAnsi="宋体" w:eastAsia="宋体" w:cs="宋体"/>
      <w:color w:val="000000"/>
      <w:sz w:val="20"/>
      <w:szCs w:val="20"/>
      <w:u w:val="none"/>
    </w:rPr>
  </w:style>
  <w:style w:type="paragraph" w:customStyle="1" w:styleId="24">
    <w:name w:val="List Paragraph"/>
    <w:basedOn w:val="1"/>
    <w:qFormat/>
    <w:uiPriority w:val="34"/>
    <w:pPr>
      <w:ind w:firstLine="420" w:firstLineChars="200"/>
    </w:pPr>
  </w:style>
  <w:style w:type="character" w:customStyle="1" w:styleId="25">
    <w:name w:val="font21"/>
    <w:basedOn w:val="13"/>
    <w:qFormat/>
    <w:uiPriority w:val="0"/>
    <w:rPr>
      <w:rFonts w:hint="eastAsia" w:ascii="宋体" w:hAnsi="宋体" w:eastAsia="宋体" w:cs="宋体"/>
      <w:b/>
      <w:bCs/>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微软公司</Company>
  <Pages>10</Pages>
  <Words>4156</Words>
  <Characters>4289</Characters>
  <Lines>21</Lines>
  <Paragraphs>6</Paragraphs>
  <TotalTime>18</TotalTime>
  <ScaleCrop>false</ScaleCrop>
  <LinksUpToDate>false</LinksUpToDate>
  <CharactersWithSpaces>4447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2020-01-26T00:42:00Z</dcterms:created>
  <dc:creator>ThinkPad</dc:creator>
  <cp:lastModifiedBy>Administrator</cp:lastModifiedBy>
  <cp:lastPrinted>2024-05-07T03:01:00Z</cp:lastPrinted>
  <dcterms:modified xsi:type="dcterms:W3CDTF">2025-07-01T11:12:03Z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8F5CD32296774AC39400E332A9899CFA_13</vt:lpwstr>
  </property>
  <property fmtid="{D5CDD505-2E9C-101B-9397-08002B2CF9AE}" pid="4" name="KSOTemplateDocerSaveRecord">
    <vt:lpwstr>eyJoZGlkIjoiMGViYjFjMmIwMDJjMWYwZTEyYTM2YTY5OTY1ZThiNWIiLCJ1c2VySWQiOiI0MDgzNTQxMjQifQ==</vt:lpwstr>
  </property>
</Properties>
</file>