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rPr>
          <w:rFonts w:hint="eastAsia"/>
        </w:rPr>
      </w:pPr>
    </w:p>
    <w:p>
      <w:pPr>
        <w:widowControl/>
        <w:rPr>
          <w:rFonts w:ascii="Calibri" w:hAnsi="Calibri" w:eastAsia="宋体" w:cs="Times New Roman"/>
          <w:szCs w:val="24"/>
        </w:rPr>
      </w:pPr>
    </w:p>
    <w:p>
      <w:pPr>
        <w:widowControl/>
        <w:rPr>
          <w:rFonts w:hint="eastAsia"/>
        </w:rPr>
      </w:pPr>
    </w:p>
    <w:p>
      <w:pPr>
        <w:widowControl/>
        <w:rPr>
          <w:rFonts w:hint="eastAsia"/>
        </w:rPr>
      </w:pPr>
    </w:p>
    <w:p>
      <w:pPr>
        <w:widowControl/>
        <w:spacing w:line="560" w:lineRule="exact"/>
        <w:jc w:val="center"/>
        <w:rPr>
          <w:rFonts w:hint="eastAsia" w:ascii="宋体" w:hAnsi="宋体" w:eastAsia="宋体" w:cs="宋体"/>
          <w:kern w:val="0"/>
          <w:sz w:val="44"/>
          <w:szCs w:val="44"/>
        </w:rPr>
      </w:pPr>
      <w:r>
        <w:rPr>
          <w:rFonts w:hint="eastAsia"/>
        </w:rPr>
        <w:tab/>
      </w:r>
    </w:p>
    <w:p>
      <w:pPr>
        <w:widowControl/>
        <w:spacing w:line="560" w:lineRule="exact"/>
        <w:jc w:val="center"/>
        <w:rPr>
          <w:rFonts w:hint="eastAsia" w:ascii="方正小标宋简体" w:hAnsi="方正小标宋简体" w:eastAsia="方正小标宋简体" w:cs="方正小标宋简体"/>
        </w:rPr>
      </w:pPr>
      <w:r>
        <w:rPr>
          <w:rFonts w:hint="eastAsia" w:ascii="方正小标宋简体" w:hAnsi="方正小标宋简体" w:eastAsia="方正小标宋简体" w:cs="方正小标宋简体"/>
          <w:sz w:val="44"/>
          <w:szCs w:val="44"/>
        </w:rPr>
        <w:t>郭勒布依乡林果提质增效项目实施方案</w:t>
      </w:r>
    </w:p>
    <w:p>
      <w:pPr>
        <w:pStyle w:val="17"/>
        <w:widowControl/>
        <w:spacing w:line="560" w:lineRule="exact"/>
        <w:ind w:firstLine="880"/>
        <w:rPr>
          <w:rFonts w:hint="eastAsia" w:ascii="方正小标宋简体" w:hAnsi="方正小标宋简体" w:eastAsia="方正小标宋简体" w:cs="方正小标宋简体"/>
          <w:sz w:val="44"/>
          <w:szCs w:val="44"/>
        </w:rPr>
      </w:pPr>
    </w:p>
    <w:p>
      <w:pPr>
        <w:pStyle w:val="17"/>
        <w:widowControl/>
        <w:spacing w:line="560" w:lineRule="exact"/>
        <w:ind w:firstLine="880"/>
        <w:rPr>
          <w:rFonts w:hint="eastAsia" w:ascii="方正小标宋简体" w:hAnsi="方正小标宋简体" w:eastAsia="方正小标宋简体" w:cs="方正小标宋简体"/>
          <w:sz w:val="44"/>
          <w:szCs w:val="44"/>
        </w:rPr>
      </w:pPr>
    </w:p>
    <w:p>
      <w:pPr>
        <w:pStyle w:val="17"/>
        <w:widowControl/>
        <w:spacing w:line="560" w:lineRule="exact"/>
        <w:ind w:firstLine="880"/>
        <w:rPr>
          <w:rFonts w:hint="eastAsia" w:ascii="方正小标宋简体" w:hAnsi="方正小标宋简体" w:eastAsia="方正小标宋简体" w:cs="方正小标宋简体"/>
          <w:sz w:val="44"/>
          <w:szCs w:val="44"/>
        </w:rPr>
      </w:pPr>
    </w:p>
    <w:p>
      <w:pPr>
        <w:pStyle w:val="17"/>
        <w:widowControl/>
        <w:spacing w:line="560" w:lineRule="exact"/>
        <w:ind w:firstLine="880"/>
        <w:rPr>
          <w:rFonts w:hint="eastAsia" w:ascii="方正小标宋简体" w:hAnsi="方正小标宋简体" w:eastAsia="方正小标宋简体" w:cs="方正小标宋简体"/>
          <w:sz w:val="44"/>
          <w:szCs w:val="44"/>
        </w:rPr>
      </w:pPr>
    </w:p>
    <w:p>
      <w:pPr>
        <w:pStyle w:val="17"/>
        <w:widowControl/>
        <w:spacing w:line="560" w:lineRule="exact"/>
        <w:ind w:firstLine="880"/>
        <w:rPr>
          <w:rFonts w:hint="eastAsia" w:ascii="方正小标宋简体" w:hAnsi="方正小标宋简体" w:eastAsia="方正小标宋简体" w:cs="方正小标宋简体"/>
          <w:sz w:val="44"/>
          <w:szCs w:val="44"/>
        </w:rPr>
      </w:pPr>
    </w:p>
    <w:p>
      <w:pPr>
        <w:pStyle w:val="17"/>
        <w:widowControl/>
        <w:spacing w:line="560" w:lineRule="exact"/>
        <w:ind w:firstLine="880"/>
        <w:rPr>
          <w:rFonts w:hint="eastAsia" w:ascii="方正小标宋简体" w:hAnsi="方正小标宋简体" w:eastAsia="方正小标宋简体" w:cs="方正小标宋简体"/>
          <w:sz w:val="44"/>
          <w:szCs w:val="44"/>
        </w:rPr>
      </w:pPr>
    </w:p>
    <w:p>
      <w:pPr>
        <w:pStyle w:val="17"/>
        <w:widowControl/>
        <w:spacing w:line="560" w:lineRule="exact"/>
        <w:ind w:firstLine="880"/>
        <w:rPr>
          <w:rFonts w:hint="eastAsia" w:ascii="方正小标宋简体" w:hAnsi="方正小标宋简体" w:eastAsia="方正小标宋简体" w:cs="方正小标宋简体"/>
          <w:sz w:val="44"/>
          <w:szCs w:val="44"/>
        </w:rPr>
      </w:pPr>
    </w:p>
    <w:p>
      <w:pPr>
        <w:pStyle w:val="17"/>
        <w:widowControl/>
        <w:spacing w:line="560" w:lineRule="exact"/>
        <w:ind w:firstLine="880"/>
        <w:rPr>
          <w:rFonts w:hint="eastAsia" w:ascii="方正小标宋简体" w:hAnsi="方正小标宋简体" w:eastAsia="方正小标宋简体" w:cs="方正小标宋简体"/>
          <w:sz w:val="44"/>
          <w:szCs w:val="44"/>
        </w:rPr>
      </w:pPr>
    </w:p>
    <w:p>
      <w:pPr>
        <w:pStyle w:val="17"/>
        <w:widowControl/>
        <w:spacing w:line="560" w:lineRule="exact"/>
        <w:ind w:firstLine="880"/>
        <w:rPr>
          <w:rFonts w:hint="eastAsia" w:ascii="方正小标宋简体" w:hAnsi="方正小标宋简体" w:eastAsia="方正小标宋简体" w:cs="方正小标宋简体"/>
          <w:sz w:val="44"/>
          <w:szCs w:val="44"/>
        </w:rPr>
      </w:pPr>
    </w:p>
    <w:p>
      <w:pPr>
        <w:pStyle w:val="17"/>
        <w:widowControl/>
        <w:spacing w:line="560" w:lineRule="exact"/>
        <w:ind w:firstLine="880"/>
        <w:rPr>
          <w:rFonts w:hint="eastAsia" w:ascii="方正小标宋简体" w:hAnsi="方正小标宋简体" w:eastAsia="方正小标宋简体" w:cs="方正小标宋简体"/>
          <w:sz w:val="44"/>
          <w:szCs w:val="44"/>
        </w:rPr>
      </w:pPr>
    </w:p>
    <w:p>
      <w:pPr>
        <w:pStyle w:val="17"/>
        <w:widowControl/>
        <w:spacing w:line="560" w:lineRule="exact"/>
        <w:ind w:firstLine="0" w:firstLineChars="0"/>
        <w:rPr>
          <w:rFonts w:hint="eastAsia" w:ascii="方正小标宋简体" w:hAnsi="方正小标宋简体" w:eastAsia="方正小标宋简体" w:cs="方正小标宋简体"/>
          <w:sz w:val="44"/>
          <w:szCs w:val="44"/>
        </w:rPr>
      </w:pPr>
    </w:p>
    <w:p>
      <w:pPr>
        <w:pStyle w:val="17"/>
        <w:widowControl/>
        <w:spacing w:line="560" w:lineRule="exact"/>
        <w:ind w:firstLine="0" w:firstLineChars="0"/>
        <w:rPr>
          <w:rFonts w:hint="eastAsia" w:ascii="方正小标宋简体" w:hAnsi="方正小标宋简体" w:eastAsia="方正小标宋简体" w:cs="方正小标宋简体"/>
          <w:sz w:val="44"/>
          <w:szCs w:val="44"/>
        </w:rPr>
      </w:pPr>
    </w:p>
    <w:p>
      <w:pPr>
        <w:widowControl/>
        <w:spacing w:line="560" w:lineRule="exact"/>
        <w:ind w:firstLine="1280" w:firstLineChars="400"/>
        <w:rPr>
          <w:rFonts w:hint="eastAsia" w:ascii="黑体" w:hAnsi="黑体" w:eastAsia="黑体" w:cs="黑体"/>
          <w:sz w:val="32"/>
          <w:szCs w:val="32"/>
        </w:rPr>
      </w:pPr>
      <w:r>
        <w:rPr>
          <w:rFonts w:hint="eastAsia" w:ascii="黑体" w:hAnsi="黑体" w:eastAsia="黑体" w:cs="黑体"/>
          <w:sz w:val="32"/>
          <w:szCs w:val="32"/>
        </w:rPr>
        <w:t>项 目 名 称：郭勒布依乡林果提质增效项目</w:t>
      </w:r>
    </w:p>
    <w:p>
      <w:pPr>
        <w:widowControl/>
        <w:spacing w:line="560" w:lineRule="exact"/>
        <w:ind w:firstLine="1280" w:firstLineChars="400"/>
        <w:rPr>
          <w:rFonts w:hint="eastAsia" w:ascii="黑体" w:hAnsi="黑体" w:eastAsia="黑体" w:cs="黑体"/>
          <w:sz w:val="32"/>
          <w:szCs w:val="32"/>
        </w:rPr>
      </w:pPr>
      <w:r>
        <w:rPr>
          <w:rFonts w:hint="eastAsia" w:ascii="黑体" w:hAnsi="黑体" w:eastAsia="黑体" w:cs="黑体"/>
          <w:sz w:val="32"/>
          <w:szCs w:val="32"/>
        </w:rPr>
        <w:t>项目主管单位：托克逊县农业农村局（乡村振兴局）</w:t>
      </w:r>
    </w:p>
    <w:p>
      <w:pPr>
        <w:widowControl/>
        <w:spacing w:line="560" w:lineRule="exact"/>
        <w:ind w:firstLine="1280" w:firstLineChars="400"/>
        <w:rPr>
          <w:rFonts w:hint="eastAsia" w:ascii="黑体" w:hAnsi="黑体" w:eastAsia="黑体" w:cs="黑体"/>
          <w:sz w:val="32"/>
          <w:szCs w:val="32"/>
        </w:rPr>
      </w:pPr>
      <w:r>
        <w:rPr>
          <w:rFonts w:hint="eastAsia" w:ascii="黑体" w:hAnsi="黑体" w:eastAsia="黑体" w:cs="黑体"/>
          <w:sz w:val="32"/>
          <w:szCs w:val="32"/>
        </w:rPr>
        <w:t>项目实施单位：托克逊县郭勒布依乡人民政府</w:t>
      </w:r>
    </w:p>
    <w:p>
      <w:pPr>
        <w:widowControl/>
        <w:spacing w:line="560" w:lineRule="exact"/>
        <w:ind w:firstLine="1280" w:firstLineChars="400"/>
        <w:rPr>
          <w:rFonts w:hint="eastAsia" w:ascii="黑体" w:hAnsi="黑体" w:eastAsia="黑体" w:cs="黑体"/>
          <w:sz w:val="32"/>
          <w:szCs w:val="32"/>
        </w:rPr>
      </w:pPr>
      <w:r>
        <w:rPr>
          <w:rFonts w:hint="eastAsia" w:ascii="黑体" w:hAnsi="黑体" w:eastAsia="黑体" w:cs="黑体"/>
          <w:sz w:val="32"/>
          <w:szCs w:val="32"/>
        </w:rPr>
        <w:t>编 制 时 间：2024年12月21日</w:t>
      </w:r>
    </w:p>
    <w:p>
      <w:pPr>
        <w:pStyle w:val="17"/>
        <w:widowControl/>
        <w:ind w:firstLine="0" w:firstLineChars="0"/>
        <w:rPr>
          <w:rFonts w:hint="eastAsia" w:ascii="宋体" w:hAnsi="宋体" w:eastAsia="宋体" w:cs="宋体"/>
          <w:kern w:val="0"/>
          <w:sz w:val="44"/>
          <w:szCs w:val="44"/>
        </w:rPr>
      </w:pPr>
    </w:p>
    <w:p>
      <w:pPr>
        <w:widowControl/>
        <w:spacing w:line="560" w:lineRule="exact"/>
        <w:jc w:val="center"/>
        <w:rPr>
          <w:rFonts w:hint="eastAsia" w:ascii="方正小标宋简体" w:hAnsi="方正黑体简体" w:eastAsia="方正小标宋简体"/>
          <w:sz w:val="44"/>
          <w:szCs w:val="44"/>
        </w:rPr>
        <w:sectPr>
          <w:pgSz w:w="11906" w:h="16838"/>
          <w:pgMar w:top="2098" w:right="1531" w:bottom="1984" w:left="1531" w:header="851" w:footer="992" w:gutter="0"/>
          <w:cols w:space="425" w:num="1"/>
          <w:docGrid w:linePitch="286" w:charSpace="0"/>
        </w:sectPr>
      </w:pPr>
    </w:p>
    <w:p>
      <w:pPr>
        <w:keepNext w:val="0"/>
        <w:keepLines w:val="0"/>
        <w:pageBreakBefore w:val="0"/>
        <w:widowControl/>
        <w:kinsoku/>
        <w:overflowPunct/>
        <w:topLinePunct w:val="0"/>
        <w:autoSpaceDN/>
        <w:bidi w:val="0"/>
        <w:adjustRightInd/>
        <w:snapToGrid/>
        <w:spacing w:line="560" w:lineRule="exact"/>
        <w:jc w:val="center"/>
        <w:textAlignment w:val="auto"/>
        <w:rPr>
          <w:rFonts w:hint="eastAsia" w:ascii="方正小标宋简体" w:hAnsi="方正黑体简体" w:eastAsia="方正小标宋简体"/>
          <w:sz w:val="44"/>
          <w:szCs w:val="44"/>
        </w:rPr>
      </w:pPr>
      <w:r>
        <w:rPr>
          <w:rFonts w:hint="eastAsia" w:ascii="方正小标宋简体" w:hAnsi="方正黑体简体" w:eastAsia="方正小标宋简体"/>
          <w:sz w:val="44"/>
          <w:szCs w:val="44"/>
        </w:rPr>
        <w:t>郭勒布依乡林果提质增效项目实施方案</w:t>
      </w:r>
    </w:p>
    <w:p>
      <w:pPr>
        <w:pStyle w:val="11"/>
        <w:keepNext w:val="0"/>
        <w:keepLines w:val="0"/>
        <w:pageBreakBefore w:val="0"/>
        <w:widowControl/>
        <w:kinsoku/>
        <w:overflowPunct/>
        <w:topLinePunct w:val="0"/>
        <w:autoSpaceDN/>
        <w:bidi w:val="0"/>
        <w:adjustRightInd/>
        <w:snapToGrid/>
        <w:spacing w:before="0" w:after="0" w:line="560" w:lineRule="exact"/>
        <w:textAlignment w:val="auto"/>
      </w:pPr>
    </w:p>
    <w:p>
      <w:pPr>
        <w:keepNext w:val="0"/>
        <w:keepLines w:val="0"/>
        <w:pageBreakBefore w:val="0"/>
        <w:widowControl/>
        <w:kinsoku/>
        <w:overflowPunct/>
        <w:topLinePunct w:val="0"/>
        <w:autoSpaceDE w:val="0"/>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一、项目概况</w:t>
      </w:r>
    </w:p>
    <w:p>
      <w:pPr>
        <w:keepNext w:val="0"/>
        <w:keepLines w:val="0"/>
        <w:pageBreakBefore w:val="0"/>
        <w:widowControl/>
        <w:kinsoku/>
        <w:overflowPunct/>
        <w:topLinePunct w:val="0"/>
        <w:autoSpaceDE w:val="0"/>
        <w:autoSpaceDN/>
        <w:bidi w:val="0"/>
        <w:adjustRightInd/>
        <w:snapToGrid/>
        <w:spacing w:line="560" w:lineRule="exact"/>
        <w:ind w:firstLine="643" w:firstLineChars="200"/>
        <w:textAlignment w:val="auto"/>
        <w:rPr>
          <w:rFonts w:ascii="仿宋_GB2312" w:hAnsi="Calibri" w:eastAsia="仿宋_GB2312" w:cs="Times New Roman"/>
          <w:sz w:val="32"/>
          <w:szCs w:val="32"/>
        </w:rPr>
      </w:pPr>
      <w:r>
        <w:rPr>
          <w:rFonts w:hint="eastAsia" w:ascii="仿宋_GB2312" w:hAnsi="仿宋_GB2312" w:eastAsia="仿宋_GB2312" w:cs="仿宋_GB2312"/>
          <w:b/>
          <w:bCs/>
          <w:sz w:val="32"/>
          <w:szCs w:val="32"/>
        </w:rPr>
        <w:t>1、项目名称：</w:t>
      </w:r>
      <w:r>
        <w:rPr>
          <w:rFonts w:hint="eastAsia" w:ascii="仿宋_GB2312" w:hAnsi="Calibri" w:eastAsia="仿宋_GB2312" w:cs="Times New Roman"/>
          <w:sz w:val="32"/>
          <w:szCs w:val="32"/>
        </w:rPr>
        <w:t>郭勒布依乡林果提质增效项目</w:t>
      </w:r>
    </w:p>
    <w:p>
      <w:pPr>
        <w:keepNext w:val="0"/>
        <w:keepLines w:val="0"/>
        <w:pageBreakBefore w:val="0"/>
        <w:widowControl/>
        <w:kinsoku/>
        <w:overflowPunct/>
        <w:topLinePunct w:val="0"/>
        <w:autoSpaceDE w:val="0"/>
        <w:autoSpaceDN/>
        <w:bidi w:val="0"/>
        <w:adjustRightInd/>
        <w:snapToGrid/>
        <w:spacing w:line="560" w:lineRule="exact"/>
        <w:ind w:firstLine="643" w:firstLineChars="200"/>
        <w:textAlignment w:val="auto"/>
        <w:rPr>
          <w:rFonts w:ascii="仿宋_GB2312" w:hAnsi="Calibri" w:eastAsia="仿宋_GB2312" w:cs="Times New Roman"/>
          <w:sz w:val="32"/>
          <w:szCs w:val="32"/>
        </w:rPr>
      </w:pPr>
      <w:r>
        <w:rPr>
          <w:rFonts w:hint="eastAsia" w:ascii="仿宋_GB2312" w:hAnsi="仿宋_GB2312" w:eastAsia="仿宋_GB2312" w:cs="仿宋_GB2312"/>
          <w:b/>
          <w:bCs/>
          <w:sz w:val="32"/>
          <w:szCs w:val="32"/>
        </w:rPr>
        <w:t>2、项目库编号：</w:t>
      </w:r>
      <w:r>
        <w:rPr>
          <w:rFonts w:hint="eastAsia" w:ascii="仿宋_GB2312" w:hAnsi="Calibri" w:eastAsia="仿宋_GB2312" w:cs="Times New Roman"/>
          <w:sz w:val="32"/>
          <w:szCs w:val="32"/>
        </w:rPr>
        <w:t>TKX0026</w:t>
      </w:r>
    </w:p>
    <w:p>
      <w:pPr>
        <w:keepNext w:val="0"/>
        <w:keepLines w:val="0"/>
        <w:pageBreakBefore w:val="0"/>
        <w:widowControl/>
        <w:kinsoku/>
        <w:overflowPunct/>
        <w:topLinePunct w:val="0"/>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3、项目建设单位及单位负责人：</w:t>
      </w:r>
      <w:r>
        <w:rPr>
          <w:rFonts w:ascii="Times New Roman" w:hAnsi="Times New Roman" w:eastAsia="仿宋_GB2312" w:cs="Times New Roman"/>
          <w:sz w:val="32"/>
          <w:szCs w:val="32"/>
        </w:rPr>
        <w:t>郭勒布依乡人民政府</w:t>
      </w:r>
      <w:r>
        <w:rPr>
          <w:rFonts w:hint="eastAsia" w:ascii="仿宋_GB2312" w:hAnsi="仿宋_GB2312" w:eastAsia="仿宋_GB2312" w:cs="仿宋_GB2312"/>
          <w:sz w:val="32"/>
          <w:szCs w:val="32"/>
        </w:rPr>
        <w:t>（郭勒布依乡党委副书记、乡长 哈里瓦尔·阿不拉克）</w:t>
      </w:r>
    </w:p>
    <w:p>
      <w:pPr>
        <w:pStyle w:val="12"/>
        <w:keepNext w:val="0"/>
        <w:keepLines w:val="0"/>
        <w:pageBreakBefore w:val="0"/>
        <w:widowControl/>
        <w:kinsoku/>
        <w:overflowPunct/>
        <w:topLinePunct w:val="0"/>
        <w:autoSpaceDN/>
        <w:bidi w:val="0"/>
        <w:adjustRightInd/>
        <w:snapToGrid/>
        <w:spacing w:after="0" w:line="560" w:lineRule="exact"/>
        <w:ind w:left="0" w:leftChars="0" w:firstLine="64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项目负责人：</w:t>
      </w:r>
      <w:r>
        <w:rPr>
          <w:rFonts w:hint="eastAsia" w:ascii="仿宋_GB2312" w:hAnsi="仿宋_GB2312" w:eastAsia="仿宋_GB2312" w:cs="仿宋_GB2312"/>
          <w:w w:val="90"/>
          <w:sz w:val="32"/>
          <w:szCs w:val="32"/>
        </w:rPr>
        <w:t>哈里瓦尔·阿不拉克</w:t>
      </w:r>
    </w:p>
    <w:p>
      <w:pPr>
        <w:pStyle w:val="12"/>
        <w:keepNext w:val="0"/>
        <w:keepLines w:val="0"/>
        <w:pageBreakBefore w:val="0"/>
        <w:widowControl/>
        <w:kinsoku/>
        <w:overflowPunct/>
        <w:topLinePunct w:val="0"/>
        <w:autoSpaceDN/>
        <w:bidi w:val="0"/>
        <w:adjustRightInd/>
        <w:snapToGrid/>
        <w:spacing w:after="0" w:line="560" w:lineRule="exact"/>
        <w:ind w:left="0" w:leftChars="0" w:firstLine="640"/>
        <w:textAlignment w:val="auto"/>
        <w:rPr>
          <w:rFonts w:ascii="Times New Roman" w:hAnsi="Times New Roman" w:eastAsia="仿宋_GB2312" w:cs="Times New Roman"/>
          <w:sz w:val="32"/>
          <w:szCs w:val="32"/>
        </w:rPr>
      </w:pPr>
      <w:r>
        <w:rPr>
          <w:rFonts w:hint="eastAsia" w:ascii="仿宋_GB2312" w:hAnsi="仿宋_GB2312" w:eastAsia="仿宋_GB2312" w:cs="仿宋_GB2312"/>
          <w:b/>
          <w:bCs/>
          <w:sz w:val="32"/>
          <w:szCs w:val="32"/>
        </w:rPr>
        <w:t>4、</w:t>
      </w:r>
      <w:r>
        <w:rPr>
          <w:rFonts w:ascii="仿宋_GB2312" w:hAnsi="仿宋_GB2312" w:eastAsia="仿宋_GB2312" w:cs="仿宋_GB2312"/>
          <w:b/>
          <w:bCs/>
          <w:sz w:val="32"/>
          <w:szCs w:val="32"/>
        </w:rPr>
        <w:t>项目</w:t>
      </w:r>
      <w:r>
        <w:rPr>
          <w:rFonts w:hint="eastAsia" w:ascii="仿宋_GB2312" w:hAnsi="仿宋_GB2312" w:eastAsia="仿宋_GB2312" w:cs="仿宋_GB2312"/>
          <w:b/>
          <w:bCs/>
          <w:sz w:val="32"/>
          <w:szCs w:val="32"/>
        </w:rPr>
        <w:t>行政</w:t>
      </w:r>
      <w:r>
        <w:rPr>
          <w:rFonts w:ascii="仿宋_GB2312" w:hAnsi="仿宋_GB2312" w:eastAsia="仿宋_GB2312" w:cs="仿宋_GB2312"/>
          <w:b/>
          <w:bCs/>
          <w:sz w:val="32"/>
          <w:szCs w:val="32"/>
        </w:rPr>
        <w:t>主管单位</w:t>
      </w:r>
      <w:r>
        <w:rPr>
          <w:rFonts w:hint="eastAsia" w:ascii="仿宋_GB2312" w:hAnsi="仿宋_GB2312" w:eastAsia="仿宋_GB2312" w:cs="仿宋_GB2312"/>
          <w:b/>
          <w:bCs/>
          <w:sz w:val="32"/>
          <w:szCs w:val="32"/>
        </w:rPr>
        <w:t>：</w:t>
      </w:r>
      <w:r>
        <w:rPr>
          <w:rFonts w:ascii="Times New Roman" w:hAnsi="Times New Roman" w:eastAsia="仿宋_GB2312" w:cs="Times New Roman"/>
          <w:sz w:val="32"/>
          <w:szCs w:val="32"/>
        </w:rPr>
        <w:t>托克逊县</w:t>
      </w:r>
      <w:r>
        <w:rPr>
          <w:rFonts w:hint="eastAsia" w:ascii="Times New Roman" w:hAnsi="Times New Roman" w:eastAsia="仿宋_GB2312" w:cs="Times New Roman"/>
          <w:sz w:val="32"/>
          <w:szCs w:val="32"/>
        </w:rPr>
        <w:t>农业农村局（乡村振兴局）</w:t>
      </w:r>
    </w:p>
    <w:p>
      <w:pPr>
        <w:pStyle w:val="12"/>
        <w:keepNext w:val="0"/>
        <w:keepLines w:val="0"/>
        <w:pageBreakBefore w:val="0"/>
        <w:widowControl/>
        <w:kinsoku/>
        <w:overflowPunct/>
        <w:topLinePunct w:val="0"/>
        <w:autoSpaceDN/>
        <w:bidi w:val="0"/>
        <w:adjustRightInd/>
        <w:snapToGrid/>
        <w:spacing w:after="0" w:line="560" w:lineRule="exact"/>
        <w:ind w:left="0" w:leftChars="0" w:firstLine="64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项目行业主管单位：</w:t>
      </w:r>
      <w:r>
        <w:rPr>
          <w:rFonts w:hint="eastAsia" w:ascii="仿宋_GB2312" w:hAnsi="仿宋_GB2312" w:eastAsia="仿宋_GB2312" w:cs="仿宋_GB2312"/>
          <w:sz w:val="32"/>
          <w:szCs w:val="32"/>
        </w:rPr>
        <w:t>托克逊县农业技术推广服务中心</w:t>
      </w:r>
    </w:p>
    <w:p>
      <w:pPr>
        <w:keepNext w:val="0"/>
        <w:keepLines w:val="0"/>
        <w:pageBreakBefore w:val="0"/>
        <w:widowControl/>
        <w:kinsoku/>
        <w:overflowPunct/>
        <w:topLinePunct w:val="0"/>
        <w:autoSpaceDE w:val="0"/>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5、项目建设性质：</w:t>
      </w:r>
      <w:r>
        <w:rPr>
          <w:rFonts w:hint="eastAsia" w:ascii="仿宋_GB2312" w:hAnsi="仿宋_GB2312" w:eastAsia="仿宋_GB2312" w:cs="仿宋_GB2312"/>
          <w:sz w:val="32"/>
          <w:szCs w:val="32"/>
        </w:rPr>
        <w:t>新建</w:t>
      </w:r>
      <w:bookmarkStart w:id="0" w:name="_GoBack"/>
      <w:bookmarkEnd w:id="0"/>
    </w:p>
    <w:p>
      <w:pPr>
        <w:keepNext w:val="0"/>
        <w:keepLines w:val="0"/>
        <w:pageBreakBefore w:val="0"/>
        <w:widowControl/>
        <w:kinsoku/>
        <w:overflowPunct/>
        <w:topLinePunct w:val="0"/>
        <w:autoSpaceDE w:val="0"/>
        <w:autoSpaceDN/>
        <w:bidi w:val="0"/>
        <w:adjustRightInd/>
        <w:snapToGrid/>
        <w:spacing w:line="560" w:lineRule="exact"/>
        <w:ind w:firstLine="643" w:firstLineChars="200"/>
        <w:textAlignment w:val="auto"/>
        <w:rPr>
          <w:rFonts w:hint="eastAsia" w:ascii="仿宋_GB2312" w:hAnsi="Calibri" w:eastAsia="仿宋_GB2312" w:cs="Times New Roman"/>
          <w:sz w:val="32"/>
          <w:szCs w:val="32"/>
          <w:lang w:val="en-US" w:eastAsia="zh-CN"/>
        </w:rPr>
      </w:pPr>
      <w:r>
        <w:rPr>
          <w:rFonts w:hint="eastAsia" w:ascii="仿宋_GB2312" w:hAnsi="仿宋_GB2312" w:eastAsia="仿宋_GB2312" w:cs="仿宋_GB2312"/>
          <w:b/>
          <w:bCs/>
          <w:sz w:val="32"/>
          <w:szCs w:val="32"/>
        </w:rPr>
        <w:t>6、项目类别：</w:t>
      </w:r>
      <w:r>
        <w:rPr>
          <w:rFonts w:hint="eastAsia" w:ascii="仿宋_GB2312" w:hAnsi="Calibri" w:eastAsia="仿宋_GB2312" w:cs="Times New Roman"/>
          <w:sz w:val="32"/>
          <w:szCs w:val="32"/>
          <w:lang w:val="en-US" w:eastAsia="zh-CN"/>
        </w:rPr>
        <w:t>特色产业</w:t>
      </w:r>
    </w:p>
    <w:p>
      <w:pPr>
        <w:keepNext w:val="0"/>
        <w:keepLines w:val="0"/>
        <w:pageBreakBefore w:val="0"/>
        <w:widowControl/>
        <w:kinsoku/>
        <w:overflowPunct/>
        <w:topLinePunct w:val="0"/>
        <w:autoSpaceDN/>
        <w:bidi w:val="0"/>
        <w:adjustRightInd/>
        <w:snapToGrid/>
        <w:spacing w:line="560" w:lineRule="exact"/>
        <w:ind w:firstLine="643" w:firstLineChars="200"/>
        <w:textAlignment w:val="auto"/>
        <w:rPr>
          <w:rFonts w:ascii="仿宋_GB2312" w:hAnsi="Calibri" w:eastAsia="仿宋_GB2312" w:cs="Times New Roman"/>
          <w:sz w:val="32"/>
          <w:szCs w:val="32"/>
        </w:rPr>
      </w:pPr>
      <w:r>
        <w:rPr>
          <w:rFonts w:hint="eastAsia" w:ascii="仿宋_GB2312" w:hAnsi="仿宋_GB2312" w:eastAsia="仿宋_GB2312" w:cs="仿宋_GB2312"/>
          <w:b/>
          <w:bCs/>
          <w:sz w:val="32"/>
          <w:szCs w:val="32"/>
        </w:rPr>
        <w:t>7、建设地点：</w:t>
      </w:r>
      <w:r>
        <w:rPr>
          <w:rFonts w:hint="eastAsia" w:ascii="仿宋_GB2312" w:hAnsi="仿宋_GB2312" w:eastAsia="仿宋_GB2312" w:cs="仿宋_GB2312"/>
          <w:sz w:val="32"/>
          <w:szCs w:val="32"/>
        </w:rPr>
        <w:t>郭勒布依乡各行政村</w:t>
      </w:r>
    </w:p>
    <w:p>
      <w:pPr>
        <w:keepNext w:val="0"/>
        <w:keepLines w:val="0"/>
        <w:pageBreakBefore w:val="0"/>
        <w:widowControl/>
        <w:kinsoku/>
        <w:overflowPunct/>
        <w:topLinePunct w:val="0"/>
        <w:autoSpaceDE w:val="0"/>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8、项目总投资：</w:t>
      </w:r>
      <w:r>
        <w:rPr>
          <w:rFonts w:hint="eastAsia" w:ascii="仿宋_GB2312" w:hAnsi="仿宋_GB2312" w:eastAsia="仿宋_GB2312" w:cs="仿宋_GB2312"/>
          <w:sz w:val="32"/>
          <w:szCs w:val="32"/>
        </w:rPr>
        <w:t>项目总投资6.7849万元</w:t>
      </w:r>
    </w:p>
    <w:p>
      <w:pPr>
        <w:keepNext w:val="0"/>
        <w:keepLines w:val="0"/>
        <w:pageBreakBefore w:val="0"/>
        <w:widowControl/>
        <w:kinsoku/>
        <w:overflowPunct/>
        <w:topLinePunct w:val="0"/>
        <w:autoSpaceDE w:val="0"/>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9、主要建设内容与规模：</w:t>
      </w:r>
      <w:r>
        <w:rPr>
          <w:rFonts w:hint="eastAsia" w:ascii="仿宋_GB2312" w:hAnsi="仿宋_GB2312" w:eastAsia="仿宋_GB2312" w:cs="仿宋_GB2312"/>
          <w:sz w:val="32"/>
          <w:szCs w:val="32"/>
        </w:rPr>
        <w:t>计划对郭勒布依乡脱贫户及监测户种植的杏树和枣树开展整形修剪给予补助。其中：对5户脱贫户和监测对象种植的31.7亩枣树进行修剪，每亩补助110元，小计约0.3487万元；对145户脱贫户及监测对象种植的757.2亩杏树进行修剪，每亩补助85元，小计约6.4362万元。项目总投资约6.7849万元。（最终补助亩数以实际发生量为准）</w:t>
      </w:r>
    </w:p>
    <w:p>
      <w:pPr>
        <w:keepNext w:val="0"/>
        <w:keepLines w:val="0"/>
        <w:pageBreakBefore w:val="0"/>
        <w:widowControl/>
        <w:kinsoku/>
        <w:overflowPunct/>
        <w:topLinePunct w:val="0"/>
        <w:autoSpaceDE w:val="0"/>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二、项目基本情况及建设的必要性、可行性</w:t>
      </w:r>
    </w:p>
    <w:p>
      <w:pPr>
        <w:keepNext w:val="0"/>
        <w:keepLines w:val="0"/>
        <w:pageBreakBefore w:val="0"/>
        <w:widowControl/>
        <w:kinsoku/>
        <w:overflowPunct/>
        <w:topLinePunct w:val="0"/>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1、项目基本情况：</w:t>
      </w:r>
      <w:r>
        <w:rPr>
          <w:rFonts w:hint="eastAsia" w:ascii="仿宋_GB2312" w:hAnsi="Calibri" w:eastAsia="仿宋_GB2312" w:cs="Times New Roman"/>
          <w:sz w:val="32"/>
          <w:szCs w:val="32"/>
        </w:rPr>
        <w:t>郭勒布依乡总面积893.15平方公里，耕地面积9.89万亩，主要农作物杏子2.6万亩、花生0.23万亩、西甜瓜0.22万亩、高粱2.82万亩等。郭勒布依乡总人口7719户21852人，其中脱贫户317户938人、监测对象38户130人，是以农业、林果业为主，畜牧业为辅的农业乡镇。为了推动郭勒布依乡农业经济的发展，提高脱贫户和监测户的收入水平，本项目计划对150户脱贫户和户监测户进行杏树和枣树种植修剪补助。通过杏树种植，实现稳定脱贫和持续增收。</w:t>
      </w:r>
    </w:p>
    <w:p>
      <w:pPr>
        <w:keepNext w:val="0"/>
        <w:keepLines w:val="0"/>
        <w:pageBreakBefore w:val="0"/>
        <w:widowControl/>
        <w:kinsoku/>
        <w:overflowPunct/>
        <w:topLinePunct w:val="0"/>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2、建设的必要性：一是</w:t>
      </w:r>
      <w:r>
        <w:rPr>
          <w:rFonts w:hint="eastAsia" w:ascii="仿宋_GB2312" w:hAnsi="仿宋_GB2312" w:eastAsia="仿宋_GB2312" w:cs="仿宋_GB2312"/>
          <w:sz w:val="32"/>
          <w:szCs w:val="32"/>
        </w:rPr>
        <w:t>促进农民增收，杏树和枣树种植是一项劳动密集型产业，能为当地农民提供大量的就业机会，提高农民的收入水平。通过本项目，脱贫户和监测户可以获得直接的种植补助，进一步增加经济收益。</w:t>
      </w:r>
      <w:r>
        <w:rPr>
          <w:rFonts w:hint="eastAsia" w:ascii="仿宋_GB2312" w:hAnsi="仿宋_GB2312" w:eastAsia="仿宋_GB2312" w:cs="仿宋_GB2312"/>
          <w:b/>
          <w:bCs/>
          <w:sz w:val="32"/>
          <w:szCs w:val="32"/>
        </w:rPr>
        <w:t>二是</w:t>
      </w:r>
      <w:r>
        <w:rPr>
          <w:rFonts w:hint="eastAsia" w:ascii="仿宋_GB2312" w:hAnsi="仿宋_GB2312" w:eastAsia="仿宋_GB2312" w:cs="仿宋_GB2312"/>
          <w:sz w:val="32"/>
          <w:szCs w:val="32"/>
        </w:rPr>
        <w:t>杏树种植修剪项目可以优化农业产业结构，推动农业向高效、优质、绿色、生态的方向发展。同时，杏树修剪还有助于改良品种，提高土地的利用率和产出率，实现农业可持续发展。</w:t>
      </w:r>
      <w:r>
        <w:rPr>
          <w:rFonts w:hint="eastAsia" w:ascii="仿宋_GB2312" w:hAnsi="仿宋_GB2312" w:eastAsia="仿宋_GB2312" w:cs="仿宋_GB2312"/>
          <w:b/>
          <w:bCs/>
          <w:sz w:val="32"/>
          <w:szCs w:val="32"/>
        </w:rPr>
        <w:t>三是</w:t>
      </w:r>
      <w:r>
        <w:rPr>
          <w:rFonts w:hint="eastAsia" w:ascii="仿宋_GB2312" w:hAnsi="仿宋_GB2312" w:eastAsia="仿宋_GB2312" w:cs="仿宋_GB2312"/>
          <w:sz w:val="32"/>
          <w:szCs w:val="32"/>
        </w:rPr>
        <w:t>通过项目实施，可以提高杏树和枣树的产量和质量，增强农产品的市场竞争力。同时，还可以推动当地农产品品牌建设，提升农产品的知名度和美誉度。</w:t>
      </w:r>
    </w:p>
    <w:p>
      <w:pPr>
        <w:keepNext w:val="0"/>
        <w:keepLines w:val="0"/>
        <w:pageBreakBefore w:val="0"/>
        <w:widowControl/>
        <w:kinsoku/>
        <w:overflowPunct/>
        <w:topLinePunct w:val="0"/>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3、建设的可行性：一是</w:t>
      </w:r>
      <w:r>
        <w:rPr>
          <w:rFonts w:hint="eastAsia" w:ascii="仿宋_GB2312" w:hAnsi="仿宋_GB2312" w:eastAsia="仿宋_GB2312" w:cs="仿宋_GB2312"/>
          <w:sz w:val="32"/>
          <w:szCs w:val="32"/>
        </w:rPr>
        <w:t>资源优势，郭勒布依乡具备杏树和枣树生长的土壤和气候条件，为杏树的种植提供了得天独厚的优势。同时，当地的劳动力资源丰富，为项目实施提供了充足的人力资源。</w:t>
      </w:r>
      <w:r>
        <w:rPr>
          <w:rFonts w:hint="eastAsia" w:ascii="仿宋_GB2312" w:hAnsi="仿宋_GB2312" w:eastAsia="仿宋_GB2312" w:cs="仿宋_GB2312"/>
          <w:b/>
          <w:bCs/>
          <w:sz w:val="32"/>
          <w:szCs w:val="32"/>
        </w:rPr>
        <w:t>二是</w:t>
      </w:r>
      <w:r>
        <w:rPr>
          <w:rFonts w:hint="eastAsia" w:ascii="仿宋_GB2312" w:hAnsi="仿宋_GB2312" w:eastAsia="仿宋_GB2312" w:cs="仿宋_GB2312"/>
          <w:b/>
          <w:bCs/>
          <w:sz w:val="32"/>
          <w:szCs w:val="32"/>
          <w:lang w:eastAsia="zh-CN"/>
        </w:rPr>
        <w:t>计划</w:t>
      </w:r>
      <w:r>
        <w:rPr>
          <w:rFonts w:hint="eastAsia" w:ascii="仿宋_GB2312" w:hAnsi="仿宋_GB2312" w:eastAsia="仿宋_GB2312" w:cs="仿宋_GB2312"/>
          <w:sz w:val="32"/>
          <w:szCs w:val="32"/>
        </w:rPr>
        <w:t>对郭勒布依乡脱贫户及监测户种植的杏树和枣树开展整形修剪给予补助，枣树每亩补助110元、杏树每亩补助85元，这将直接增加农户的收入，提高他们的生产积极性。同时，科学管护加上杏树和枣树修剪提质增效项目扶持，有望提高杏树的产量和质量，进一步增加农户的经济收入。</w:t>
      </w:r>
      <w:r>
        <w:rPr>
          <w:rFonts w:hint="eastAsia" w:ascii="仿宋_GB2312" w:hAnsi="仿宋_GB2312" w:eastAsia="仿宋_GB2312" w:cs="仿宋_GB2312"/>
          <w:b/>
          <w:bCs/>
          <w:sz w:val="32"/>
          <w:szCs w:val="32"/>
        </w:rPr>
        <w:t>三是</w:t>
      </w:r>
      <w:r>
        <w:rPr>
          <w:rFonts w:hint="eastAsia" w:ascii="仿宋_GB2312" w:hAnsi="仿宋_GB2312" w:eastAsia="仿宋_GB2312" w:cs="仿宋_GB2312"/>
          <w:sz w:val="32"/>
          <w:szCs w:val="32"/>
        </w:rPr>
        <w:t>通过引进先进的种植技术和管理模式，可以提高杏树的产量和品质，确保项目的顺利实施和可持续发展。</w:t>
      </w:r>
    </w:p>
    <w:p>
      <w:pPr>
        <w:keepNext w:val="0"/>
        <w:keepLines w:val="0"/>
        <w:pageBreakBefore w:val="0"/>
        <w:widowControl/>
        <w:kinsoku/>
        <w:overflowPunct/>
        <w:topLinePunct w:val="0"/>
        <w:autoSpaceDE w:val="0"/>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三、资金筹措及投资概算</w:t>
      </w:r>
    </w:p>
    <w:p>
      <w:pPr>
        <w:keepNext w:val="0"/>
        <w:keepLines w:val="0"/>
        <w:pageBreakBefore w:val="0"/>
        <w:widowControl/>
        <w:kinsoku/>
        <w:overflowPunct/>
        <w:topLinePunct w:val="0"/>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1、资金来源：</w:t>
      </w:r>
      <w:r>
        <w:rPr>
          <w:rFonts w:hint="eastAsia" w:ascii="仿宋_GB2312" w:hAnsi="仿宋_GB2312" w:eastAsia="仿宋_GB2312" w:cs="仿宋_GB2312"/>
          <w:sz w:val="32"/>
          <w:szCs w:val="32"/>
        </w:rPr>
        <w:t>财政衔接推进乡村振兴补助资金6.7849万元，均为中央衔接资金。</w:t>
      </w:r>
    </w:p>
    <w:p>
      <w:pPr>
        <w:keepNext w:val="0"/>
        <w:keepLines w:val="0"/>
        <w:pageBreakBefore w:val="0"/>
        <w:widowControl/>
        <w:kinsoku/>
        <w:overflowPunct/>
        <w:topLinePunct w:val="0"/>
        <w:autoSpaceDE w:val="0"/>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2、投资概算：</w:t>
      </w:r>
      <w:r>
        <w:rPr>
          <w:rFonts w:hint="eastAsia" w:ascii="仿宋_GB2312" w:hAnsi="仿宋_GB2312" w:eastAsia="仿宋_GB2312" w:cs="仿宋_GB2312"/>
          <w:sz w:val="32"/>
          <w:szCs w:val="32"/>
        </w:rPr>
        <w:t>对5户脱贫户和监测对象种植的31.7亩枣树进行修剪，每亩补助110元，总计约0.3487万元；对145户脱贫户及监测对象种植的757.2亩杏树进行修剪，每亩补助85元，总计约6.4362万元。</w:t>
      </w:r>
    </w:p>
    <w:p>
      <w:pPr>
        <w:pStyle w:val="20"/>
        <w:keepNext w:val="0"/>
        <w:keepLines w:val="0"/>
        <w:pageBreakBefore w:val="0"/>
        <w:widowControl/>
        <w:kinsoku/>
        <w:overflowPunct/>
        <w:topLinePunct w:val="0"/>
        <w:autoSpaceDN/>
        <w:bidi w:val="0"/>
        <w:adjustRightInd/>
        <w:snapToGrid/>
        <w:spacing w:line="560" w:lineRule="exact"/>
        <w:ind w:firstLine="640"/>
        <w:textAlignment w:val="auto"/>
        <w:rPr>
          <w:rFonts w:hint="eastAsia" w:ascii="黑体" w:hAnsi="黑体" w:eastAsia="黑体" w:cs="黑体"/>
          <w:sz w:val="32"/>
          <w:szCs w:val="32"/>
        </w:rPr>
      </w:pPr>
      <w:r>
        <w:rPr>
          <w:rFonts w:hint="eastAsia" w:ascii="黑体" w:hAnsi="黑体" w:eastAsia="黑体" w:cs="黑体"/>
          <w:sz w:val="32"/>
          <w:szCs w:val="32"/>
        </w:rPr>
        <w:t>四、项目实施进度计划</w:t>
      </w:r>
    </w:p>
    <w:p>
      <w:pPr>
        <w:pStyle w:val="17"/>
        <w:keepNext w:val="0"/>
        <w:keepLines w:val="0"/>
        <w:pageBreakBefore w:val="0"/>
        <w:widowControl/>
        <w:kinsoku/>
        <w:overflowPunct/>
        <w:topLinePunct w:val="0"/>
        <w:autoSpaceDN/>
        <w:bidi w:val="0"/>
        <w:adjustRightInd/>
        <w:snapToGrid/>
        <w:spacing w:line="560" w:lineRule="exact"/>
        <w:ind w:firstLine="640"/>
        <w:textAlignment w:val="auto"/>
        <w:rPr>
          <w:rFonts w:hint="eastAsia" w:ascii="仿宋_GB2312" w:hAnsi="宋体" w:cs="黑体"/>
          <w:color w:val="000000" w:themeColor="text1"/>
          <w:sz w:val="32"/>
          <w:szCs w:val="32"/>
          <w14:textFill>
            <w14:solidFill>
              <w14:schemeClr w14:val="tx1"/>
            </w14:solidFill>
          </w14:textFill>
        </w:rPr>
      </w:pPr>
      <w:r>
        <w:rPr>
          <w:rFonts w:hint="eastAsia" w:ascii="仿宋_GB2312" w:hAnsi="宋体" w:cs="黑体"/>
          <w:color w:val="000000" w:themeColor="text1"/>
          <w:sz w:val="32"/>
          <w:szCs w:val="32"/>
          <w14:textFill>
            <w14:solidFill>
              <w14:schemeClr w14:val="tx1"/>
            </w14:solidFill>
          </w14:textFill>
        </w:rPr>
        <w:t>2025年2月中旬，组织开始修剪，做好摸排；</w:t>
      </w:r>
    </w:p>
    <w:p>
      <w:pPr>
        <w:pStyle w:val="17"/>
        <w:keepNext w:val="0"/>
        <w:keepLines w:val="0"/>
        <w:pageBreakBefore w:val="0"/>
        <w:widowControl/>
        <w:kinsoku/>
        <w:overflowPunct/>
        <w:topLinePunct w:val="0"/>
        <w:autoSpaceDN/>
        <w:bidi w:val="0"/>
        <w:adjustRightInd/>
        <w:snapToGrid/>
        <w:spacing w:line="560" w:lineRule="exact"/>
        <w:ind w:firstLine="640"/>
        <w:textAlignment w:val="auto"/>
        <w:rPr>
          <w:rFonts w:hint="eastAsia" w:ascii="仿宋_GB2312" w:hAnsi="宋体" w:cs="黑体"/>
          <w:sz w:val="32"/>
          <w:szCs w:val="32"/>
        </w:rPr>
      </w:pPr>
      <w:r>
        <w:rPr>
          <w:rFonts w:hint="eastAsia" w:ascii="仿宋_GB2312" w:hAnsi="宋体" w:cs="黑体"/>
          <w:color w:val="000000" w:themeColor="text1"/>
          <w:sz w:val="32"/>
          <w:szCs w:val="32"/>
          <w14:textFill>
            <w14:solidFill>
              <w14:schemeClr w14:val="tx1"/>
            </w14:solidFill>
          </w14:textFill>
        </w:rPr>
        <w:t>2025年10月底前，项目实施完毕</w:t>
      </w:r>
      <w:r>
        <w:rPr>
          <w:rFonts w:hint="eastAsia" w:ascii="仿宋_GB2312" w:hAnsi="宋体" w:cs="黑体"/>
          <w:color w:val="000000" w:themeColor="text1"/>
          <w:sz w:val="32"/>
          <w:szCs w:val="32"/>
          <w:lang w:val="en-US" w:eastAsia="zh-CN"/>
          <w14:textFill>
            <w14:solidFill>
              <w14:schemeClr w14:val="tx1"/>
            </w14:solidFill>
          </w14:textFill>
        </w:rPr>
        <w:t>并验收</w:t>
      </w:r>
      <w:r>
        <w:rPr>
          <w:rFonts w:hint="eastAsia" w:ascii="仿宋_GB2312" w:hAnsi="宋体" w:cs="黑体"/>
          <w:color w:val="000000" w:themeColor="text1"/>
          <w:sz w:val="32"/>
          <w:szCs w:val="32"/>
          <w:lang w:eastAsia="zh-CN"/>
          <w14:textFill>
            <w14:solidFill>
              <w14:schemeClr w14:val="tx1"/>
            </w14:solidFill>
          </w14:textFill>
        </w:rPr>
        <w:t>，</w:t>
      </w:r>
      <w:r>
        <w:rPr>
          <w:rFonts w:hint="eastAsia" w:ascii="仿宋_GB2312" w:hAnsi="宋体" w:cs="黑体"/>
          <w:color w:val="000000" w:themeColor="text1"/>
          <w:sz w:val="32"/>
          <w:szCs w:val="32"/>
          <w:lang w:val="en-US" w:eastAsia="zh-CN"/>
          <w14:textFill>
            <w14:solidFill>
              <w14:schemeClr w14:val="tx1"/>
            </w14:solidFill>
          </w14:textFill>
        </w:rPr>
        <w:t>发放补助资金</w:t>
      </w:r>
      <w:r>
        <w:rPr>
          <w:rFonts w:hint="eastAsia" w:ascii="仿宋_GB2312" w:hAnsi="宋体" w:cs="黑体"/>
          <w:sz w:val="32"/>
          <w:szCs w:val="32"/>
        </w:rPr>
        <w:t>。</w:t>
      </w:r>
    </w:p>
    <w:p>
      <w:pPr>
        <w:pStyle w:val="17"/>
        <w:keepNext w:val="0"/>
        <w:keepLines w:val="0"/>
        <w:pageBreakBefore w:val="0"/>
        <w:widowControl/>
        <w:numPr>
          <w:ilvl w:val="0"/>
          <w:numId w:val="1"/>
        </w:numPr>
        <w:kinsoku/>
        <w:overflowPunct/>
        <w:topLinePunct w:val="0"/>
        <w:autoSpaceDN/>
        <w:bidi w:val="0"/>
        <w:adjustRightInd/>
        <w:snapToGrid/>
        <w:spacing w:line="560" w:lineRule="exact"/>
        <w:ind w:firstLine="640"/>
        <w:textAlignment w:val="auto"/>
        <w:rPr>
          <w:rFonts w:hint="eastAsia" w:ascii="黑体" w:hAnsi="黑体" w:eastAsia="黑体" w:cs="黑体"/>
          <w:sz w:val="32"/>
          <w:szCs w:val="32"/>
        </w:rPr>
      </w:pPr>
      <w:r>
        <w:rPr>
          <w:rFonts w:hint="eastAsia" w:ascii="黑体" w:hAnsi="黑体" w:eastAsia="黑体" w:cs="黑体"/>
          <w:sz w:val="32"/>
          <w:szCs w:val="32"/>
        </w:rPr>
        <w:t>项目组织实施</w:t>
      </w:r>
    </w:p>
    <w:p>
      <w:pPr>
        <w:keepNext w:val="0"/>
        <w:keepLines w:val="0"/>
        <w:pageBreakBefore w:val="0"/>
        <w:widowControl/>
        <w:kinsoku/>
        <w:overflowPunct/>
        <w:topLinePunct w:val="0"/>
        <w:autoSpaceDE w:val="0"/>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（一）组织领导机构及职责分工</w:t>
      </w:r>
    </w:p>
    <w:p>
      <w:pPr>
        <w:keepNext w:val="0"/>
        <w:keepLines w:val="0"/>
        <w:pageBreakBefore w:val="0"/>
        <w:widowControl/>
        <w:kinsoku/>
        <w:overflowPunct/>
        <w:topLinePunct w:val="0"/>
        <w:autoSpaceDN/>
        <w:bidi w:val="0"/>
        <w:adjustRightInd/>
        <w:snapToGrid/>
        <w:spacing w:line="56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为加强项目监督和技术指导，按期完成建设任务，根据</w:t>
      </w:r>
      <w:r>
        <w:rPr>
          <w:rFonts w:hint="eastAsia" w:ascii="仿宋_GB2312" w:eastAsia="仿宋_GB2312"/>
          <w:sz w:val="32"/>
          <w:szCs w:val="32"/>
        </w:rPr>
        <w:t>《托克逊县郭勒布依乡财政衔接推进乡村振兴补助金</w:t>
      </w:r>
      <w:r>
        <w:rPr>
          <w:rFonts w:hint="eastAsia" w:ascii="仿宋_GB2312" w:eastAsia="仿宋_GB2312"/>
          <w:sz w:val="32"/>
          <w:szCs w:val="32"/>
          <w:lang w:eastAsia="zh-CN"/>
        </w:rPr>
        <w:t>（</w:t>
      </w:r>
      <w:r>
        <w:rPr>
          <w:rFonts w:hint="eastAsia" w:ascii="仿宋_GB2312" w:eastAsia="仿宋_GB2312"/>
          <w:sz w:val="32"/>
          <w:szCs w:val="32"/>
        </w:rPr>
        <w:t>巩固拓展脱贫攻坚成果和乡村振兴任务</w:t>
      </w:r>
      <w:r>
        <w:rPr>
          <w:rFonts w:hint="eastAsia" w:ascii="仿宋_GB2312" w:eastAsia="仿宋_GB2312"/>
          <w:sz w:val="32"/>
          <w:szCs w:val="32"/>
          <w:lang w:eastAsia="zh-CN"/>
        </w:rPr>
        <w:t>）</w:t>
      </w:r>
      <w:r>
        <w:rPr>
          <w:rFonts w:hint="eastAsia" w:ascii="仿宋_GB2312" w:eastAsia="仿宋_GB2312"/>
          <w:sz w:val="32"/>
          <w:szCs w:val="32"/>
        </w:rPr>
        <w:t>项目管理办法（暂行）》</w:t>
      </w:r>
      <w:r>
        <w:rPr>
          <w:rFonts w:hint="eastAsia" w:ascii="仿宋_GB2312" w:hAnsi="仿宋_GB2312" w:eastAsia="仿宋_GB2312" w:cs="仿宋_GB2312"/>
          <w:bCs/>
          <w:sz w:val="32"/>
          <w:szCs w:val="32"/>
        </w:rPr>
        <w:t>规定成立项目管理组织机构，</w:t>
      </w:r>
      <w:r>
        <w:rPr>
          <w:rFonts w:hint="eastAsia" w:ascii="仿宋_GB2312" w:hAnsi="Calibri" w:eastAsia="仿宋_GB2312" w:cs="Times New Roman"/>
          <w:sz w:val="32"/>
          <w:szCs w:val="32"/>
        </w:rPr>
        <w:t>项目管理工作实行分级负责制</w:t>
      </w:r>
      <w:r>
        <w:rPr>
          <w:rFonts w:hint="eastAsia" w:ascii="仿宋_GB2312" w:hAnsi="仿宋_GB2312" w:eastAsia="仿宋_GB2312" w:cs="仿宋_GB2312"/>
          <w:bCs/>
          <w:sz w:val="32"/>
          <w:szCs w:val="32"/>
        </w:rPr>
        <w:t>。项目组相关领导机构</w:t>
      </w:r>
      <w:r>
        <w:rPr>
          <w:rFonts w:ascii="仿宋_GB2312" w:hAnsi="仿宋_GB2312" w:eastAsia="仿宋_GB2312" w:cs="仿宋_GB2312"/>
          <w:bCs/>
          <w:sz w:val="32"/>
          <w:szCs w:val="32"/>
        </w:rPr>
        <w:t>如下：</w:t>
      </w:r>
    </w:p>
    <w:p>
      <w:pPr>
        <w:pStyle w:val="20"/>
        <w:keepNext w:val="0"/>
        <w:keepLines w:val="0"/>
        <w:pageBreakBefore w:val="0"/>
        <w:widowControl/>
        <w:kinsoku/>
        <w:overflowPunct/>
        <w:topLinePunct w:val="0"/>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组  长</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哈里瓦尔·阿不拉克   乡党委副书记、乡长 </w:t>
      </w:r>
    </w:p>
    <w:p>
      <w:pPr>
        <w:pStyle w:val="20"/>
        <w:keepNext w:val="0"/>
        <w:keepLines w:val="0"/>
        <w:pageBreakBefore w:val="0"/>
        <w:widowControl/>
        <w:kinsoku/>
        <w:overflowPunct/>
        <w:topLinePunct w:val="0"/>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副组长</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苏涛                 乡党委委员、常务副乡长 </w:t>
      </w:r>
    </w:p>
    <w:p>
      <w:pPr>
        <w:pStyle w:val="20"/>
        <w:keepNext w:val="0"/>
        <w:keepLines w:val="0"/>
        <w:pageBreakBefore w:val="0"/>
        <w:widowControl/>
        <w:kinsoku/>
        <w:overflowPunct/>
        <w:topLinePunct w:val="0"/>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成  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郭理                 乡项目办主任</w:t>
      </w:r>
    </w:p>
    <w:p>
      <w:pPr>
        <w:pStyle w:val="20"/>
        <w:keepNext w:val="0"/>
        <w:keepLines w:val="0"/>
        <w:pageBreakBefore w:val="0"/>
        <w:widowControl/>
        <w:kinsoku/>
        <w:overflowPunct/>
        <w:topLinePunct w:val="0"/>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阿迪拉古丽·吾曼尔          乡检办干部 </w:t>
      </w:r>
    </w:p>
    <w:p>
      <w:pPr>
        <w:pStyle w:val="20"/>
        <w:keepNext w:val="0"/>
        <w:keepLines w:val="0"/>
        <w:pageBreakBefore w:val="0"/>
        <w:widowControl/>
        <w:kinsoku/>
        <w:overflowPunct/>
        <w:topLinePunct w:val="0"/>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热孜亚·阿不来提            乡村振兴办主任</w:t>
      </w:r>
    </w:p>
    <w:p>
      <w:pPr>
        <w:pStyle w:val="20"/>
        <w:keepNext w:val="0"/>
        <w:keepLines w:val="0"/>
        <w:pageBreakBefore w:val="0"/>
        <w:widowControl/>
        <w:kinsoku/>
        <w:overflowPunct/>
        <w:topLinePunct w:val="0"/>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木阿热木·买合木提          乡财政所所长 </w:t>
      </w:r>
    </w:p>
    <w:p>
      <w:pPr>
        <w:pStyle w:val="20"/>
        <w:keepNext w:val="0"/>
        <w:keepLines w:val="0"/>
        <w:pageBreakBefore w:val="0"/>
        <w:widowControl/>
        <w:kinsoku/>
        <w:overflowPunct/>
        <w:topLinePunct w:val="0"/>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麦尔哈巴·肉孜              乡项目办干部 </w:t>
      </w:r>
    </w:p>
    <w:p>
      <w:pPr>
        <w:pStyle w:val="20"/>
        <w:keepNext w:val="0"/>
        <w:keepLines w:val="0"/>
        <w:pageBreakBefore w:val="0"/>
        <w:widowControl/>
        <w:kinsoku/>
        <w:overflowPunct/>
        <w:topLinePunct w:val="0"/>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郭勒布依乡13个村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社区 </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    第一书记、党支部书记</w:t>
      </w:r>
    </w:p>
    <w:p>
      <w:pPr>
        <w:pStyle w:val="20"/>
        <w:keepNext w:val="0"/>
        <w:keepLines w:val="0"/>
        <w:pageBreakBefore w:val="0"/>
        <w:widowControl/>
        <w:kinsoku/>
        <w:overflowPunct/>
        <w:topLinePunct w:val="0"/>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（1）成立以村第一书记为组长，村党支部书记为副组长、各职能小组负责人为成员的领导小组，负责项目的领导、协调、实施、督促、指导等工作，为项目建设提供组织保障。</w:t>
      </w:r>
    </w:p>
    <w:p>
      <w:pPr>
        <w:pStyle w:val="17"/>
        <w:keepNext w:val="0"/>
        <w:keepLines w:val="0"/>
        <w:pageBreakBefore w:val="0"/>
        <w:widowControl/>
        <w:kinsoku/>
        <w:overflowPunct/>
        <w:topLinePunct w:val="0"/>
        <w:autoSpaceDN/>
        <w:bidi w:val="0"/>
        <w:adjustRightInd/>
        <w:snapToGrid/>
        <w:spacing w:line="560" w:lineRule="exact"/>
        <w:ind w:firstLine="640"/>
        <w:textAlignment w:val="auto"/>
        <w:rPr>
          <w:rFonts w:hint="eastAsia" w:ascii="仿宋_GB2312" w:hAnsi="仿宋_GB2312" w:cs="仿宋_GB2312"/>
          <w:sz w:val="32"/>
          <w:szCs w:val="32"/>
        </w:rPr>
      </w:pPr>
      <w:r>
        <w:rPr>
          <w:rFonts w:hint="eastAsia" w:ascii="仿宋_GB2312" w:hAnsi="仿宋_GB2312" w:cs="仿宋_GB2312"/>
          <w:sz w:val="32"/>
          <w:szCs w:val="32"/>
        </w:rPr>
        <w:t>（2）乡村振兴、纪检、财政所等部门为项目实施的监督单位。负责项目实施</w:t>
      </w:r>
      <w:r>
        <w:rPr>
          <w:rFonts w:hint="eastAsia" w:ascii="仿宋_GB2312" w:hAnsi="仿宋_GB2312" w:cs="仿宋_GB2312"/>
          <w:sz w:val="32"/>
          <w:szCs w:val="32"/>
          <w:lang w:eastAsia="zh-CN"/>
        </w:rPr>
        <w:t>全过程</w:t>
      </w:r>
      <w:r>
        <w:rPr>
          <w:rFonts w:hint="eastAsia" w:ascii="仿宋_GB2312" w:hAnsi="仿宋_GB2312" w:cs="仿宋_GB2312"/>
          <w:sz w:val="32"/>
          <w:szCs w:val="32"/>
        </w:rPr>
        <w:t>的监督、检查，资金审批及管理。</w:t>
      </w:r>
    </w:p>
    <w:p>
      <w:pPr>
        <w:pStyle w:val="12"/>
        <w:keepNext w:val="0"/>
        <w:keepLines w:val="0"/>
        <w:pageBreakBefore w:val="0"/>
        <w:widowControl/>
        <w:kinsoku/>
        <w:overflowPunct/>
        <w:topLinePunct w:val="0"/>
        <w:autoSpaceDN/>
        <w:bidi w:val="0"/>
        <w:adjustRightInd/>
        <w:snapToGrid/>
        <w:spacing w:after="0" w:line="560" w:lineRule="exact"/>
        <w:ind w:left="0" w:leftChars="0" w:firstLine="640"/>
        <w:textAlignment w:val="auto"/>
        <w:rPr>
          <w:rFonts w:hint="eastAsia" w:eastAsia="仿宋_GB2312"/>
          <w:sz w:val="32"/>
          <w:szCs w:val="32"/>
        </w:rPr>
      </w:pPr>
      <w:r>
        <w:rPr>
          <w:rFonts w:hint="eastAsia" w:ascii="仿宋_GB2312" w:hAnsi="仿宋_GB2312" w:eastAsia="仿宋_GB2312" w:cs="仿宋_GB2312"/>
          <w:sz w:val="32"/>
          <w:szCs w:val="32"/>
        </w:rPr>
        <w:t>（3）郭勒布依乡为项目实施主体。乡和行政村分别成立项目实施领导小组，明确1名副科级领导专抓此项工作，主要负责宣传发动、组织实施和协助村里并进行指导，帮助落实任务；负责组织开展验收、项目档案的归档等工作。</w:t>
      </w:r>
    </w:p>
    <w:p>
      <w:pPr>
        <w:keepNext w:val="0"/>
        <w:keepLines w:val="0"/>
        <w:pageBreakBefore w:val="0"/>
        <w:widowControl/>
        <w:kinsoku/>
        <w:overflowPunct/>
        <w:topLinePunct w:val="0"/>
        <w:autoSpaceDE w:val="0"/>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（二）项目实施与监督检查</w:t>
      </w:r>
    </w:p>
    <w:p>
      <w:pPr>
        <w:pStyle w:val="3"/>
        <w:keepNext w:val="0"/>
        <w:keepLines w:val="0"/>
        <w:pageBreakBefore w:val="0"/>
        <w:widowControl/>
        <w:kinsoku/>
        <w:overflowPunct/>
        <w:topLinePunct w:val="0"/>
        <w:autoSpaceDN/>
        <w:bidi w:val="0"/>
        <w:adjustRightInd/>
        <w:snapToGrid/>
        <w:spacing w:after="0" w:line="560" w:lineRule="exact"/>
        <w:ind w:firstLine="643" w:firstLineChars="200"/>
        <w:textAlignment w:val="auto"/>
        <w:rPr>
          <w:rFonts w:ascii="Times New Roman" w:hAnsi="Times New Roman" w:eastAsia="仿宋_GB2312" w:cs="Times New Roman"/>
          <w:sz w:val="32"/>
          <w:szCs w:val="32"/>
        </w:rPr>
      </w:pPr>
      <w:r>
        <w:rPr>
          <w:rFonts w:hint="eastAsia" w:ascii="仿宋_GB2312" w:hAnsi="仿宋_GB2312" w:eastAsia="仿宋_GB2312" w:cs="仿宋_GB2312"/>
          <w:b/>
          <w:bCs/>
          <w:sz w:val="32"/>
          <w:szCs w:val="32"/>
        </w:rPr>
        <w:t>1、</w:t>
      </w:r>
      <w:r>
        <w:rPr>
          <w:rFonts w:ascii="仿宋_GB2312" w:hAnsi="仿宋_GB2312" w:eastAsia="仿宋_GB2312" w:cs="仿宋_GB2312"/>
          <w:b/>
          <w:bCs/>
          <w:sz w:val="32"/>
          <w:szCs w:val="32"/>
        </w:rPr>
        <w:t>自主申请</w:t>
      </w:r>
      <w:r>
        <w:rPr>
          <w:rFonts w:hint="eastAsia" w:ascii="仿宋_GB2312" w:hAnsi="仿宋_GB2312" w:eastAsia="仿宋_GB2312" w:cs="仿宋_GB2312"/>
          <w:b/>
          <w:bCs/>
          <w:sz w:val="32"/>
          <w:szCs w:val="32"/>
        </w:rPr>
        <w:t>：</w:t>
      </w:r>
      <w:r>
        <w:rPr>
          <w:rFonts w:ascii="Times New Roman" w:hAnsi="Times New Roman" w:eastAsia="仿宋_GB2312" w:cs="Times New Roman"/>
          <w:sz w:val="32"/>
          <w:szCs w:val="32"/>
        </w:rPr>
        <w:t>补助对象对照产业到户项目申报条件和程序，自愿向所在村委会提出申请，村委会审核汇总，落实民主决策程序后报乡镇人民政府进行合规性、合理性、真实性核查。</w:t>
      </w:r>
    </w:p>
    <w:p>
      <w:pPr>
        <w:pStyle w:val="3"/>
        <w:keepNext w:val="0"/>
        <w:keepLines w:val="0"/>
        <w:pageBreakBefore w:val="0"/>
        <w:widowControl/>
        <w:kinsoku/>
        <w:overflowPunct/>
        <w:topLinePunct w:val="0"/>
        <w:autoSpaceDN/>
        <w:bidi w:val="0"/>
        <w:adjustRightInd/>
        <w:snapToGrid/>
        <w:spacing w:after="0" w:line="560" w:lineRule="exact"/>
        <w:ind w:firstLine="643" w:firstLineChars="200"/>
        <w:textAlignment w:val="auto"/>
        <w:rPr>
          <w:rFonts w:ascii="Times New Roman" w:hAnsi="Times New Roman" w:eastAsia="仿宋_GB2312" w:cs="Times New Roman"/>
          <w:sz w:val="32"/>
          <w:szCs w:val="32"/>
        </w:rPr>
      </w:pPr>
      <w:r>
        <w:rPr>
          <w:rFonts w:hint="eastAsia" w:ascii="仿宋_GB2312" w:hAnsi="仿宋_GB2312" w:eastAsia="仿宋_GB2312" w:cs="仿宋_GB2312"/>
          <w:b/>
          <w:bCs/>
          <w:sz w:val="32"/>
          <w:szCs w:val="32"/>
        </w:rPr>
        <w:t>2、</w:t>
      </w:r>
      <w:r>
        <w:rPr>
          <w:rFonts w:ascii="仿宋_GB2312" w:hAnsi="仿宋_GB2312" w:eastAsia="仿宋_GB2312" w:cs="仿宋_GB2312"/>
          <w:b/>
          <w:bCs/>
          <w:sz w:val="32"/>
          <w:szCs w:val="32"/>
        </w:rPr>
        <w:t>审核批准</w:t>
      </w:r>
      <w:r>
        <w:rPr>
          <w:rFonts w:hint="eastAsia" w:ascii="仿宋_GB2312" w:hAnsi="仿宋_GB2312" w:eastAsia="仿宋_GB2312" w:cs="仿宋_GB2312"/>
          <w:b/>
          <w:bCs/>
          <w:sz w:val="32"/>
          <w:szCs w:val="32"/>
        </w:rPr>
        <w:t>：</w:t>
      </w:r>
      <w:r>
        <w:rPr>
          <w:rFonts w:ascii="Times New Roman" w:hAnsi="Times New Roman" w:eastAsia="仿宋_GB2312" w:cs="Times New Roman"/>
          <w:sz w:val="32"/>
          <w:szCs w:val="32"/>
        </w:rPr>
        <w:t>乡镇人民政府汇总各村申报材料，分类编制产业到户项目绩效目标，按程序报县级农业农村（乡村振兴）部门审核。县级农业农村（乡村振兴）部门牵头组织对乡镇申报产业到户项目进行审核论证。对审核通过的项目按程序列入衔接资金项目库，乡镇统一编制项目实施方案，报县委农村工作领导小组暨乡村振兴领导小组审定。未按规定履行审批程序的项目，不得安排财政资金予以扶持。</w:t>
      </w:r>
    </w:p>
    <w:p>
      <w:pPr>
        <w:pStyle w:val="3"/>
        <w:keepNext w:val="0"/>
        <w:keepLines w:val="0"/>
        <w:pageBreakBefore w:val="0"/>
        <w:widowControl/>
        <w:kinsoku/>
        <w:overflowPunct/>
        <w:topLinePunct w:val="0"/>
        <w:autoSpaceDN/>
        <w:bidi w:val="0"/>
        <w:adjustRightInd/>
        <w:snapToGrid/>
        <w:spacing w:after="0" w:line="560" w:lineRule="exact"/>
        <w:ind w:firstLine="643" w:firstLineChars="200"/>
        <w:textAlignment w:val="auto"/>
        <w:rPr>
          <w:rFonts w:ascii="Times New Roman" w:hAnsi="Times New Roman" w:eastAsia="仿宋_GB2312" w:cs="Times New Roman"/>
          <w:sz w:val="32"/>
          <w:szCs w:val="32"/>
        </w:rPr>
      </w:pPr>
      <w:r>
        <w:rPr>
          <w:rFonts w:hint="eastAsia" w:ascii="仿宋_GB2312" w:hAnsi="仿宋_GB2312" w:eastAsia="仿宋_GB2312" w:cs="仿宋_GB2312"/>
          <w:b/>
          <w:bCs/>
          <w:sz w:val="32"/>
          <w:szCs w:val="32"/>
        </w:rPr>
        <w:t>3、</w:t>
      </w:r>
      <w:r>
        <w:rPr>
          <w:rFonts w:ascii="仿宋_GB2312" w:hAnsi="仿宋_GB2312" w:eastAsia="仿宋_GB2312" w:cs="仿宋_GB2312"/>
          <w:b/>
          <w:bCs/>
          <w:sz w:val="32"/>
          <w:szCs w:val="32"/>
        </w:rPr>
        <w:t>组织实施。</w:t>
      </w:r>
      <w:r>
        <w:rPr>
          <w:rFonts w:ascii="仿宋_GB2312" w:hAnsi="仿宋_GB2312" w:eastAsia="仿宋_GB2312" w:cs="仿宋_GB2312"/>
          <w:sz w:val="32"/>
          <w:szCs w:val="32"/>
        </w:rPr>
        <w:t>帮</w:t>
      </w:r>
      <w:r>
        <w:rPr>
          <w:rFonts w:ascii="Times New Roman" w:hAnsi="Times New Roman" w:eastAsia="仿宋_GB2312" w:cs="Times New Roman"/>
          <w:sz w:val="32"/>
          <w:szCs w:val="32"/>
        </w:rPr>
        <w:t>扶对象按照批准的申请计划实施产业到户项目。乡村两级根据产业类型、生产规律和生产周期，实时关注项目实施情况，严格把控项目实施进度和质量。县级各行业主管部门做好技术指导、跟踪服务，加强项目日常监督。</w:t>
      </w:r>
    </w:p>
    <w:p>
      <w:pPr>
        <w:keepNext w:val="0"/>
        <w:keepLines w:val="0"/>
        <w:pageBreakBefore w:val="0"/>
        <w:widowControl/>
        <w:kinsoku/>
        <w:overflowPunct/>
        <w:topLinePunct w:val="0"/>
        <w:autoSpaceDE w:val="0"/>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（三）资金使用管理</w:t>
      </w:r>
    </w:p>
    <w:p>
      <w:pPr>
        <w:pStyle w:val="12"/>
        <w:keepNext w:val="0"/>
        <w:keepLines w:val="0"/>
        <w:pageBreakBefore w:val="0"/>
        <w:widowControl/>
        <w:kinsoku/>
        <w:overflowPunct/>
        <w:topLinePunct w:val="0"/>
        <w:autoSpaceDN/>
        <w:bidi w:val="0"/>
        <w:adjustRightInd/>
        <w:snapToGrid/>
        <w:spacing w:after="0" w:line="560" w:lineRule="exact"/>
        <w:ind w:left="0" w:leftChars="0" w:firstLine="640"/>
        <w:textAlignment w:val="auto"/>
        <w:rPr>
          <w:rFonts w:hint="eastAsia" w:ascii="仿宋_GB2312" w:hAnsi="仿宋_GB2312" w:eastAsia="仿宋_GB2312" w:cs="仿宋_GB2312"/>
          <w:sz w:val="32"/>
          <w:szCs w:val="32"/>
        </w:rPr>
      </w:pPr>
      <w:r>
        <w:rPr>
          <w:rFonts w:ascii="仿宋_GB2312" w:hAnsi="仿宋_GB2312" w:eastAsia="仿宋_GB2312" w:cs="仿宋_GB2312"/>
          <w:sz w:val="32"/>
          <w:szCs w:val="32"/>
        </w:rPr>
        <w:t>对综合验收合格的产业到户项目，由乡镇人民政府按照县级部门复核确定补助对象及金额，履行相关审批程序后，提交县级财政部门通过“一卡通”直接拨付补助资金。</w:t>
      </w:r>
    </w:p>
    <w:p>
      <w:pPr>
        <w:keepNext w:val="0"/>
        <w:keepLines w:val="0"/>
        <w:pageBreakBefore w:val="0"/>
        <w:widowControl/>
        <w:kinsoku/>
        <w:overflowPunct/>
        <w:topLinePunct w:val="0"/>
        <w:autoSpaceDE w:val="0"/>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（四）项目验收管理</w:t>
      </w:r>
    </w:p>
    <w:p>
      <w:pPr>
        <w:pStyle w:val="12"/>
        <w:keepNext w:val="0"/>
        <w:keepLines w:val="0"/>
        <w:pageBreakBefore w:val="0"/>
        <w:widowControl/>
        <w:kinsoku/>
        <w:overflowPunct/>
        <w:topLinePunct w:val="0"/>
        <w:autoSpaceDN/>
        <w:bidi w:val="0"/>
        <w:adjustRightInd/>
        <w:snapToGrid/>
        <w:spacing w:after="0" w:line="560" w:lineRule="exact"/>
        <w:ind w:left="0" w:leftChars="0" w:firstLine="640"/>
        <w:textAlignment w:val="auto"/>
        <w:rPr>
          <w:rFonts w:hint="eastAsia" w:ascii="仿宋_GB2312" w:hAnsi="仿宋_GB2312" w:eastAsia="仿宋_GB2312" w:cs="仿宋_GB2312"/>
          <w:sz w:val="32"/>
          <w:szCs w:val="32"/>
        </w:rPr>
      </w:pPr>
      <w:r>
        <w:rPr>
          <w:rFonts w:ascii="仿宋_GB2312" w:hAnsi="仿宋_GB2312" w:eastAsia="仿宋_GB2312" w:cs="仿宋_GB2312"/>
          <w:sz w:val="32"/>
          <w:szCs w:val="32"/>
        </w:rPr>
        <w:t>产业到户项目实施完一批验收一批。帮扶对象实施的到户项目符合验收标准的，村委会初审后提出验收申请，由乡镇人民政府统一组织全覆盖验收，对验收合格的出具验收意见报县级农业农村（乡村振兴）部门。县级农业农村（乡村振兴）部门牵头组织财政、林草等相关行业部门按不低于申请补助户数10%的比例进行随机抽查，对抽检整体合格的，给予综合验收意见。</w:t>
      </w:r>
    </w:p>
    <w:p>
      <w:pPr>
        <w:keepNext w:val="0"/>
        <w:keepLines w:val="0"/>
        <w:pageBreakBefore w:val="0"/>
        <w:widowControl/>
        <w:kinsoku/>
        <w:overflowPunct/>
        <w:topLinePunct w:val="0"/>
        <w:autoSpaceDE w:val="0"/>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（五）项目公告公示</w:t>
      </w:r>
    </w:p>
    <w:p>
      <w:pPr>
        <w:pStyle w:val="12"/>
        <w:keepNext w:val="0"/>
        <w:keepLines w:val="0"/>
        <w:pageBreakBefore w:val="0"/>
        <w:widowControl/>
        <w:kinsoku/>
        <w:overflowPunct/>
        <w:topLinePunct w:val="0"/>
        <w:autoSpaceDN/>
        <w:bidi w:val="0"/>
        <w:adjustRightInd/>
        <w:snapToGrid/>
        <w:spacing w:after="0" w:line="560" w:lineRule="exact"/>
        <w:ind w:left="0" w:leftChars="0" w:firstLine="640"/>
        <w:textAlignment w:val="auto"/>
        <w:rPr>
          <w:rFonts w:hint="eastAsia" w:ascii="仿宋_GB2312" w:hAnsi="仿宋_GB2312" w:eastAsia="仿宋_GB2312" w:cs="仿宋_GB2312"/>
          <w:sz w:val="32"/>
          <w:szCs w:val="32"/>
        </w:rPr>
      </w:pPr>
      <w:r>
        <w:rPr>
          <w:rFonts w:ascii="仿宋_GB2312" w:hAnsi="仿宋_GB2312" w:eastAsia="仿宋_GB2312" w:cs="仿宋_GB2312"/>
          <w:sz w:val="32"/>
          <w:szCs w:val="32"/>
        </w:rPr>
        <w:t>严格执行公告公示制度，对县级产业到户项目实施方案进行公告，对项目申报、验收结果等关键环节进行公示，主动接受社会各界监督。</w:t>
      </w:r>
    </w:p>
    <w:p>
      <w:pPr>
        <w:pStyle w:val="20"/>
        <w:keepNext w:val="0"/>
        <w:keepLines w:val="0"/>
        <w:pageBreakBefore w:val="0"/>
        <w:widowControl/>
        <w:kinsoku/>
        <w:overflowPunct/>
        <w:topLinePunct w:val="0"/>
        <w:autoSpaceDN/>
        <w:bidi w:val="0"/>
        <w:adjustRightInd/>
        <w:snapToGrid/>
        <w:spacing w:line="560" w:lineRule="exact"/>
        <w:ind w:firstLine="640"/>
        <w:textAlignment w:val="auto"/>
        <w:rPr>
          <w:rFonts w:hint="eastAsia" w:ascii="黑体" w:hAnsi="黑体" w:eastAsia="黑体" w:cs="黑体"/>
          <w:sz w:val="32"/>
          <w:szCs w:val="32"/>
        </w:rPr>
      </w:pPr>
      <w:r>
        <w:rPr>
          <w:rFonts w:hint="eastAsia" w:ascii="黑体" w:hAnsi="黑体" w:eastAsia="黑体" w:cs="黑体"/>
          <w:sz w:val="32"/>
          <w:szCs w:val="32"/>
        </w:rPr>
        <w:t>六、利益联结机制</w:t>
      </w:r>
    </w:p>
    <w:p>
      <w:pPr>
        <w:pStyle w:val="20"/>
        <w:keepNext w:val="0"/>
        <w:keepLines w:val="0"/>
        <w:pageBreakBefore w:val="0"/>
        <w:widowControl/>
        <w:kinsoku/>
        <w:overflowPunct/>
        <w:topLinePunct w:val="0"/>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一是减少脱贫户及监测对象生产投入，项目实施预计可节省150户脱贫户、监测对象林果修剪投入6.7849万元。二是激励脱贫户、监测对象</w:t>
      </w:r>
      <w:r>
        <w:rPr>
          <w:rFonts w:hint="eastAsia" w:ascii="仿宋_GB2312" w:hAnsi="仿宋_GB2312" w:eastAsia="仿宋_GB2312" w:cs="仿宋_GB2312"/>
          <w:sz w:val="32"/>
          <w:szCs w:val="32"/>
          <w:lang w:val="en-US" w:eastAsia="zh-CN"/>
        </w:rPr>
        <w:t>积极开展</w:t>
      </w:r>
      <w:r>
        <w:rPr>
          <w:rFonts w:hint="eastAsia" w:ascii="仿宋_GB2312" w:hAnsi="仿宋_GB2312" w:eastAsia="仿宋_GB2312" w:cs="仿宋_GB2312"/>
          <w:sz w:val="32"/>
          <w:szCs w:val="32"/>
        </w:rPr>
        <w:t>林果修剪工作，提高林果产量和品质，进而带动农户生产积极性。三是通过项目的实施，进一步提升群众修剪技术，提高农业技能水平，为持续推动林业发展奠定基础。</w:t>
      </w:r>
    </w:p>
    <w:p>
      <w:pPr>
        <w:pStyle w:val="20"/>
        <w:keepNext w:val="0"/>
        <w:keepLines w:val="0"/>
        <w:pageBreakBefore w:val="0"/>
        <w:widowControl/>
        <w:kinsoku/>
        <w:overflowPunct/>
        <w:topLinePunct w:val="0"/>
        <w:autoSpaceDN/>
        <w:bidi w:val="0"/>
        <w:adjustRightInd/>
        <w:snapToGrid/>
        <w:spacing w:line="560" w:lineRule="exact"/>
        <w:ind w:firstLine="640"/>
        <w:textAlignment w:val="auto"/>
        <w:rPr>
          <w:rFonts w:hint="eastAsia" w:ascii="黑体" w:hAnsi="黑体" w:eastAsia="黑体" w:cs="黑体"/>
          <w:sz w:val="32"/>
          <w:szCs w:val="32"/>
        </w:rPr>
      </w:pPr>
      <w:r>
        <w:rPr>
          <w:rFonts w:hint="eastAsia" w:ascii="黑体" w:hAnsi="黑体" w:eastAsia="黑体" w:cs="黑体"/>
          <w:sz w:val="32"/>
          <w:szCs w:val="32"/>
        </w:rPr>
        <w:t>七、项目绩效目标及效益分析</w:t>
      </w:r>
    </w:p>
    <w:p>
      <w:pPr>
        <w:pStyle w:val="20"/>
        <w:keepNext w:val="0"/>
        <w:keepLines w:val="0"/>
        <w:pageBreakBefore w:val="0"/>
        <w:widowControl/>
        <w:kinsoku/>
        <w:overflowPunct/>
        <w:topLinePunct w:val="0"/>
        <w:autoSpaceDN/>
        <w:bidi w:val="0"/>
        <w:adjustRightInd/>
        <w:snapToGrid/>
        <w:spacing w:line="560" w:lineRule="exact"/>
        <w:ind w:firstLine="64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1、年度总体目标：</w:t>
      </w:r>
      <w:r>
        <w:rPr>
          <w:rFonts w:hint="eastAsia" w:ascii="仿宋_GB2312" w:hAnsi="仿宋_GB2312" w:eastAsia="仿宋_GB2312" w:cs="仿宋_GB2312"/>
          <w:sz w:val="32"/>
          <w:szCs w:val="32"/>
        </w:rPr>
        <w:t>计划对郭勒布依乡脱贫户及监测户种植的杏树和枣树开展整形修剪给予补助。其中：对5户脱贫户和监测对象种植的31.7亩枣树进行修剪，每亩补助110元，小计约0.3487万元；对145户脱贫户及监测对象种植的757.2亩杏树进行修剪，每亩补助85元，小计约6.4362万元。项目总投资约6.7849万元。（最终补助亩数以实际发生量为准）。</w:t>
      </w:r>
    </w:p>
    <w:p>
      <w:pPr>
        <w:keepNext w:val="0"/>
        <w:keepLines w:val="0"/>
        <w:pageBreakBefore w:val="0"/>
        <w:widowControl/>
        <w:kinsoku/>
        <w:overflowPunct/>
        <w:topLinePunct w:val="0"/>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rPr>
        <w:t>2、</w:t>
      </w:r>
      <w:r>
        <w:rPr>
          <w:rFonts w:hint="eastAsia" w:ascii="仿宋_GB2312" w:hAnsi="仿宋_GB2312" w:eastAsia="仿宋_GB2312" w:cs="仿宋_GB2312"/>
          <w:b/>
          <w:bCs/>
          <w:sz w:val="32"/>
          <w:szCs w:val="32"/>
          <w:lang w:val="en-US" w:eastAsia="zh-CN"/>
        </w:rPr>
        <w:t>经济效益：</w:t>
      </w:r>
      <w:r>
        <w:rPr>
          <w:rFonts w:hint="eastAsia" w:ascii="仿宋_GB2312" w:hAnsi="仿宋_GB2312" w:eastAsia="仿宋_GB2312" w:cs="仿宋_GB2312"/>
          <w:b w:val="0"/>
          <w:bCs w:val="0"/>
          <w:sz w:val="32"/>
          <w:szCs w:val="32"/>
          <w:lang w:val="en-US" w:eastAsia="zh-CN"/>
        </w:rPr>
        <w:t>通过项目实施，促进当地林果产业的发展，提高脱贫户和监测对象的经济收入，当年可带动增加脱贫户及监测对象全年总收入6.7849万元。</w:t>
      </w:r>
    </w:p>
    <w:p>
      <w:pPr>
        <w:keepNext w:val="0"/>
        <w:keepLines w:val="0"/>
        <w:pageBreakBefore w:val="0"/>
        <w:widowControl/>
        <w:kinsoku/>
        <w:overflowPunct/>
        <w:topLinePunct w:val="0"/>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社会效益：</w:t>
      </w:r>
      <w:r>
        <w:rPr>
          <w:rFonts w:hint="eastAsia" w:ascii="仿宋_GB2312" w:hAnsi="仿宋_GB2312" w:eastAsia="仿宋_GB2312" w:cs="仿宋_GB2312"/>
          <w:sz w:val="32"/>
          <w:szCs w:val="32"/>
        </w:rPr>
        <w:t>通过项目实施，激发农民种植杏树和枣树的积极性，吸引更多农民参与到特色农业发展中来，项目受益脱贫户及监测户人口数不低于150人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为农村经济发展注入新的活力。</w:t>
      </w:r>
    </w:p>
    <w:p>
      <w:pPr>
        <w:pStyle w:val="20"/>
        <w:keepNext w:val="0"/>
        <w:keepLines w:val="0"/>
        <w:pageBreakBefore w:val="0"/>
        <w:widowControl/>
        <w:kinsoku/>
        <w:overflowPunct/>
        <w:topLinePunct w:val="0"/>
        <w:autoSpaceDN/>
        <w:bidi w:val="0"/>
        <w:adjustRightInd/>
        <w:snapToGrid/>
        <w:spacing w:line="560" w:lineRule="exact"/>
        <w:ind w:firstLine="64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、服务对象满意度：</w:t>
      </w:r>
      <w:r>
        <w:rPr>
          <w:rFonts w:hint="eastAsia" w:ascii="仿宋_GB2312" w:hAnsi="仿宋_GB2312" w:eastAsia="仿宋_GB2312" w:cs="仿宋_GB2312"/>
          <w:sz w:val="32"/>
          <w:szCs w:val="32"/>
        </w:rPr>
        <w:t>通过项目的有效实施，提高农民对政策和服务的满意度，增强他们的获得感和幸福感。该项目建成后预计受益脱贫户及监测人口满意度达到9</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%以上。</w:t>
      </w:r>
    </w:p>
    <w:p>
      <w:pPr>
        <w:pStyle w:val="20"/>
        <w:keepNext w:val="0"/>
        <w:keepLines w:val="0"/>
        <w:pageBreakBefore w:val="0"/>
        <w:widowControl/>
        <w:numPr>
          <w:ilvl w:val="0"/>
          <w:numId w:val="2"/>
        </w:numPr>
        <w:kinsoku/>
        <w:overflowPunct/>
        <w:topLinePunct w:val="0"/>
        <w:autoSpaceDN/>
        <w:bidi w:val="0"/>
        <w:adjustRightInd/>
        <w:snapToGrid/>
        <w:spacing w:line="560" w:lineRule="exact"/>
        <w:ind w:firstLine="640"/>
        <w:textAlignment w:val="auto"/>
        <w:rPr>
          <w:rFonts w:hint="eastAsia" w:ascii="黑体" w:hAnsi="黑体" w:eastAsia="黑体" w:cs="黑体"/>
          <w:sz w:val="32"/>
          <w:szCs w:val="32"/>
        </w:rPr>
      </w:pPr>
      <w:r>
        <w:rPr>
          <w:rFonts w:hint="eastAsia" w:ascii="黑体" w:hAnsi="黑体" w:eastAsia="黑体" w:cs="黑体"/>
          <w:sz w:val="32"/>
          <w:szCs w:val="32"/>
        </w:rPr>
        <w:t>风险防范机制</w:t>
      </w:r>
    </w:p>
    <w:p>
      <w:pPr>
        <w:pStyle w:val="20"/>
        <w:keepNext w:val="0"/>
        <w:keepLines w:val="0"/>
        <w:pageBreakBefore w:val="0"/>
        <w:widowControl/>
        <w:kinsoku/>
        <w:overflowPunct/>
        <w:topLinePunct w:val="0"/>
        <w:autoSpaceDN/>
        <w:bidi w:val="0"/>
        <w:adjustRightInd/>
        <w:snapToGrid/>
        <w:spacing w:line="560" w:lineRule="exact"/>
        <w:ind w:firstLine="640"/>
        <w:textAlignment w:val="auto"/>
        <w:rPr>
          <w:rFonts w:ascii="仿宋_GB2312" w:hAnsi="Calibri" w:eastAsia="仿宋_GB2312" w:cs="Times New Roman"/>
          <w:sz w:val="32"/>
          <w:szCs w:val="32"/>
        </w:rPr>
      </w:pPr>
      <w:r>
        <w:rPr>
          <w:rFonts w:hint="eastAsia" w:ascii="楷体_GB2312" w:hAnsi="楷体_GB2312" w:eastAsia="楷体_GB2312" w:cs="楷体_GB2312"/>
          <w:b/>
          <w:bCs/>
          <w:sz w:val="32"/>
          <w:szCs w:val="32"/>
        </w:rPr>
        <w:t>（一）主要风险因素。</w:t>
      </w:r>
      <w:r>
        <w:rPr>
          <w:rFonts w:hint="eastAsia" w:ascii="仿宋_GB2312" w:eastAsia="仿宋_GB2312" w:cs="Times New Roman"/>
          <w:b/>
          <w:bCs/>
          <w:sz w:val="32"/>
          <w:szCs w:val="32"/>
        </w:rPr>
        <w:t>一是</w:t>
      </w:r>
      <w:r>
        <w:rPr>
          <w:rFonts w:hint="eastAsia" w:ascii="仿宋_GB2312" w:eastAsia="仿宋_GB2312" w:cs="Times New Roman"/>
          <w:sz w:val="32"/>
          <w:szCs w:val="32"/>
        </w:rPr>
        <w:t>天气风险，不利的天气条件，可能影响杏树的生长和产量。</w:t>
      </w:r>
      <w:r>
        <w:rPr>
          <w:rFonts w:hint="eastAsia" w:ascii="仿宋_GB2312" w:eastAsia="仿宋_GB2312" w:cs="Times New Roman"/>
          <w:b/>
          <w:bCs/>
          <w:sz w:val="32"/>
          <w:szCs w:val="32"/>
        </w:rPr>
        <w:t>二是</w:t>
      </w:r>
      <w:r>
        <w:rPr>
          <w:rFonts w:hint="eastAsia" w:ascii="仿宋_GB2312" w:eastAsia="仿宋_GB2312" w:cs="Times New Roman"/>
          <w:sz w:val="32"/>
          <w:szCs w:val="32"/>
        </w:rPr>
        <w:t>市场风，市场价格的波动可能导致种植户的收入不稳定。</w:t>
      </w:r>
      <w:r>
        <w:rPr>
          <w:rFonts w:hint="eastAsia" w:ascii="仿宋_GB2312" w:eastAsia="仿宋_GB2312" w:cs="Times New Roman"/>
          <w:b/>
          <w:bCs/>
          <w:sz w:val="32"/>
          <w:szCs w:val="32"/>
        </w:rPr>
        <w:t>三是</w:t>
      </w:r>
      <w:r>
        <w:rPr>
          <w:rFonts w:hint="eastAsia" w:ascii="仿宋_GB2312" w:eastAsia="仿宋_GB2312" w:cs="Times New Roman"/>
          <w:sz w:val="32"/>
          <w:szCs w:val="32"/>
        </w:rPr>
        <w:t>病虫害风，病虫害的发生和传播可能严重影响杏树的产量和质量</w:t>
      </w:r>
      <w:r>
        <w:rPr>
          <w:rFonts w:hint="eastAsia" w:ascii="仿宋_GB2312" w:hAnsi="Calibri" w:eastAsia="仿宋_GB2312" w:cs="Times New Roman"/>
          <w:sz w:val="32"/>
          <w:szCs w:val="32"/>
        </w:rPr>
        <w:t>。</w:t>
      </w:r>
    </w:p>
    <w:p>
      <w:pPr>
        <w:pStyle w:val="20"/>
        <w:keepNext w:val="0"/>
        <w:keepLines w:val="0"/>
        <w:pageBreakBefore w:val="0"/>
        <w:widowControl/>
        <w:kinsoku/>
        <w:wordWrap w:val="0"/>
        <w:overflowPunct/>
        <w:topLinePunct w:val="0"/>
        <w:autoSpaceDN/>
        <w:bidi w:val="0"/>
        <w:adjustRightInd/>
        <w:snapToGrid/>
        <w:spacing w:line="560" w:lineRule="exact"/>
        <w:ind w:firstLine="640"/>
        <w:textAlignment w:val="auto"/>
        <w:outlineLvl w:val="0"/>
        <w:rPr>
          <w:rFonts w:ascii="Times New Roman" w:hAnsi="Times New Roman" w:eastAsia="黑体" w:cs="Times New Roman"/>
          <w:sz w:val="32"/>
          <w:szCs w:val="32"/>
        </w:rPr>
      </w:pPr>
      <w:r>
        <w:rPr>
          <w:rFonts w:hint="eastAsia" w:ascii="楷体_GB2312" w:hAnsi="楷体_GB2312" w:eastAsia="楷体_GB2312" w:cs="楷体_GB2312"/>
          <w:b/>
          <w:bCs/>
          <w:sz w:val="32"/>
          <w:szCs w:val="32"/>
        </w:rPr>
        <w:t>（二）防范化解措施。</w:t>
      </w:r>
      <w:r>
        <w:rPr>
          <w:rFonts w:hint="eastAsia" w:ascii="仿宋_GB2312" w:eastAsia="仿宋_GB2312" w:cs="Times New Roman"/>
          <w:b/>
          <w:bCs/>
          <w:sz w:val="32"/>
          <w:szCs w:val="32"/>
        </w:rPr>
        <w:t>一是</w:t>
      </w:r>
      <w:r>
        <w:rPr>
          <w:rFonts w:hint="eastAsia" w:ascii="仿宋_GB2312" w:eastAsia="仿宋_GB2312" w:cs="Times New Roman"/>
          <w:sz w:val="32"/>
          <w:szCs w:val="32"/>
        </w:rPr>
        <w:t>通过与气象部门对接，及时为种植户提供天气信息，帮助他们做好应对措施。</w:t>
      </w:r>
      <w:r>
        <w:rPr>
          <w:rFonts w:hint="eastAsia" w:ascii="仿宋_GB2312" w:eastAsia="仿宋_GB2312" w:cs="Times New Roman"/>
          <w:b/>
          <w:bCs/>
          <w:sz w:val="32"/>
          <w:szCs w:val="32"/>
        </w:rPr>
        <w:t>二是</w:t>
      </w:r>
      <w:r>
        <w:rPr>
          <w:rFonts w:hint="eastAsia" w:ascii="仿宋_GB2312" w:eastAsia="仿宋_GB2312" w:cs="Times New Roman"/>
          <w:sz w:val="32"/>
          <w:szCs w:val="32"/>
        </w:rPr>
        <w:t>鼓励种植户通过合作社，进行统一销售，增强市场议价能力。同时，开拓多个销售渠道，减少对市场波动的依赖。</w:t>
      </w:r>
      <w:r>
        <w:rPr>
          <w:rFonts w:hint="eastAsia" w:ascii="仿宋_GB2312" w:eastAsia="仿宋_GB2312" w:cs="Times New Roman"/>
          <w:b/>
          <w:bCs/>
          <w:sz w:val="32"/>
          <w:szCs w:val="32"/>
        </w:rPr>
        <w:t>三是</w:t>
      </w:r>
      <w:r>
        <w:rPr>
          <w:rFonts w:hint="eastAsia" w:ascii="仿宋_GB2312" w:eastAsia="仿宋_GB2312" w:cs="Times New Roman"/>
          <w:sz w:val="32"/>
          <w:szCs w:val="32"/>
        </w:rPr>
        <w:t>建立病虫害防治体系，包括定期巡查、监测和防治，确保病虫害得到及时控制。</w:t>
      </w:r>
    </w:p>
    <w:sectPr>
      <w:footerReference r:id="rId3" w:type="default"/>
      <w:pgSz w:w="11906" w:h="16838"/>
      <w:pgMar w:top="2098" w:right="1531" w:bottom="1984" w:left="1531" w:header="851" w:footer="992" w:gutter="0"/>
      <w:pgNumType w:start="1"/>
      <w:cols w:space="425"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37A1B02-5BFC-4803-A72C-341702C5822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0C4F9648-51E5-40D3-8B58-7E452B5650F9}"/>
  </w:font>
  <w:font w:name="等线">
    <w:altName w:val="微软雅黑"/>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0" w:usb1="00000000" w:usb2="00000000" w:usb3="00000000" w:csb0="00000000" w:csb1="00000000"/>
    <w:embedRegular r:id="rId3" w:fontKey="{D46E299D-268F-44FE-8495-7E0C68967BAC}"/>
  </w:font>
  <w:font w:name="HYb2gj">
    <w:altName w:val="宋体"/>
    <w:panose1 w:val="00000000000000000000"/>
    <w:charset w:val="86"/>
    <w:family w:val="modern"/>
    <w:pitch w:val="default"/>
    <w:sig w:usb0="00000000" w:usb1="00000000" w:usb2="00000010" w:usb3="00000000" w:csb0="00040000" w:csb1="00000000"/>
  </w:font>
  <w:font w:name="方正小标宋简体">
    <w:panose1 w:val="02010600010101010101"/>
    <w:charset w:val="86"/>
    <w:family w:val="script"/>
    <w:pitch w:val="default"/>
    <w:sig w:usb0="00000000" w:usb1="00000000" w:usb2="00000000" w:usb3="00000000" w:csb0="00000000" w:csb1="00000000"/>
    <w:embedRegular r:id="rId4" w:fontKey="{8C03DEFE-3AA9-4004-A8FE-C112C4CDDD67}"/>
  </w:font>
  <w:font w:name="方正黑体简体">
    <w:altName w:val="微软雅黑"/>
    <w:panose1 w:val="00000000000000000000"/>
    <w:charset w:val="86"/>
    <w:family w:val="auto"/>
    <w:pitch w:val="default"/>
    <w:sig w:usb0="00000000" w:usb1="00000000" w:usb2="00000012" w:usb3="00000000" w:csb0="00040001" w:csb1="00000000"/>
    <w:embedRegular r:id="rId5" w:fontKey="{B9E65EBD-00F5-4E9B-933D-2FCAD1DA0177}"/>
  </w:font>
  <w:font w:name="楷体_GB2312">
    <w:altName w:val="楷体"/>
    <w:panose1 w:val="00000000000000000000"/>
    <w:charset w:val="86"/>
    <w:family w:val="auto"/>
    <w:pitch w:val="default"/>
    <w:sig w:usb0="00000000" w:usb1="00000000" w:usb2="00000000" w:usb3="00000000" w:csb0="00040000" w:csb1="00000000"/>
    <w:embedRegular r:id="rId6" w:fontKey="{E186952D-E909-4FB0-8F89-73C47ED6161F}"/>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4"/>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B70BBD"/>
    <w:multiLevelType w:val="singleLevel"/>
    <w:tmpl w:val="33B70BBD"/>
    <w:lvl w:ilvl="0" w:tentative="0">
      <w:start w:val="8"/>
      <w:numFmt w:val="chineseCounting"/>
      <w:suff w:val="nothing"/>
      <w:lvlText w:val="%1、"/>
      <w:lvlJc w:val="left"/>
      <w:rPr>
        <w:rFonts w:hint="eastAsia"/>
      </w:rPr>
    </w:lvl>
  </w:abstractNum>
  <w:abstractNum w:abstractNumId="1">
    <w:nsid w:val="6447F876"/>
    <w:multiLevelType w:val="singleLevel"/>
    <w:tmpl w:val="6447F876"/>
    <w:lvl w:ilvl="0" w:tentative="0">
      <w:start w:val="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TrueTypeFonts/>
  <w:saveSubsetFonts/>
  <w:bordersDoNotSurroundHeader w:val="1"/>
  <w:bordersDoNotSurroundFooter w:val="1"/>
  <w:documentProtection w:enforcement="0"/>
  <w:defaultTabStop w:val="420"/>
  <w:drawingGridHorizontalSpacing w:val="105"/>
  <w:drawingGridVerticalSpacing w:val="143"/>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2Y2FmYjQyOWZhZmQ2YjRkNjk5MzJhZGViOTNmZjcifQ=="/>
  </w:docVars>
  <w:rsids>
    <w:rsidRoot w:val="00DC3189"/>
    <w:rsid w:val="00032652"/>
    <w:rsid w:val="00036ACC"/>
    <w:rsid w:val="00076947"/>
    <w:rsid w:val="00087736"/>
    <w:rsid w:val="00096F1A"/>
    <w:rsid w:val="000E5574"/>
    <w:rsid w:val="001C0158"/>
    <w:rsid w:val="00262C09"/>
    <w:rsid w:val="00286DB6"/>
    <w:rsid w:val="00290EF7"/>
    <w:rsid w:val="00297288"/>
    <w:rsid w:val="002E3369"/>
    <w:rsid w:val="00352A52"/>
    <w:rsid w:val="00363422"/>
    <w:rsid w:val="0036566E"/>
    <w:rsid w:val="004078D8"/>
    <w:rsid w:val="00407F2D"/>
    <w:rsid w:val="00413284"/>
    <w:rsid w:val="00473849"/>
    <w:rsid w:val="004B669C"/>
    <w:rsid w:val="00577A4A"/>
    <w:rsid w:val="00621D50"/>
    <w:rsid w:val="00673CF9"/>
    <w:rsid w:val="0069269D"/>
    <w:rsid w:val="006A3388"/>
    <w:rsid w:val="006C78E8"/>
    <w:rsid w:val="0071553B"/>
    <w:rsid w:val="00764173"/>
    <w:rsid w:val="00766F60"/>
    <w:rsid w:val="007A1D64"/>
    <w:rsid w:val="007B6F9F"/>
    <w:rsid w:val="007D144E"/>
    <w:rsid w:val="00805AD4"/>
    <w:rsid w:val="00863C87"/>
    <w:rsid w:val="00911AE0"/>
    <w:rsid w:val="00921AA7"/>
    <w:rsid w:val="0092513B"/>
    <w:rsid w:val="00937D6B"/>
    <w:rsid w:val="009C5AFD"/>
    <w:rsid w:val="00A0692A"/>
    <w:rsid w:val="00A06F97"/>
    <w:rsid w:val="00A21A15"/>
    <w:rsid w:val="00A400FD"/>
    <w:rsid w:val="00AD3E67"/>
    <w:rsid w:val="00AE783D"/>
    <w:rsid w:val="00B24B29"/>
    <w:rsid w:val="00B30F7C"/>
    <w:rsid w:val="00CC437B"/>
    <w:rsid w:val="00CD4C38"/>
    <w:rsid w:val="00CE5209"/>
    <w:rsid w:val="00DA7A75"/>
    <w:rsid w:val="00DB72B5"/>
    <w:rsid w:val="00DC3189"/>
    <w:rsid w:val="00E165F2"/>
    <w:rsid w:val="00FE6723"/>
    <w:rsid w:val="01116A59"/>
    <w:rsid w:val="01177506"/>
    <w:rsid w:val="01785971"/>
    <w:rsid w:val="01A445CD"/>
    <w:rsid w:val="020E7EB7"/>
    <w:rsid w:val="028E41B6"/>
    <w:rsid w:val="02A42BE4"/>
    <w:rsid w:val="03436BE4"/>
    <w:rsid w:val="03D734D7"/>
    <w:rsid w:val="04D83E57"/>
    <w:rsid w:val="052F6418"/>
    <w:rsid w:val="05AE5714"/>
    <w:rsid w:val="05DA2C4A"/>
    <w:rsid w:val="06B10330"/>
    <w:rsid w:val="07361C6E"/>
    <w:rsid w:val="075958B7"/>
    <w:rsid w:val="07CD4BA0"/>
    <w:rsid w:val="08056438"/>
    <w:rsid w:val="083057A9"/>
    <w:rsid w:val="0836280F"/>
    <w:rsid w:val="087D3500"/>
    <w:rsid w:val="08C77E27"/>
    <w:rsid w:val="08D7580D"/>
    <w:rsid w:val="08D8146D"/>
    <w:rsid w:val="09083799"/>
    <w:rsid w:val="090B02AF"/>
    <w:rsid w:val="096C5DA2"/>
    <w:rsid w:val="096E162E"/>
    <w:rsid w:val="097B6566"/>
    <w:rsid w:val="09AD0D67"/>
    <w:rsid w:val="09B64435"/>
    <w:rsid w:val="09E51B8D"/>
    <w:rsid w:val="09EC7DEC"/>
    <w:rsid w:val="0A1B7CB6"/>
    <w:rsid w:val="0A371FFD"/>
    <w:rsid w:val="0A516F5C"/>
    <w:rsid w:val="0AE100FA"/>
    <w:rsid w:val="0B284441"/>
    <w:rsid w:val="0B2B0859"/>
    <w:rsid w:val="0B716871"/>
    <w:rsid w:val="0BD36893"/>
    <w:rsid w:val="0BE37978"/>
    <w:rsid w:val="0BEE2A4E"/>
    <w:rsid w:val="0C166CC9"/>
    <w:rsid w:val="0C420151"/>
    <w:rsid w:val="0CD1749B"/>
    <w:rsid w:val="0CDD0A00"/>
    <w:rsid w:val="0D247C69"/>
    <w:rsid w:val="0D3545AD"/>
    <w:rsid w:val="0DB42066"/>
    <w:rsid w:val="0DC428D4"/>
    <w:rsid w:val="0DCC0649"/>
    <w:rsid w:val="0DD22BC1"/>
    <w:rsid w:val="0E4023C8"/>
    <w:rsid w:val="0E552DBD"/>
    <w:rsid w:val="0E7B366B"/>
    <w:rsid w:val="0E904197"/>
    <w:rsid w:val="0EB406A2"/>
    <w:rsid w:val="0EEC56DC"/>
    <w:rsid w:val="0EF13C13"/>
    <w:rsid w:val="0F0D0B4F"/>
    <w:rsid w:val="0F2F3CE0"/>
    <w:rsid w:val="0F395D94"/>
    <w:rsid w:val="0F456D21"/>
    <w:rsid w:val="0F531F31"/>
    <w:rsid w:val="0F5B2E28"/>
    <w:rsid w:val="0FBD5310"/>
    <w:rsid w:val="0FE47879"/>
    <w:rsid w:val="0FFD5F03"/>
    <w:rsid w:val="10443E66"/>
    <w:rsid w:val="104B5DDF"/>
    <w:rsid w:val="119F5C04"/>
    <w:rsid w:val="11B35E0E"/>
    <w:rsid w:val="11CA149B"/>
    <w:rsid w:val="11D024E1"/>
    <w:rsid w:val="12283488"/>
    <w:rsid w:val="12652732"/>
    <w:rsid w:val="127E270B"/>
    <w:rsid w:val="12B368D2"/>
    <w:rsid w:val="12B730C8"/>
    <w:rsid w:val="12E571A7"/>
    <w:rsid w:val="12F7354C"/>
    <w:rsid w:val="12FF0EBB"/>
    <w:rsid w:val="13E0300B"/>
    <w:rsid w:val="13F23AD7"/>
    <w:rsid w:val="13F5190F"/>
    <w:rsid w:val="140122B5"/>
    <w:rsid w:val="14116B2D"/>
    <w:rsid w:val="14200F92"/>
    <w:rsid w:val="142B2958"/>
    <w:rsid w:val="14812B5A"/>
    <w:rsid w:val="14A31EB4"/>
    <w:rsid w:val="14B86A66"/>
    <w:rsid w:val="14CE752C"/>
    <w:rsid w:val="15125987"/>
    <w:rsid w:val="152157FD"/>
    <w:rsid w:val="1527592D"/>
    <w:rsid w:val="15295722"/>
    <w:rsid w:val="16151A7E"/>
    <w:rsid w:val="161827C2"/>
    <w:rsid w:val="1643065D"/>
    <w:rsid w:val="167754B6"/>
    <w:rsid w:val="16C86822"/>
    <w:rsid w:val="16DE72E6"/>
    <w:rsid w:val="16E23C1A"/>
    <w:rsid w:val="170A66D3"/>
    <w:rsid w:val="18187E25"/>
    <w:rsid w:val="187A69D1"/>
    <w:rsid w:val="18AC6517"/>
    <w:rsid w:val="18DE232D"/>
    <w:rsid w:val="192C033B"/>
    <w:rsid w:val="19820CA5"/>
    <w:rsid w:val="198621F3"/>
    <w:rsid w:val="19A22A0F"/>
    <w:rsid w:val="19B06372"/>
    <w:rsid w:val="19D41F6E"/>
    <w:rsid w:val="19E21473"/>
    <w:rsid w:val="1A154F7A"/>
    <w:rsid w:val="1A2D3B01"/>
    <w:rsid w:val="1A584B63"/>
    <w:rsid w:val="1A756453"/>
    <w:rsid w:val="1AF0078F"/>
    <w:rsid w:val="1B131F67"/>
    <w:rsid w:val="1B371E16"/>
    <w:rsid w:val="1B423649"/>
    <w:rsid w:val="1B6A434C"/>
    <w:rsid w:val="1B827D86"/>
    <w:rsid w:val="1BC25F36"/>
    <w:rsid w:val="1C045905"/>
    <w:rsid w:val="1C3569DC"/>
    <w:rsid w:val="1C582D52"/>
    <w:rsid w:val="1C5F2F93"/>
    <w:rsid w:val="1C8929A4"/>
    <w:rsid w:val="1D007F39"/>
    <w:rsid w:val="1D1A2AEF"/>
    <w:rsid w:val="1D6A15B7"/>
    <w:rsid w:val="1DA9341C"/>
    <w:rsid w:val="1DBC259B"/>
    <w:rsid w:val="1DCB729F"/>
    <w:rsid w:val="1E0B5B6D"/>
    <w:rsid w:val="1E273F0B"/>
    <w:rsid w:val="1E49277D"/>
    <w:rsid w:val="1E4B6E3B"/>
    <w:rsid w:val="1E63368A"/>
    <w:rsid w:val="1E771155"/>
    <w:rsid w:val="1EB36D5A"/>
    <w:rsid w:val="1F1E0C61"/>
    <w:rsid w:val="1F4A6418"/>
    <w:rsid w:val="1F895FE4"/>
    <w:rsid w:val="1F9E42DB"/>
    <w:rsid w:val="1FB15127"/>
    <w:rsid w:val="1FBF69A5"/>
    <w:rsid w:val="1FD038AE"/>
    <w:rsid w:val="1FE4412E"/>
    <w:rsid w:val="2088250C"/>
    <w:rsid w:val="20C82C13"/>
    <w:rsid w:val="20F3081A"/>
    <w:rsid w:val="20F32A83"/>
    <w:rsid w:val="20FF4153"/>
    <w:rsid w:val="210E5779"/>
    <w:rsid w:val="21134E87"/>
    <w:rsid w:val="211B0A84"/>
    <w:rsid w:val="21263030"/>
    <w:rsid w:val="215E3D12"/>
    <w:rsid w:val="21911504"/>
    <w:rsid w:val="21BE0C5F"/>
    <w:rsid w:val="21CC5938"/>
    <w:rsid w:val="21DF0EC4"/>
    <w:rsid w:val="22344119"/>
    <w:rsid w:val="22406588"/>
    <w:rsid w:val="224E70D2"/>
    <w:rsid w:val="22AF5101"/>
    <w:rsid w:val="22B60F85"/>
    <w:rsid w:val="22E774C6"/>
    <w:rsid w:val="23194C6F"/>
    <w:rsid w:val="23547864"/>
    <w:rsid w:val="236B585D"/>
    <w:rsid w:val="237F0D8F"/>
    <w:rsid w:val="24182361"/>
    <w:rsid w:val="243C392B"/>
    <w:rsid w:val="24AA3A0B"/>
    <w:rsid w:val="24D503B0"/>
    <w:rsid w:val="25243F0A"/>
    <w:rsid w:val="253C1821"/>
    <w:rsid w:val="25921683"/>
    <w:rsid w:val="25C3081F"/>
    <w:rsid w:val="261A0C88"/>
    <w:rsid w:val="2695007B"/>
    <w:rsid w:val="26D734FC"/>
    <w:rsid w:val="27D578EA"/>
    <w:rsid w:val="27F163B4"/>
    <w:rsid w:val="28004C7E"/>
    <w:rsid w:val="28A87AF9"/>
    <w:rsid w:val="28BC6F65"/>
    <w:rsid w:val="28C77DB6"/>
    <w:rsid w:val="28F626BB"/>
    <w:rsid w:val="290A4913"/>
    <w:rsid w:val="29136C27"/>
    <w:rsid w:val="29320B8B"/>
    <w:rsid w:val="294E4763"/>
    <w:rsid w:val="2A700ACC"/>
    <w:rsid w:val="2AF41D2D"/>
    <w:rsid w:val="2B11796D"/>
    <w:rsid w:val="2B800988"/>
    <w:rsid w:val="2BDF10A3"/>
    <w:rsid w:val="2BF93323"/>
    <w:rsid w:val="2C8B24A1"/>
    <w:rsid w:val="2CAE5C91"/>
    <w:rsid w:val="2D0C5252"/>
    <w:rsid w:val="2D55796B"/>
    <w:rsid w:val="2D5C628E"/>
    <w:rsid w:val="2D6708F6"/>
    <w:rsid w:val="2D8717AD"/>
    <w:rsid w:val="2DC66C82"/>
    <w:rsid w:val="2DE513DA"/>
    <w:rsid w:val="2E3A337F"/>
    <w:rsid w:val="2E7E45F4"/>
    <w:rsid w:val="2EDD19B7"/>
    <w:rsid w:val="2F082C51"/>
    <w:rsid w:val="2F2B4DE5"/>
    <w:rsid w:val="2FBA00DA"/>
    <w:rsid w:val="2FDB5282"/>
    <w:rsid w:val="300E01FF"/>
    <w:rsid w:val="30DE3093"/>
    <w:rsid w:val="30E64A32"/>
    <w:rsid w:val="30EA75E9"/>
    <w:rsid w:val="316157C9"/>
    <w:rsid w:val="31637B44"/>
    <w:rsid w:val="316927C8"/>
    <w:rsid w:val="31AC7919"/>
    <w:rsid w:val="31C71B00"/>
    <w:rsid w:val="320C1554"/>
    <w:rsid w:val="331D51B9"/>
    <w:rsid w:val="33A446A3"/>
    <w:rsid w:val="33D75BD0"/>
    <w:rsid w:val="342A11E4"/>
    <w:rsid w:val="34493E1B"/>
    <w:rsid w:val="34804598"/>
    <w:rsid w:val="348A55FA"/>
    <w:rsid w:val="34C15B79"/>
    <w:rsid w:val="34DC6A1B"/>
    <w:rsid w:val="34FA6152"/>
    <w:rsid w:val="353C420B"/>
    <w:rsid w:val="358330E8"/>
    <w:rsid w:val="359E2012"/>
    <w:rsid w:val="35C02D85"/>
    <w:rsid w:val="35E32180"/>
    <w:rsid w:val="368E1FC7"/>
    <w:rsid w:val="36A72079"/>
    <w:rsid w:val="37392BC8"/>
    <w:rsid w:val="374B0846"/>
    <w:rsid w:val="37754E57"/>
    <w:rsid w:val="37E071AC"/>
    <w:rsid w:val="37EB0EB5"/>
    <w:rsid w:val="37F70FF4"/>
    <w:rsid w:val="380A00E0"/>
    <w:rsid w:val="380D2F31"/>
    <w:rsid w:val="38380467"/>
    <w:rsid w:val="383C0704"/>
    <w:rsid w:val="388F565A"/>
    <w:rsid w:val="38C216F9"/>
    <w:rsid w:val="38C25789"/>
    <w:rsid w:val="38D670DB"/>
    <w:rsid w:val="38DC4423"/>
    <w:rsid w:val="38E938EA"/>
    <w:rsid w:val="39171F72"/>
    <w:rsid w:val="393479F0"/>
    <w:rsid w:val="3948288A"/>
    <w:rsid w:val="399B2A05"/>
    <w:rsid w:val="3A0E5F65"/>
    <w:rsid w:val="3A323883"/>
    <w:rsid w:val="3A6B2966"/>
    <w:rsid w:val="3A9866DD"/>
    <w:rsid w:val="3ADA59FE"/>
    <w:rsid w:val="3B3F0B90"/>
    <w:rsid w:val="3BF201AD"/>
    <w:rsid w:val="3BF91D00"/>
    <w:rsid w:val="3C0D761B"/>
    <w:rsid w:val="3C8D220B"/>
    <w:rsid w:val="3CC175AA"/>
    <w:rsid w:val="3CE04670"/>
    <w:rsid w:val="3CEC23BE"/>
    <w:rsid w:val="3D470AB4"/>
    <w:rsid w:val="3DA81F7D"/>
    <w:rsid w:val="3DF26BEC"/>
    <w:rsid w:val="3E32465D"/>
    <w:rsid w:val="3E3B5A64"/>
    <w:rsid w:val="3E3D6612"/>
    <w:rsid w:val="3F6F42A7"/>
    <w:rsid w:val="3FA62A94"/>
    <w:rsid w:val="3FAC311E"/>
    <w:rsid w:val="3FC53D2D"/>
    <w:rsid w:val="40206491"/>
    <w:rsid w:val="40861EE7"/>
    <w:rsid w:val="40894AB8"/>
    <w:rsid w:val="40974AB5"/>
    <w:rsid w:val="40C635A0"/>
    <w:rsid w:val="40E8622B"/>
    <w:rsid w:val="41000EA9"/>
    <w:rsid w:val="411C478F"/>
    <w:rsid w:val="413B7A6D"/>
    <w:rsid w:val="414D005C"/>
    <w:rsid w:val="416B1D41"/>
    <w:rsid w:val="417D38E1"/>
    <w:rsid w:val="41B92019"/>
    <w:rsid w:val="422E6AE7"/>
    <w:rsid w:val="4236223D"/>
    <w:rsid w:val="43B05159"/>
    <w:rsid w:val="43C006FD"/>
    <w:rsid w:val="43E63263"/>
    <w:rsid w:val="449E66EC"/>
    <w:rsid w:val="44C30F33"/>
    <w:rsid w:val="44E4203B"/>
    <w:rsid w:val="45600103"/>
    <w:rsid w:val="45A40235"/>
    <w:rsid w:val="46267F5D"/>
    <w:rsid w:val="46440B3F"/>
    <w:rsid w:val="46E23958"/>
    <w:rsid w:val="46FF2710"/>
    <w:rsid w:val="47134CBF"/>
    <w:rsid w:val="4749297D"/>
    <w:rsid w:val="474B4782"/>
    <w:rsid w:val="47D35B24"/>
    <w:rsid w:val="47DF33D7"/>
    <w:rsid w:val="480A3D88"/>
    <w:rsid w:val="48183088"/>
    <w:rsid w:val="48677E36"/>
    <w:rsid w:val="487857FB"/>
    <w:rsid w:val="48851045"/>
    <w:rsid w:val="489836A6"/>
    <w:rsid w:val="48AD31A1"/>
    <w:rsid w:val="48B97788"/>
    <w:rsid w:val="48C10ABE"/>
    <w:rsid w:val="49426D14"/>
    <w:rsid w:val="497004D0"/>
    <w:rsid w:val="49D64AA5"/>
    <w:rsid w:val="4A3C32E7"/>
    <w:rsid w:val="4A6C2B28"/>
    <w:rsid w:val="4A72580A"/>
    <w:rsid w:val="4A814340"/>
    <w:rsid w:val="4AB3716D"/>
    <w:rsid w:val="4BC53D6B"/>
    <w:rsid w:val="4BD25714"/>
    <w:rsid w:val="4C046EBE"/>
    <w:rsid w:val="4C1653C0"/>
    <w:rsid w:val="4C2E58E4"/>
    <w:rsid w:val="4C402EA4"/>
    <w:rsid w:val="4C4B4C72"/>
    <w:rsid w:val="4C6C0DE5"/>
    <w:rsid w:val="4CAA29DF"/>
    <w:rsid w:val="4CF211C8"/>
    <w:rsid w:val="4D216948"/>
    <w:rsid w:val="4D354462"/>
    <w:rsid w:val="4D4B59DE"/>
    <w:rsid w:val="4D7D76EC"/>
    <w:rsid w:val="4DC412E5"/>
    <w:rsid w:val="4E0A570C"/>
    <w:rsid w:val="4E387864"/>
    <w:rsid w:val="4E700287"/>
    <w:rsid w:val="4EBA5510"/>
    <w:rsid w:val="4EBC5CFA"/>
    <w:rsid w:val="4EC33E62"/>
    <w:rsid w:val="4EC419AB"/>
    <w:rsid w:val="4EE15774"/>
    <w:rsid w:val="4F1D615D"/>
    <w:rsid w:val="4F320C29"/>
    <w:rsid w:val="4F554228"/>
    <w:rsid w:val="4F596105"/>
    <w:rsid w:val="4F603919"/>
    <w:rsid w:val="4FF20970"/>
    <w:rsid w:val="503D0A8A"/>
    <w:rsid w:val="506D21D1"/>
    <w:rsid w:val="507F123F"/>
    <w:rsid w:val="50883ADF"/>
    <w:rsid w:val="5112507E"/>
    <w:rsid w:val="514A76D3"/>
    <w:rsid w:val="51714E82"/>
    <w:rsid w:val="51866FE1"/>
    <w:rsid w:val="51972912"/>
    <w:rsid w:val="51CD2F5E"/>
    <w:rsid w:val="52221A07"/>
    <w:rsid w:val="52537240"/>
    <w:rsid w:val="52986D95"/>
    <w:rsid w:val="5376227B"/>
    <w:rsid w:val="53940426"/>
    <w:rsid w:val="53AA1A7C"/>
    <w:rsid w:val="54167421"/>
    <w:rsid w:val="543D137B"/>
    <w:rsid w:val="54642F01"/>
    <w:rsid w:val="549E5941"/>
    <w:rsid w:val="54DE4AFD"/>
    <w:rsid w:val="54E43974"/>
    <w:rsid w:val="55176041"/>
    <w:rsid w:val="555D26AE"/>
    <w:rsid w:val="55E52AC8"/>
    <w:rsid w:val="55F414FE"/>
    <w:rsid w:val="56A47A0A"/>
    <w:rsid w:val="56DE2805"/>
    <w:rsid w:val="573A2260"/>
    <w:rsid w:val="575D12DB"/>
    <w:rsid w:val="577026F5"/>
    <w:rsid w:val="578477EC"/>
    <w:rsid w:val="57B454EE"/>
    <w:rsid w:val="57D416E6"/>
    <w:rsid w:val="57DC421F"/>
    <w:rsid w:val="581E5E85"/>
    <w:rsid w:val="582834C7"/>
    <w:rsid w:val="5829782A"/>
    <w:rsid w:val="58506960"/>
    <w:rsid w:val="585245EA"/>
    <w:rsid w:val="585C1150"/>
    <w:rsid w:val="58804DAE"/>
    <w:rsid w:val="58806610"/>
    <w:rsid w:val="58D33741"/>
    <w:rsid w:val="58F559C1"/>
    <w:rsid w:val="58F635BE"/>
    <w:rsid w:val="59396F1D"/>
    <w:rsid w:val="59671F79"/>
    <w:rsid w:val="59CD0958"/>
    <w:rsid w:val="5A634AFF"/>
    <w:rsid w:val="5A693511"/>
    <w:rsid w:val="5AE415A8"/>
    <w:rsid w:val="5B585A78"/>
    <w:rsid w:val="5BD82630"/>
    <w:rsid w:val="5C280E92"/>
    <w:rsid w:val="5C6555EA"/>
    <w:rsid w:val="5CBB2533"/>
    <w:rsid w:val="5D207CD9"/>
    <w:rsid w:val="5D4C5140"/>
    <w:rsid w:val="5D7F12F8"/>
    <w:rsid w:val="5D894746"/>
    <w:rsid w:val="5D9E4C90"/>
    <w:rsid w:val="5DF54C4E"/>
    <w:rsid w:val="5DFA3D2A"/>
    <w:rsid w:val="5E340B80"/>
    <w:rsid w:val="5E9362D9"/>
    <w:rsid w:val="5EC241BB"/>
    <w:rsid w:val="5ECE6214"/>
    <w:rsid w:val="5F382406"/>
    <w:rsid w:val="5F7A7BD9"/>
    <w:rsid w:val="5F8C6AEA"/>
    <w:rsid w:val="5FE46A8A"/>
    <w:rsid w:val="600B2963"/>
    <w:rsid w:val="60297C4B"/>
    <w:rsid w:val="6047094D"/>
    <w:rsid w:val="60EB5670"/>
    <w:rsid w:val="610408B9"/>
    <w:rsid w:val="61C51ACA"/>
    <w:rsid w:val="61D90241"/>
    <w:rsid w:val="62130FBC"/>
    <w:rsid w:val="622D0D14"/>
    <w:rsid w:val="627D12E5"/>
    <w:rsid w:val="62926DC6"/>
    <w:rsid w:val="62B3109F"/>
    <w:rsid w:val="63087A1C"/>
    <w:rsid w:val="630D4511"/>
    <w:rsid w:val="63883D49"/>
    <w:rsid w:val="6406057A"/>
    <w:rsid w:val="647A293F"/>
    <w:rsid w:val="64B322C3"/>
    <w:rsid w:val="64E42A92"/>
    <w:rsid w:val="651C7271"/>
    <w:rsid w:val="651F2C6E"/>
    <w:rsid w:val="652A5785"/>
    <w:rsid w:val="653900B9"/>
    <w:rsid w:val="654D104A"/>
    <w:rsid w:val="657A4646"/>
    <w:rsid w:val="6598198D"/>
    <w:rsid w:val="65B42642"/>
    <w:rsid w:val="66C327CC"/>
    <w:rsid w:val="67274EDF"/>
    <w:rsid w:val="674555B8"/>
    <w:rsid w:val="67996803"/>
    <w:rsid w:val="67A04B07"/>
    <w:rsid w:val="67A936CD"/>
    <w:rsid w:val="67E10D4D"/>
    <w:rsid w:val="67F337E4"/>
    <w:rsid w:val="688E5553"/>
    <w:rsid w:val="688E5DD9"/>
    <w:rsid w:val="68A35D74"/>
    <w:rsid w:val="68AF43BD"/>
    <w:rsid w:val="68C232DD"/>
    <w:rsid w:val="68F01DB0"/>
    <w:rsid w:val="69D83933"/>
    <w:rsid w:val="6A1145A2"/>
    <w:rsid w:val="6A53091D"/>
    <w:rsid w:val="6A57093B"/>
    <w:rsid w:val="6A8A77F8"/>
    <w:rsid w:val="6AB778B5"/>
    <w:rsid w:val="6AF428B7"/>
    <w:rsid w:val="6B880F32"/>
    <w:rsid w:val="6BBF6F53"/>
    <w:rsid w:val="6BE046A9"/>
    <w:rsid w:val="6C1E5EED"/>
    <w:rsid w:val="6C8A23EF"/>
    <w:rsid w:val="6D012174"/>
    <w:rsid w:val="6D08008A"/>
    <w:rsid w:val="6D4C2400"/>
    <w:rsid w:val="6D6E5895"/>
    <w:rsid w:val="6DD40286"/>
    <w:rsid w:val="6DD60F11"/>
    <w:rsid w:val="6E0E2564"/>
    <w:rsid w:val="6E2B7723"/>
    <w:rsid w:val="6E4C1A59"/>
    <w:rsid w:val="6E5D3252"/>
    <w:rsid w:val="6E99049C"/>
    <w:rsid w:val="6ECF6082"/>
    <w:rsid w:val="6EF308E2"/>
    <w:rsid w:val="6F20289D"/>
    <w:rsid w:val="6F5E604B"/>
    <w:rsid w:val="6FAE132F"/>
    <w:rsid w:val="6FB8461B"/>
    <w:rsid w:val="6FF73669"/>
    <w:rsid w:val="70221C74"/>
    <w:rsid w:val="70603D8A"/>
    <w:rsid w:val="70894D7A"/>
    <w:rsid w:val="70FA5687"/>
    <w:rsid w:val="710829C9"/>
    <w:rsid w:val="71752277"/>
    <w:rsid w:val="71A02309"/>
    <w:rsid w:val="71A162FD"/>
    <w:rsid w:val="71E46B34"/>
    <w:rsid w:val="720C249A"/>
    <w:rsid w:val="721E0247"/>
    <w:rsid w:val="724F33FE"/>
    <w:rsid w:val="725E77E9"/>
    <w:rsid w:val="727D2D8F"/>
    <w:rsid w:val="72EB4D5A"/>
    <w:rsid w:val="731068D5"/>
    <w:rsid w:val="73363025"/>
    <w:rsid w:val="73444732"/>
    <w:rsid w:val="73A030CD"/>
    <w:rsid w:val="73BC516B"/>
    <w:rsid w:val="73C17E66"/>
    <w:rsid w:val="73F97F2D"/>
    <w:rsid w:val="73FA64E0"/>
    <w:rsid w:val="740D0B8C"/>
    <w:rsid w:val="743C7FCD"/>
    <w:rsid w:val="743D6AC0"/>
    <w:rsid w:val="74440C64"/>
    <w:rsid w:val="74D0214E"/>
    <w:rsid w:val="74E55540"/>
    <w:rsid w:val="755A5377"/>
    <w:rsid w:val="75B0385B"/>
    <w:rsid w:val="75DB17B6"/>
    <w:rsid w:val="75EC10B4"/>
    <w:rsid w:val="76585D2C"/>
    <w:rsid w:val="76717125"/>
    <w:rsid w:val="77370207"/>
    <w:rsid w:val="77845627"/>
    <w:rsid w:val="7822693F"/>
    <w:rsid w:val="785D4CDD"/>
    <w:rsid w:val="78645CBE"/>
    <w:rsid w:val="787D2714"/>
    <w:rsid w:val="78D63F44"/>
    <w:rsid w:val="791132E0"/>
    <w:rsid w:val="79117F4B"/>
    <w:rsid w:val="791D58D8"/>
    <w:rsid w:val="79507900"/>
    <w:rsid w:val="79F251F2"/>
    <w:rsid w:val="7A4738BE"/>
    <w:rsid w:val="7B1B0EAC"/>
    <w:rsid w:val="7B4D233C"/>
    <w:rsid w:val="7B715045"/>
    <w:rsid w:val="7B9C58B1"/>
    <w:rsid w:val="7C602412"/>
    <w:rsid w:val="7C616EEB"/>
    <w:rsid w:val="7CC964BD"/>
    <w:rsid w:val="7D8C3056"/>
    <w:rsid w:val="7E36196D"/>
    <w:rsid w:val="7E400642"/>
    <w:rsid w:val="7EAB20EB"/>
    <w:rsid w:val="7ED36144"/>
    <w:rsid w:val="7F014507"/>
    <w:rsid w:val="7F0A4B82"/>
    <w:rsid w:val="7F205F8A"/>
    <w:rsid w:val="7F4A2BC9"/>
    <w:rsid w:val="7F536C2F"/>
    <w:rsid w:val="7F803831"/>
    <w:rsid w:val="7FB025C0"/>
    <w:rsid w:val="7FD452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5">
    <w:name w:val="heading 1"/>
    <w:basedOn w:val="1"/>
    <w:next w:val="1"/>
    <w:link w:val="19"/>
    <w:qFormat/>
    <w:uiPriority w:val="9"/>
    <w:pPr>
      <w:keepNext/>
      <w:keepLines/>
      <w:spacing w:before="340" w:after="330" w:line="578" w:lineRule="auto"/>
      <w:outlineLvl w:val="0"/>
    </w:pPr>
    <w:rPr>
      <w:rFonts w:ascii="Times New Roman" w:hAnsi="Times New Roman" w:eastAsia="黑体" w:cs="Arial"/>
      <w:b/>
      <w:bCs/>
      <w:kern w:val="44"/>
      <w:sz w:val="28"/>
      <w:szCs w:val="44"/>
    </w:rPr>
  </w:style>
  <w:style w:type="paragraph" w:styleId="6">
    <w:name w:val="heading 3"/>
    <w:basedOn w:val="1"/>
    <w:next w:val="1"/>
    <w:qFormat/>
    <w:uiPriority w:val="99"/>
    <w:pPr>
      <w:keepNext/>
      <w:keepLines/>
      <w:spacing w:before="260" w:after="260" w:line="416" w:lineRule="auto"/>
      <w:outlineLvl w:val="2"/>
    </w:pPr>
    <w:rPr>
      <w:b/>
      <w:bCs/>
      <w:sz w:val="32"/>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2">
    <w:name w:val="Body Text First Indent1"/>
    <w:basedOn w:val="3"/>
    <w:next w:val="1"/>
    <w:qFormat/>
    <w:uiPriority w:val="0"/>
    <w:pPr>
      <w:spacing w:after="0"/>
      <w:ind w:firstLine="200" w:firstLineChars="200"/>
    </w:pPr>
  </w:style>
  <w:style w:type="paragraph" w:styleId="3">
    <w:name w:val="Body Text"/>
    <w:basedOn w:val="1"/>
    <w:next w:val="4"/>
    <w:qFormat/>
    <w:uiPriority w:val="0"/>
    <w:pPr>
      <w:spacing w:after="120"/>
    </w:pPr>
  </w:style>
  <w:style w:type="paragraph" w:styleId="4">
    <w:name w:val="footer"/>
    <w:basedOn w:val="1"/>
    <w:next w:val="1"/>
    <w:link w:val="22"/>
    <w:unhideWhenUsed/>
    <w:qFormat/>
    <w:uiPriority w:val="99"/>
    <w:pPr>
      <w:tabs>
        <w:tab w:val="center" w:pos="4153"/>
        <w:tab w:val="right" w:pos="8306"/>
      </w:tabs>
      <w:snapToGrid w:val="0"/>
      <w:jc w:val="left"/>
    </w:pPr>
    <w:rPr>
      <w:sz w:val="18"/>
      <w:szCs w:val="18"/>
    </w:rPr>
  </w:style>
  <w:style w:type="paragraph" w:styleId="7">
    <w:name w:val="annotation text"/>
    <w:basedOn w:val="1"/>
    <w:qFormat/>
    <w:uiPriority w:val="0"/>
    <w:pPr>
      <w:jc w:val="left"/>
    </w:pPr>
  </w:style>
  <w:style w:type="paragraph" w:styleId="8">
    <w:name w:val="Body Text Indent"/>
    <w:basedOn w:val="1"/>
    <w:qFormat/>
    <w:uiPriority w:val="99"/>
    <w:pPr>
      <w:spacing w:after="120"/>
      <w:ind w:left="420" w:leftChars="200"/>
    </w:pPr>
  </w:style>
  <w:style w:type="paragraph" w:styleId="9">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rPr>
      <w:sz w:val="24"/>
    </w:rPr>
  </w:style>
  <w:style w:type="paragraph" w:styleId="11">
    <w:name w:val="Title"/>
    <w:basedOn w:val="1"/>
    <w:next w:val="1"/>
    <w:qFormat/>
    <w:uiPriority w:val="0"/>
    <w:pPr>
      <w:spacing w:before="240" w:after="60"/>
      <w:jc w:val="center"/>
      <w:outlineLvl w:val="0"/>
    </w:pPr>
    <w:rPr>
      <w:rFonts w:ascii="Arial" w:hAnsi="Arial" w:cs="Arial"/>
      <w:b/>
      <w:bCs/>
      <w:sz w:val="32"/>
      <w:szCs w:val="32"/>
    </w:rPr>
  </w:style>
  <w:style w:type="paragraph" w:styleId="12">
    <w:name w:val="Body Text First Indent 2"/>
    <w:basedOn w:val="8"/>
    <w:qFormat/>
    <w:uiPriority w:val="99"/>
    <w:pPr>
      <w:ind w:firstLine="420" w:firstLineChars="200"/>
    </w:p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unhideWhenUsed/>
    <w:qFormat/>
    <w:uiPriority w:val="99"/>
    <w:rPr>
      <w:color w:val="0000FF"/>
      <w:u w:val="single"/>
    </w:rPr>
  </w:style>
  <w:style w:type="paragraph" w:customStyle="1" w:styleId="17">
    <w:name w:val="_Style 1"/>
    <w:qFormat/>
    <w:uiPriority w:val="99"/>
    <w:pPr>
      <w:widowControl w:val="0"/>
      <w:ind w:firstLine="200" w:firstLineChars="200"/>
      <w:jc w:val="both"/>
    </w:pPr>
    <w:rPr>
      <w:rFonts w:ascii="Times New Roman" w:hAnsi="Times New Roman" w:eastAsia="仿宋_GB2312" w:cs="Times New Roman"/>
      <w:kern w:val="2"/>
      <w:sz w:val="24"/>
      <w:szCs w:val="22"/>
      <w:lang w:val="en-US" w:eastAsia="zh-CN" w:bidi="ar-SA"/>
    </w:rPr>
  </w:style>
  <w:style w:type="paragraph" w:customStyle="1" w:styleId="18">
    <w:name w:val="Default"/>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character" w:customStyle="1" w:styleId="19">
    <w:name w:val="标题 1 字符"/>
    <w:basedOn w:val="15"/>
    <w:link w:val="5"/>
    <w:qFormat/>
    <w:uiPriority w:val="9"/>
    <w:rPr>
      <w:rFonts w:ascii="Times New Roman" w:hAnsi="Times New Roman" w:eastAsia="黑体" w:cs="Arial"/>
      <w:b/>
      <w:bCs/>
      <w:kern w:val="44"/>
      <w:sz w:val="28"/>
      <w:szCs w:val="44"/>
    </w:rPr>
  </w:style>
  <w:style w:type="paragraph" w:customStyle="1" w:styleId="20">
    <w:name w:val="列表段落1"/>
    <w:basedOn w:val="1"/>
    <w:qFormat/>
    <w:uiPriority w:val="34"/>
    <w:pPr>
      <w:ind w:firstLine="420" w:firstLineChars="200"/>
    </w:pPr>
  </w:style>
  <w:style w:type="character" w:customStyle="1" w:styleId="21">
    <w:name w:val="页眉 字符"/>
    <w:basedOn w:val="15"/>
    <w:link w:val="9"/>
    <w:qFormat/>
    <w:uiPriority w:val="99"/>
    <w:rPr>
      <w:sz w:val="18"/>
      <w:szCs w:val="18"/>
    </w:rPr>
  </w:style>
  <w:style w:type="character" w:customStyle="1" w:styleId="22">
    <w:name w:val="页脚 字符"/>
    <w:basedOn w:val="15"/>
    <w:link w:val="4"/>
    <w:qFormat/>
    <w:uiPriority w:val="99"/>
    <w:rPr>
      <w:sz w:val="18"/>
      <w:szCs w:val="18"/>
    </w:rPr>
  </w:style>
  <w:style w:type="character" w:customStyle="1" w:styleId="23">
    <w:name w:val="font01"/>
    <w:basedOn w:val="15"/>
    <w:qFormat/>
    <w:uiPriority w:val="0"/>
    <w:rPr>
      <w:rFonts w:ascii="Arial" w:hAnsi="Arial" w:cs="Arial"/>
      <w:color w:val="000000"/>
      <w:sz w:val="20"/>
      <w:szCs w:val="20"/>
      <w:u w:val="none"/>
    </w:rPr>
  </w:style>
  <w:style w:type="character" w:customStyle="1" w:styleId="24">
    <w:name w:val="font61"/>
    <w:basedOn w:val="15"/>
    <w:qFormat/>
    <w:uiPriority w:val="0"/>
    <w:rPr>
      <w:rFonts w:hint="eastAsia" w:ascii="宋体" w:hAnsi="宋体" w:eastAsia="宋体" w:cs="宋体"/>
      <w:color w:val="000000"/>
      <w:sz w:val="20"/>
      <w:szCs w:val="20"/>
      <w:u w:val="none"/>
    </w:rPr>
  </w:style>
  <w:style w:type="character" w:customStyle="1" w:styleId="25">
    <w:name w:val="font41"/>
    <w:basedOn w:val="15"/>
    <w:qFormat/>
    <w:uiPriority w:val="0"/>
    <w:rPr>
      <w:rFonts w:hint="default" w:ascii="Courier New" w:hAnsi="Courier New" w:cs="Courier New"/>
      <w:color w:val="000000"/>
      <w:sz w:val="20"/>
      <w:szCs w:val="20"/>
      <w:u w:val="none"/>
    </w:rPr>
  </w:style>
  <w:style w:type="character" w:customStyle="1" w:styleId="26">
    <w:name w:val="font21"/>
    <w:basedOn w:val="15"/>
    <w:qFormat/>
    <w:uiPriority w:val="0"/>
    <w:rPr>
      <w:rFonts w:hint="eastAsia" w:ascii="宋体" w:hAnsi="宋体" w:eastAsia="宋体" w:cs="宋体"/>
      <w:color w:val="000000"/>
      <w:sz w:val="20"/>
      <w:szCs w:val="20"/>
      <w:u w:val="none"/>
    </w:rPr>
  </w:style>
  <w:style w:type="paragraph" w:styleId="27">
    <w:name w:val="List Paragraph"/>
    <w:basedOn w:val="1"/>
    <w:qFormat/>
    <w:uiPriority w:val="34"/>
    <w:pPr>
      <w:ind w:firstLine="420" w:firstLineChars="200"/>
    </w:pPr>
  </w:style>
  <w:style w:type="character" w:customStyle="1" w:styleId="28">
    <w:name w:val="font11"/>
    <w:basedOn w:val="15"/>
    <w:qFormat/>
    <w:uiPriority w:val="0"/>
    <w:rPr>
      <w:rFonts w:hint="default" w:ascii="Courier New" w:hAnsi="Courier New" w:cs="Courier New"/>
      <w:color w:val="000000"/>
      <w:sz w:val="20"/>
      <w:szCs w:val="20"/>
      <w:u w:val="none"/>
    </w:rPr>
  </w:style>
  <w:style w:type="character" w:customStyle="1" w:styleId="29">
    <w:name w:val="font51"/>
    <w:basedOn w:val="15"/>
    <w:qFormat/>
    <w:uiPriority w:val="0"/>
    <w:rPr>
      <w:rFonts w:hint="eastAsia" w:ascii="宋体" w:hAnsi="宋体" w:eastAsia="宋体" w:cs="宋体"/>
      <w:color w:val="000000"/>
      <w:sz w:val="20"/>
      <w:szCs w:val="20"/>
      <w:u w:val="none"/>
    </w:rPr>
  </w:style>
  <w:style w:type="character" w:customStyle="1" w:styleId="30">
    <w:name w:val="font71"/>
    <w:basedOn w:val="15"/>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3293</Words>
  <Characters>3457</Characters>
  <Lines>25</Lines>
  <Paragraphs>7</Paragraphs>
  <TotalTime>2</TotalTime>
  <ScaleCrop>false</ScaleCrop>
  <LinksUpToDate>false</LinksUpToDate>
  <CharactersWithSpaces>3563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2020-01-26T00:42:00Z</dcterms:created>
  <dc:creator>ThinkPad</dc:creator>
  <cp:lastModifiedBy>Administrator</cp:lastModifiedBy>
  <cp:lastPrinted>2021-06-22T12:25:00Z</cp:lastPrinted>
  <dcterms:modified xsi:type="dcterms:W3CDTF">2025-07-01T11:13:32Z</dcterms:modified>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0D20697AC81D480CA6BDF312B32E6BC1_13</vt:lpwstr>
  </property>
  <property fmtid="{D5CDD505-2E9C-101B-9397-08002B2CF9AE}" pid="4" name="KSOTemplateDocerSaveRecord">
    <vt:lpwstr>eyJoZGlkIjoiMGViYjFjMmIwMDJjMWYwZTEyYTM2YTY5OTY1ZThiNWIiLCJ1c2VySWQiOiI0MDgzNTQxMjQifQ==</vt:lpwstr>
  </property>
</Properties>
</file>