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spacing w:line="560" w:lineRule="exact"/>
        <w:jc w:val="center"/>
        <w:rPr>
          <w:rFonts w:hint="eastAsia" w:ascii="宋体" w:hAnsi="宋体" w:cs="宋体"/>
          <w:kern w:val="0"/>
          <w:sz w:val="44"/>
          <w:szCs w:val="44"/>
        </w:rPr>
      </w:pPr>
      <w:r>
        <w:rPr>
          <w:rFonts w:hint="eastAsia"/>
        </w:rPr>
        <w:tab/>
      </w:r>
    </w:p>
    <w:p>
      <w:pPr>
        <w:spacing w:line="360" w:lineRule="auto"/>
        <w:jc w:val="center"/>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kern w:val="0"/>
          <w:sz w:val="44"/>
          <w:szCs w:val="44"/>
        </w:rPr>
        <w:t>郭勒布依乡开斯克尔村设施农业基地配套项目</w:t>
      </w:r>
      <w:r>
        <w:rPr>
          <w:rFonts w:hint="eastAsia" w:ascii="方正小标宋简体" w:hAnsi="方正小标宋简体" w:eastAsia="方正小标宋简体" w:cs="方正小标宋简体"/>
          <w:sz w:val="44"/>
          <w:szCs w:val="44"/>
        </w:rPr>
        <w:t>实施方案</w:t>
      </w: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880"/>
        <w:rPr>
          <w:rFonts w:hint="eastAsia" w:ascii="方正小标宋简体" w:hAnsi="方正小标宋简体" w:eastAsia="方正小标宋简体" w:cs="方正小标宋简体"/>
          <w:sz w:val="44"/>
          <w:szCs w:val="44"/>
        </w:rPr>
      </w:pPr>
    </w:p>
    <w:p>
      <w:pPr>
        <w:pStyle w:val="11"/>
        <w:keepNext/>
        <w:spacing w:line="560" w:lineRule="exact"/>
        <w:ind w:firstLine="0" w:firstLineChars="0"/>
        <w:rPr>
          <w:rFonts w:hint="eastAsia" w:ascii="方正小标宋简体" w:hAnsi="方正小标宋简体" w:eastAsia="方正小标宋简体" w:cs="方正小标宋简体"/>
          <w:sz w:val="44"/>
          <w:szCs w:val="44"/>
        </w:rPr>
      </w:pPr>
    </w:p>
    <w:p>
      <w:pPr>
        <w:keepNext/>
        <w:keepLines w:val="0"/>
        <w:pageBreakBefore w:val="0"/>
        <w:widowControl w:val="0"/>
        <w:kinsoku/>
        <w:wordWrap/>
        <w:overflowPunct/>
        <w:topLinePunct w:val="0"/>
        <w:autoSpaceDE/>
        <w:autoSpaceDN/>
        <w:bidi w:val="0"/>
        <w:adjustRightInd/>
        <w:snapToGrid/>
        <w:spacing w:line="560" w:lineRule="exact"/>
        <w:ind w:leftChars="100"/>
        <w:textAlignment w:val="auto"/>
        <w:rPr>
          <w:rFonts w:hint="eastAsia" w:ascii="黑体" w:hAnsi="黑体" w:eastAsia="黑体" w:cs="黑体"/>
          <w:sz w:val="32"/>
          <w:szCs w:val="32"/>
        </w:rPr>
      </w:pPr>
      <w:r>
        <w:rPr>
          <w:rFonts w:hint="eastAsia" w:ascii="黑体" w:hAnsi="黑体" w:eastAsia="黑体" w:cs="黑体"/>
          <w:sz w:val="32"/>
          <w:szCs w:val="32"/>
        </w:rPr>
        <w:t>项</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名</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称：郭勒布依乡开斯克尔村设施农业基地配套项目</w:t>
      </w:r>
    </w:p>
    <w:p>
      <w:pPr>
        <w:keepNext/>
        <w:keepLines w:val="0"/>
        <w:pageBreakBefore w:val="0"/>
        <w:widowControl w:val="0"/>
        <w:kinsoku/>
        <w:wordWrap/>
        <w:overflowPunct/>
        <w:topLinePunct w:val="0"/>
        <w:autoSpaceDE/>
        <w:autoSpaceDN/>
        <w:bidi w:val="0"/>
        <w:adjustRightInd/>
        <w:snapToGrid/>
        <w:spacing w:line="560" w:lineRule="exact"/>
        <w:ind w:leftChars="100"/>
        <w:textAlignment w:val="auto"/>
        <w:rPr>
          <w:rFonts w:hint="eastAsia" w:ascii="黑体" w:hAnsi="黑体" w:eastAsia="黑体" w:cs="黑体"/>
          <w:sz w:val="32"/>
          <w:szCs w:val="32"/>
        </w:rPr>
      </w:pPr>
      <w:r>
        <w:rPr>
          <w:rFonts w:hint="eastAsia" w:ascii="黑体" w:hAnsi="黑体" w:eastAsia="黑体" w:cs="黑体"/>
          <w:sz w:val="32"/>
          <w:szCs w:val="32"/>
        </w:rPr>
        <w:t>项目主管单位：托克逊县农业农村局（乡村振兴局）</w:t>
      </w:r>
    </w:p>
    <w:p>
      <w:pPr>
        <w:keepNext/>
        <w:keepLines w:val="0"/>
        <w:pageBreakBefore w:val="0"/>
        <w:widowControl w:val="0"/>
        <w:kinsoku/>
        <w:wordWrap/>
        <w:overflowPunct/>
        <w:topLinePunct w:val="0"/>
        <w:autoSpaceDE/>
        <w:autoSpaceDN/>
        <w:bidi w:val="0"/>
        <w:adjustRightInd/>
        <w:snapToGrid/>
        <w:spacing w:line="560" w:lineRule="exact"/>
        <w:ind w:leftChars="100"/>
        <w:textAlignment w:val="auto"/>
        <w:rPr>
          <w:rFonts w:hint="eastAsia" w:ascii="黑体" w:hAnsi="黑体" w:eastAsia="黑体" w:cs="黑体"/>
          <w:sz w:val="32"/>
          <w:szCs w:val="32"/>
        </w:rPr>
      </w:pPr>
      <w:r>
        <w:rPr>
          <w:rFonts w:hint="eastAsia" w:ascii="黑体" w:hAnsi="黑体" w:eastAsia="黑体" w:cs="黑体"/>
          <w:sz w:val="32"/>
          <w:szCs w:val="32"/>
        </w:rPr>
        <w:t>项目实施单位：托克逊县郭勒布依乡人民政府</w:t>
      </w:r>
    </w:p>
    <w:p>
      <w:pPr>
        <w:keepNext/>
        <w:keepLines w:val="0"/>
        <w:pageBreakBefore w:val="0"/>
        <w:widowControl w:val="0"/>
        <w:kinsoku/>
        <w:wordWrap/>
        <w:overflowPunct/>
        <w:topLinePunct w:val="0"/>
        <w:autoSpaceDE/>
        <w:autoSpaceDN/>
        <w:bidi w:val="0"/>
        <w:adjustRightInd/>
        <w:snapToGrid/>
        <w:spacing w:line="560" w:lineRule="exact"/>
        <w:ind w:leftChars="100"/>
        <w:textAlignment w:val="auto"/>
        <w:rPr>
          <w:rFonts w:hint="eastAsia" w:ascii="黑体" w:hAnsi="黑体" w:eastAsia="黑体" w:cs="黑体"/>
          <w:sz w:val="32"/>
          <w:szCs w:val="32"/>
        </w:rPr>
      </w:pPr>
      <w:r>
        <w:rPr>
          <w:rFonts w:hint="eastAsia" w:ascii="黑体" w:hAnsi="黑体" w:eastAsia="黑体" w:cs="黑体"/>
          <w:sz w:val="32"/>
          <w:szCs w:val="32"/>
        </w:rPr>
        <w:t>编 制</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 xml:space="preserve"> 时 间：2024年12月21日</w:t>
      </w:r>
    </w:p>
    <w:p>
      <w:pPr>
        <w:keepNext/>
        <w:keepLines w:val="0"/>
        <w:pageBreakBefore w:val="0"/>
        <w:widowControl w:val="0"/>
        <w:kinsoku/>
        <w:wordWrap/>
        <w:overflowPunct/>
        <w:topLinePunct w:val="0"/>
        <w:autoSpaceDE/>
        <w:autoSpaceDN/>
        <w:bidi w:val="0"/>
        <w:adjustRightInd/>
        <w:snapToGrid/>
        <w:spacing w:line="560" w:lineRule="exact"/>
        <w:ind w:left="210" w:leftChars="100"/>
        <w:jc w:val="center"/>
        <w:textAlignment w:val="auto"/>
        <w:rPr>
          <w:rFonts w:hint="eastAsia" w:ascii="方正小标宋简体" w:hAnsi="方正小标宋简体" w:eastAsia="方正小标宋简体" w:cs="方正小标宋简体"/>
          <w:sz w:val="44"/>
          <w:szCs w:val="44"/>
        </w:rPr>
        <w:sectPr>
          <w:pgSz w:w="11906" w:h="16838"/>
          <w:pgMar w:top="2098" w:right="1531" w:bottom="1984" w:left="1531" w:header="851" w:footer="992" w:gutter="0"/>
          <w:pgNumType w:fmt="numberInDash" w:start="1"/>
          <w:cols w:space="425" w:num="1"/>
          <w:docGrid w:type="lines" w:linePitch="312" w:charSpace="0"/>
        </w:sectPr>
      </w:pPr>
    </w:p>
    <w:p>
      <w:pPr>
        <w:keepNext/>
        <w:pageBreakBefore w:val="0"/>
        <w:topLinePunct w:val="0"/>
        <w:bidi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郭勒布依乡开斯克尔村设施农业基地配套项目</w:t>
      </w:r>
    </w:p>
    <w:p>
      <w:pPr>
        <w:keepNext/>
        <w:pageBreakBefore w:val="0"/>
        <w:topLinePunct w:val="0"/>
        <w:bidi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实施方案</w:t>
      </w:r>
    </w:p>
    <w:p>
      <w:pPr>
        <w:pStyle w:val="11"/>
        <w:pageBreakBefore w:val="0"/>
        <w:topLinePunct w:val="0"/>
        <w:bidi w:val="0"/>
        <w:spacing w:line="560" w:lineRule="exact"/>
        <w:ind w:firstLine="480"/>
      </w:pPr>
    </w:p>
    <w:p>
      <w:pPr>
        <w:pageBreakBefore w:val="0"/>
        <w:widowControl/>
        <w:topLinePunct w:val="0"/>
        <w:autoSpaceDE w:val="0"/>
        <w:bidi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一、项目概况</w:t>
      </w:r>
    </w:p>
    <w:p>
      <w:pPr>
        <w:pageBreakBefore w:val="0"/>
        <w:widowControl/>
        <w:topLinePunct w:val="0"/>
        <w:autoSpaceDE w:val="0"/>
        <w:bidi w:val="0"/>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1、项目名称：</w:t>
      </w:r>
      <w:r>
        <w:rPr>
          <w:rFonts w:hint="eastAsia" w:ascii="仿宋_GB2312" w:hAnsi="仿宋_GB2312" w:eastAsia="仿宋_GB2312" w:cs="仿宋_GB2312"/>
          <w:w w:val="90"/>
          <w:sz w:val="32"/>
          <w:szCs w:val="32"/>
        </w:rPr>
        <w:t>郭勒布依乡开斯克尔村设施农业基地配套项目</w:t>
      </w:r>
    </w:p>
    <w:p>
      <w:pPr>
        <w:pageBreakBefore w:val="0"/>
        <w:widowControl/>
        <w:topLinePunct w:val="0"/>
        <w:autoSpaceDE w:val="0"/>
        <w:bidi w:val="0"/>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2、项目库编号：</w:t>
      </w:r>
      <w:r>
        <w:rPr>
          <w:rFonts w:hint="eastAsia" w:ascii="仿宋_GB2312" w:eastAsia="仿宋_GB2312"/>
          <w:sz w:val="32"/>
          <w:szCs w:val="32"/>
        </w:rPr>
        <w:t>TKX0032</w:t>
      </w:r>
    </w:p>
    <w:p>
      <w:pPr>
        <w:pageBreakBefore w:val="0"/>
        <w:widowControl/>
        <w:topLinePunct w:val="0"/>
        <w:bidi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3、项目建设单位及单位负责人：</w:t>
      </w:r>
      <w:r>
        <w:rPr>
          <w:rFonts w:ascii="Times New Roman" w:hAnsi="Times New Roman" w:eastAsia="仿宋_GB2312"/>
          <w:sz w:val="32"/>
          <w:szCs w:val="32"/>
        </w:rPr>
        <w:t>郭勒布依乡人民政府</w:t>
      </w:r>
      <w:r>
        <w:rPr>
          <w:rFonts w:hint="eastAsia" w:ascii="仿宋_GB2312" w:hAnsi="仿宋_GB2312" w:eastAsia="仿宋_GB2312" w:cs="仿宋_GB2312"/>
          <w:sz w:val="32"/>
          <w:szCs w:val="32"/>
        </w:rPr>
        <w:t>（郭勒布依乡党委副书记、乡长 哈里瓦尔·阿不拉克）</w:t>
      </w:r>
    </w:p>
    <w:p>
      <w:pPr>
        <w:pStyle w:val="8"/>
        <w:pageBreakBefore w:val="0"/>
        <w:widowControl/>
        <w:topLinePunct w:val="0"/>
        <w:bidi w:val="0"/>
        <w:spacing w:after="0" w:line="560" w:lineRule="exact"/>
        <w:ind w:left="0" w:leftChars="0" w:firstLine="640"/>
        <w:rPr>
          <w:rFonts w:ascii="Times New Roman" w:hAnsi="Times New Roman" w:eastAsia="仿宋_GB2312"/>
          <w:sz w:val="32"/>
          <w:szCs w:val="32"/>
        </w:rPr>
      </w:pPr>
      <w:r>
        <w:rPr>
          <w:rFonts w:hint="eastAsia" w:ascii="仿宋_GB2312" w:hAnsi="仿宋_GB2312" w:eastAsia="仿宋_GB2312" w:cs="仿宋_GB2312"/>
          <w:b/>
          <w:bCs/>
          <w:sz w:val="32"/>
          <w:szCs w:val="32"/>
        </w:rPr>
        <w:t>项目负责人：</w:t>
      </w:r>
      <w:r>
        <w:rPr>
          <w:rFonts w:hint="eastAsia" w:ascii="仿宋_GB2312" w:hAnsi="仿宋_GB2312" w:eastAsia="仿宋_GB2312" w:cs="仿宋_GB2312"/>
          <w:w w:val="90"/>
          <w:sz w:val="32"/>
          <w:szCs w:val="32"/>
        </w:rPr>
        <w:t xml:space="preserve">哈里瓦尔·阿不拉克 </w:t>
      </w:r>
      <w:r>
        <w:rPr>
          <w:rFonts w:hint="eastAsia" w:ascii="仿宋_GB2312" w:hAnsi="仿宋_GB2312" w:eastAsia="仿宋_GB2312" w:cs="仿宋_GB2312"/>
          <w:b/>
          <w:bCs/>
          <w:sz w:val="32"/>
          <w:szCs w:val="32"/>
        </w:rPr>
        <w:t>4、</w:t>
      </w:r>
      <w:r>
        <w:rPr>
          <w:rFonts w:ascii="仿宋_GB2312" w:hAnsi="仿宋_GB2312" w:eastAsia="仿宋_GB2312" w:cs="仿宋_GB2312"/>
          <w:b/>
          <w:bCs/>
          <w:sz w:val="32"/>
          <w:szCs w:val="32"/>
        </w:rPr>
        <w:t>项目</w:t>
      </w:r>
      <w:r>
        <w:rPr>
          <w:rFonts w:hint="eastAsia" w:ascii="仿宋_GB2312" w:hAnsi="仿宋_GB2312" w:eastAsia="仿宋_GB2312" w:cs="仿宋_GB2312"/>
          <w:b/>
          <w:bCs/>
          <w:sz w:val="32"/>
          <w:szCs w:val="32"/>
        </w:rPr>
        <w:t>行政</w:t>
      </w:r>
      <w:r>
        <w:rPr>
          <w:rFonts w:ascii="仿宋_GB2312" w:hAnsi="仿宋_GB2312" w:eastAsia="仿宋_GB2312" w:cs="仿宋_GB2312"/>
          <w:b/>
          <w:bCs/>
          <w:sz w:val="32"/>
          <w:szCs w:val="32"/>
        </w:rPr>
        <w:t>主管单位</w:t>
      </w:r>
      <w:r>
        <w:rPr>
          <w:rFonts w:hint="eastAsia" w:ascii="仿宋_GB2312" w:hAnsi="仿宋_GB2312" w:eastAsia="仿宋_GB2312" w:cs="仿宋_GB2312"/>
          <w:b/>
          <w:bCs/>
          <w:sz w:val="32"/>
          <w:szCs w:val="32"/>
        </w:rPr>
        <w:t>：</w:t>
      </w:r>
      <w:r>
        <w:rPr>
          <w:rFonts w:ascii="Times New Roman" w:hAnsi="Times New Roman" w:eastAsia="仿宋_GB2312"/>
          <w:sz w:val="32"/>
          <w:szCs w:val="32"/>
        </w:rPr>
        <w:t>托克逊县</w:t>
      </w:r>
      <w:r>
        <w:rPr>
          <w:rFonts w:hint="eastAsia" w:ascii="Times New Roman" w:hAnsi="Times New Roman" w:eastAsia="仿宋_GB2312"/>
          <w:sz w:val="32"/>
          <w:szCs w:val="32"/>
        </w:rPr>
        <w:t>农业农村局（乡村振兴局）</w:t>
      </w:r>
    </w:p>
    <w:p>
      <w:pPr>
        <w:pStyle w:val="8"/>
        <w:pageBreakBefore w:val="0"/>
        <w:widowControl/>
        <w:topLinePunct w:val="0"/>
        <w:bidi w:val="0"/>
        <w:spacing w:after="0" w:line="560" w:lineRule="exact"/>
        <w:ind w:left="0" w:leftChars="0" w:firstLine="64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项目行业主管单位：</w:t>
      </w:r>
      <w:r>
        <w:rPr>
          <w:rFonts w:hint="eastAsia" w:ascii="仿宋_GB2312" w:hAnsi="仿宋_GB2312" w:eastAsia="仿宋_GB2312" w:cs="仿宋_GB2312"/>
          <w:sz w:val="32"/>
          <w:szCs w:val="32"/>
        </w:rPr>
        <w:t>托克逊县供电局</w:t>
      </w:r>
    </w:p>
    <w:p>
      <w:pPr>
        <w:pageBreakBefore w:val="0"/>
        <w:widowControl/>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5、项目建设性质：</w:t>
      </w:r>
      <w:r>
        <w:rPr>
          <w:rFonts w:hint="eastAsia" w:ascii="仿宋_GB2312" w:hAnsi="仿宋_GB2312" w:eastAsia="仿宋_GB2312" w:cs="仿宋_GB2312"/>
          <w:sz w:val="32"/>
          <w:szCs w:val="32"/>
        </w:rPr>
        <w:t>新建</w:t>
      </w:r>
    </w:p>
    <w:p>
      <w:pPr>
        <w:pageBreakBefore w:val="0"/>
        <w:widowControl/>
        <w:topLinePunct w:val="0"/>
        <w:autoSpaceDE w:val="0"/>
        <w:bidi w:val="0"/>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6、项目类别：</w:t>
      </w:r>
      <w:r>
        <w:rPr>
          <w:rFonts w:hint="eastAsia" w:ascii="仿宋_GB2312" w:eastAsia="仿宋_GB2312"/>
          <w:sz w:val="32"/>
          <w:szCs w:val="32"/>
        </w:rPr>
        <w:t>道路等基础设施建设</w:t>
      </w:r>
    </w:p>
    <w:p>
      <w:pPr>
        <w:pageBreakBefore w:val="0"/>
        <w:widowControl/>
        <w:topLinePunct w:val="0"/>
        <w:bidi w:val="0"/>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7、建设地点：</w:t>
      </w:r>
      <w:r>
        <w:rPr>
          <w:rFonts w:hint="eastAsia" w:ascii="仿宋_GB2312" w:hAnsi="仿宋_GB2312" w:eastAsia="仿宋_GB2312" w:cs="仿宋_GB2312"/>
          <w:sz w:val="32"/>
          <w:szCs w:val="32"/>
        </w:rPr>
        <w:t>郭勒布依乡</w:t>
      </w:r>
      <w:r>
        <w:rPr>
          <w:rFonts w:hint="eastAsia" w:ascii="仿宋_GB2312" w:hAnsi="仿宋_GB2312" w:eastAsia="仿宋_GB2312" w:cs="仿宋_GB2312"/>
          <w:w w:val="90"/>
          <w:sz w:val="32"/>
          <w:szCs w:val="32"/>
        </w:rPr>
        <w:t>开斯克尔村</w:t>
      </w:r>
    </w:p>
    <w:p>
      <w:pPr>
        <w:pageBreakBefore w:val="0"/>
        <w:widowControl/>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8、项目总投资：</w:t>
      </w:r>
      <w:r>
        <w:rPr>
          <w:rFonts w:hint="eastAsia" w:ascii="仿宋_GB2312" w:hAnsi="仿宋_GB2312" w:eastAsia="仿宋_GB2312" w:cs="仿宋_GB2312"/>
          <w:sz w:val="32"/>
          <w:szCs w:val="32"/>
        </w:rPr>
        <w:t>总投资100万元</w:t>
      </w:r>
    </w:p>
    <w:p>
      <w:pPr>
        <w:pageBreakBefore w:val="0"/>
        <w:widowControl/>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9、主要建设内容与规模：</w:t>
      </w:r>
      <w:r>
        <w:rPr>
          <w:rFonts w:hint="eastAsia" w:ascii="仿宋_GB2312" w:hAnsi="仿宋_GB2312" w:eastAsia="仿宋_GB2312" w:cs="仿宋_GB2312"/>
          <w:sz w:val="32"/>
          <w:szCs w:val="32"/>
        </w:rPr>
        <w:t>计划对郭勒布依乡开斯克尔村大棚集中连片区更换配电箱145个，更换电缆17千米，预计投资94万元，</w:t>
      </w:r>
      <w:r>
        <w:rPr>
          <w:rFonts w:hint="eastAsia" w:ascii="仿宋_GB2312" w:hAnsi="仿宋_GB2312" w:eastAsia="仿宋_GB2312" w:cs="仿宋_GB2312"/>
          <w:sz w:val="32"/>
          <w:szCs w:val="32"/>
          <w:lang w:eastAsia="zh-CN"/>
        </w:rPr>
        <w:t>其他费用</w:t>
      </w:r>
      <w:r>
        <w:rPr>
          <w:rFonts w:hint="eastAsia" w:ascii="仿宋_GB2312" w:hAnsi="仿宋_GB2312" w:eastAsia="仿宋_GB2312" w:cs="仿宋_GB2312"/>
          <w:sz w:val="32"/>
          <w:szCs w:val="32"/>
        </w:rPr>
        <w:t>6万元，项目总投资约100万元。</w:t>
      </w:r>
    </w:p>
    <w:p>
      <w:pPr>
        <w:pageBreakBefore w:val="0"/>
        <w:widowControl/>
        <w:topLinePunct w:val="0"/>
        <w:autoSpaceDE w:val="0"/>
        <w:bidi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二、项目基本情况及建设的必要性、可行性</w:t>
      </w:r>
    </w:p>
    <w:p>
      <w:pPr>
        <w:pageBreakBefore w:val="0"/>
        <w:kinsoku w:val="0"/>
        <w:overflowPunct w:val="0"/>
        <w:topLinePunct w:val="0"/>
        <w:autoSpaceDE w:val="0"/>
        <w:autoSpaceDN w:val="0"/>
        <w:bidi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1、项目基本情况：</w:t>
      </w:r>
      <w:r>
        <w:rPr>
          <w:rFonts w:hint="eastAsia" w:ascii="仿宋_GB2312" w:hAnsi="仿宋_GB2312" w:eastAsia="仿宋_GB2312" w:cs="仿宋_GB2312"/>
          <w:sz w:val="32"/>
          <w:szCs w:val="32"/>
        </w:rPr>
        <w:t>托克逊县属典型的大陆性暖温带荒漠气候，光热资源丰富，年均气温15.1℃，降水量5.7毫米，盛产红枣、哈密瓜、花生、白高粱、孜然等农副产品。为进一步丰富本地农业产业结构，结合现有资源，计划发展设施农业（大棚种植）产业。一是可以进一步丰富农业种植结构，发展蔬菜、瓜果等特色产业，引领开斯克尔村</w:t>
      </w:r>
      <w:r>
        <w:rPr>
          <w:rFonts w:hint="eastAsia" w:ascii="仿宋_GB2312" w:hAnsi="仿宋_GB2312" w:eastAsia="仿宋_GB2312" w:cs="仿宋_GB2312"/>
          <w:sz w:val="32"/>
          <w:szCs w:val="32"/>
          <w:lang w:eastAsia="zh-CN"/>
        </w:rPr>
        <w:t>群众</w:t>
      </w:r>
      <w:r>
        <w:rPr>
          <w:rFonts w:hint="eastAsia" w:ascii="仿宋_GB2312" w:hAnsi="仿宋_GB2312" w:eastAsia="仿宋_GB2312" w:cs="仿宋_GB2312"/>
          <w:sz w:val="32"/>
          <w:szCs w:val="32"/>
        </w:rPr>
        <w:t>加快产业结构调整步伐。二是可以充分利用现有设施农业资源，通过村委会组织统一流转，增加村集体和群众土地收入。三是增加就业岗位，积极鼓励困难群众参与种植劳动，实现家门口就业，群众可实现土地、工资“双收入”。</w:t>
      </w:r>
    </w:p>
    <w:p>
      <w:pPr>
        <w:pStyle w:val="11"/>
        <w:pageBreakBefore w:val="0"/>
        <w:kinsoku w:val="0"/>
        <w:overflowPunct w:val="0"/>
        <w:topLinePunct w:val="0"/>
        <w:autoSpaceDE w:val="0"/>
        <w:autoSpaceDN w:val="0"/>
        <w:bidi w:val="0"/>
        <w:spacing w:line="560" w:lineRule="exact"/>
        <w:ind w:firstLine="640"/>
        <w:rPr>
          <w:rFonts w:hint="eastAsia" w:ascii="仿宋_GB2312" w:hAnsi="仿宋_GB2312" w:cs="仿宋_GB2312"/>
          <w:sz w:val="32"/>
          <w:szCs w:val="32"/>
        </w:rPr>
      </w:pPr>
      <w:r>
        <w:rPr>
          <w:rFonts w:hint="eastAsia" w:ascii="仿宋_GB2312" w:hAnsi="仿宋_GB2312" w:cs="仿宋_GB2312"/>
          <w:b/>
          <w:bCs/>
          <w:sz w:val="32"/>
          <w:szCs w:val="32"/>
        </w:rPr>
        <w:t>2、建设的必要性：</w:t>
      </w:r>
      <w:r>
        <w:rPr>
          <w:rFonts w:hint="eastAsia" w:ascii="仿宋_GB2312" w:hAnsi="仿宋_GB2312" w:cs="仿宋_GB2312"/>
          <w:sz w:val="32"/>
          <w:szCs w:val="32"/>
        </w:rPr>
        <w:t>开斯克尔村大棚区有的电线杆、电线经常断掉走火，严重影响农户在大棚中农作，在这样的情况下农户进行农作也很危险，存在安全隐患，现需要更换电线杆和电线，充分利用闲置大棚，发展设施农业；大棚建设完成以后，</w:t>
      </w:r>
      <w:r>
        <w:rPr>
          <w:rFonts w:hint="eastAsia" w:ascii="仿宋_GB2312" w:hAnsi="仿宋_GB2312" w:cs="仿宋_GB2312"/>
          <w:sz w:val="32"/>
          <w:szCs w:val="32"/>
          <w:lang w:eastAsia="zh-CN"/>
        </w:rPr>
        <w:t>可以雇用</w:t>
      </w:r>
      <w:r>
        <w:rPr>
          <w:rFonts w:hint="eastAsia" w:ascii="仿宋_GB2312" w:hAnsi="仿宋_GB2312" w:cs="仿宋_GB2312"/>
          <w:sz w:val="32"/>
          <w:szCs w:val="32"/>
        </w:rPr>
        <w:t>本地脱贫户、监测户和普通农户进行灵活就业，最终形成开斯克尔村增加农业人口收入，可持续发展乡村振兴的新的增长点。</w:t>
      </w:r>
    </w:p>
    <w:p>
      <w:pPr>
        <w:pageBreakBefore w:val="0"/>
        <w:topLinePunct w:val="0"/>
        <w:bidi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3、建设的可行性：</w:t>
      </w:r>
      <w:r>
        <w:rPr>
          <w:rFonts w:hint="eastAsia" w:ascii="仿宋_GB2312" w:hAnsi="仿宋_GB2312" w:eastAsia="仿宋_GB2312" w:cs="仿宋_GB2312"/>
          <w:sz w:val="32"/>
          <w:szCs w:val="32"/>
        </w:rPr>
        <w:t>郭勒布依乡开斯克尔村是郭勒布依乡重要的交通枢纽，对辖区大棚更换配电箱和线缆等设施，修缮后对外承租。可吸纳辖区富余劳动力家门口就业，从而拓宽困难群众就业、增收渠道。</w:t>
      </w:r>
    </w:p>
    <w:p>
      <w:pPr>
        <w:pageBreakBefore w:val="0"/>
        <w:topLinePunct w:val="0"/>
        <w:bidi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三、资金筹措及投资概算</w:t>
      </w:r>
    </w:p>
    <w:p>
      <w:pPr>
        <w:pStyle w:val="16"/>
        <w:pageBreakBefore w:val="0"/>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1、资金来源：</w:t>
      </w:r>
      <w:r>
        <w:rPr>
          <w:rFonts w:hint="eastAsia" w:ascii="仿宋_GB2312" w:hAnsi="仿宋_GB2312" w:eastAsia="仿宋_GB2312" w:cs="仿宋_GB2312"/>
          <w:sz w:val="32"/>
          <w:szCs w:val="32"/>
        </w:rPr>
        <w:t>财政衔接推进乡村振兴资金100万元、其中中央衔接资金97万元，县级配套资金3万元。</w:t>
      </w:r>
    </w:p>
    <w:p>
      <w:pPr>
        <w:pageBreakBefore w:val="0"/>
        <w:topLinePunct w:val="0"/>
        <w:autoSpaceDE w:val="0"/>
        <w:bidi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2、投资概算：</w:t>
      </w:r>
      <w:r>
        <w:rPr>
          <w:rFonts w:hint="eastAsia" w:ascii="仿宋_GB2312" w:hAnsi="仿宋_GB2312" w:eastAsia="仿宋_GB2312" w:cs="仿宋_GB2312"/>
          <w:sz w:val="32"/>
          <w:szCs w:val="32"/>
        </w:rPr>
        <w:t>对郭勒布依乡开斯克尔村大棚集中连片区更换配电箱145个，更换电缆17千米，预计投资94万元，</w:t>
      </w:r>
      <w:r>
        <w:rPr>
          <w:rFonts w:hint="eastAsia" w:ascii="仿宋_GB2312" w:hAnsi="仿宋_GB2312" w:eastAsia="仿宋_GB2312" w:cs="仿宋_GB2312"/>
          <w:sz w:val="32"/>
          <w:szCs w:val="32"/>
          <w:lang w:eastAsia="zh-CN"/>
        </w:rPr>
        <w:t>其他费用</w:t>
      </w:r>
      <w:r>
        <w:rPr>
          <w:rFonts w:hint="eastAsia" w:ascii="仿宋_GB2312" w:hAnsi="仿宋_GB2312" w:eastAsia="仿宋_GB2312" w:cs="仿宋_GB2312"/>
          <w:sz w:val="32"/>
          <w:szCs w:val="32"/>
        </w:rPr>
        <w:t>6万元，项目总投资约100万元。</w:t>
      </w:r>
    </w:p>
    <w:p>
      <w:pPr>
        <w:pageBreakBefore w:val="0"/>
        <w:topLinePunct w:val="0"/>
        <w:bidi w:val="0"/>
        <w:spacing w:line="560" w:lineRule="exact"/>
        <w:ind w:firstLine="640" w:firstLineChars="200"/>
        <w:rPr>
          <w:rFonts w:hint="eastAsia" w:ascii="黑体" w:hAnsi="黑体" w:eastAsia="黑体" w:cs="黑体"/>
          <w:sz w:val="32"/>
        </w:rPr>
      </w:pPr>
      <w:r>
        <w:rPr>
          <w:rFonts w:hint="eastAsia" w:ascii="黑体" w:hAnsi="黑体" w:eastAsia="黑体" w:cs="黑体"/>
          <w:sz w:val="32"/>
        </w:rPr>
        <w:t>四、项目实施进度计划</w:t>
      </w:r>
    </w:p>
    <w:p>
      <w:pPr>
        <w:pStyle w:val="15"/>
        <w:pageBreakBefore w:val="0"/>
        <w:topLinePunct w:val="0"/>
        <w:bidi w:val="0"/>
        <w:spacing w:line="560" w:lineRule="exact"/>
        <w:ind w:firstLine="640"/>
        <w:rPr>
          <w:rFonts w:ascii="仿宋_GB2312" w:eastAsia="仿宋_GB2312"/>
          <w:sz w:val="32"/>
          <w:szCs w:val="32"/>
        </w:rPr>
      </w:pPr>
      <w:r>
        <w:rPr>
          <w:rFonts w:hint="eastAsia" w:ascii="仿宋_GB2312" w:eastAsia="仿宋_GB2312"/>
          <w:sz w:val="32"/>
          <w:szCs w:val="32"/>
        </w:rPr>
        <w:t>2025年</w:t>
      </w:r>
      <w:r>
        <w:rPr>
          <w:rFonts w:hint="eastAsia" w:ascii="仿宋_GB2312" w:eastAsia="仿宋_GB2312"/>
          <w:sz w:val="32"/>
          <w:szCs w:val="32"/>
          <w:lang w:val="en-US" w:eastAsia="zh-CN"/>
        </w:rPr>
        <w:t>3</w:t>
      </w:r>
      <w:r>
        <w:rPr>
          <w:rFonts w:hint="eastAsia" w:ascii="仿宋_GB2312" w:eastAsia="仿宋_GB2312"/>
          <w:sz w:val="32"/>
          <w:szCs w:val="32"/>
        </w:rPr>
        <w:t>月底</w:t>
      </w:r>
      <w:r>
        <w:rPr>
          <w:rFonts w:hint="eastAsia" w:ascii="仿宋_GB2312" w:eastAsia="仿宋_GB2312"/>
          <w:sz w:val="32"/>
          <w:szCs w:val="32"/>
          <w:lang w:val="en-US" w:eastAsia="zh-CN"/>
        </w:rPr>
        <w:t>前</w:t>
      </w:r>
      <w:r>
        <w:rPr>
          <w:rFonts w:hint="eastAsia" w:ascii="仿宋_GB2312" w:eastAsia="仿宋_GB2312"/>
          <w:sz w:val="32"/>
          <w:szCs w:val="32"/>
        </w:rPr>
        <w:t>，完成项目各项前期准备工作；</w:t>
      </w:r>
    </w:p>
    <w:p>
      <w:pPr>
        <w:pStyle w:val="15"/>
        <w:pageBreakBefore w:val="0"/>
        <w:topLinePunct w:val="0"/>
        <w:bidi w:val="0"/>
        <w:spacing w:line="560" w:lineRule="exact"/>
        <w:ind w:firstLine="640"/>
        <w:rPr>
          <w:rFonts w:ascii="仿宋_GB2312" w:eastAsia="仿宋_GB2312"/>
          <w:sz w:val="32"/>
          <w:szCs w:val="32"/>
        </w:rPr>
      </w:pPr>
      <w:r>
        <w:rPr>
          <w:rFonts w:hint="eastAsia" w:ascii="仿宋_GB2312" w:eastAsia="仿宋_GB2312"/>
          <w:sz w:val="32"/>
          <w:szCs w:val="32"/>
        </w:rPr>
        <w:t>2025年</w:t>
      </w:r>
      <w:r>
        <w:rPr>
          <w:rFonts w:hint="eastAsia" w:ascii="仿宋_GB2312" w:eastAsia="仿宋_GB2312"/>
          <w:sz w:val="32"/>
          <w:szCs w:val="32"/>
          <w:lang w:val="en-US" w:eastAsia="zh-CN"/>
        </w:rPr>
        <w:t>4</w:t>
      </w:r>
      <w:r>
        <w:rPr>
          <w:rFonts w:hint="eastAsia" w:ascii="仿宋_GB2312" w:eastAsia="仿宋_GB2312"/>
          <w:sz w:val="32"/>
          <w:szCs w:val="32"/>
        </w:rPr>
        <w:t>月底</w:t>
      </w:r>
      <w:r>
        <w:rPr>
          <w:rFonts w:hint="eastAsia" w:ascii="仿宋_GB2312" w:eastAsia="仿宋_GB2312"/>
          <w:sz w:val="32"/>
          <w:szCs w:val="32"/>
          <w:lang w:val="en-US" w:eastAsia="zh-CN"/>
        </w:rPr>
        <w:t>前</w:t>
      </w:r>
      <w:r>
        <w:rPr>
          <w:rFonts w:hint="eastAsia" w:ascii="仿宋_GB2312" w:eastAsia="仿宋_GB2312"/>
          <w:sz w:val="32"/>
          <w:szCs w:val="32"/>
        </w:rPr>
        <w:t>，完成招标及开工；</w:t>
      </w:r>
    </w:p>
    <w:p>
      <w:pPr>
        <w:pageBreakBefore w:val="0"/>
        <w:topLinePunct w:val="0"/>
        <w:bidi w:val="0"/>
        <w:spacing w:line="56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rPr>
        <w:t>2</w:t>
      </w:r>
      <w:r>
        <w:rPr>
          <w:rFonts w:hint="eastAsia" w:ascii="仿宋_GB2312" w:hAnsi="仿宋_GB2312" w:eastAsia="仿宋_GB2312" w:cs="仿宋_GB2312"/>
          <w:sz w:val="32"/>
          <w:szCs w:val="32"/>
        </w:rPr>
        <w:t>025年11月底前，完工并完成验收。</w:t>
      </w:r>
    </w:p>
    <w:p>
      <w:pPr>
        <w:pStyle w:val="11"/>
        <w:pageBreakBefore w:val="0"/>
        <w:widowControl/>
        <w:numPr>
          <w:ilvl w:val="0"/>
          <w:numId w:val="1"/>
        </w:numPr>
        <w:topLinePunct w:val="0"/>
        <w:bidi w:val="0"/>
        <w:spacing w:line="560" w:lineRule="exact"/>
        <w:ind w:firstLine="640"/>
        <w:rPr>
          <w:rFonts w:hint="eastAsia" w:ascii="黑体" w:hAnsi="黑体" w:eastAsia="黑体" w:cs="黑体"/>
          <w:sz w:val="32"/>
          <w:szCs w:val="32"/>
        </w:rPr>
      </w:pPr>
      <w:r>
        <w:rPr>
          <w:rFonts w:hint="eastAsia" w:ascii="黑体" w:hAnsi="黑体" w:eastAsia="黑体" w:cs="黑体"/>
          <w:sz w:val="32"/>
          <w:szCs w:val="32"/>
        </w:rPr>
        <w:t>项目组织实施能力与内控管理措施</w:t>
      </w:r>
    </w:p>
    <w:p>
      <w:pPr>
        <w:pageBreakBefore w:val="0"/>
        <w:widowControl/>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（一）组织领导机构及职责分工</w:t>
      </w:r>
    </w:p>
    <w:p>
      <w:pPr>
        <w:pageBreakBefore w:val="0"/>
        <w:widowControl/>
        <w:topLinePunct w:val="0"/>
        <w:bidi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为加强项目监督和技术指导，按期完成建设任务，根据</w:t>
      </w:r>
      <w:r>
        <w:rPr>
          <w:rFonts w:hint="eastAsia" w:ascii="仿宋_GB2312" w:eastAsia="仿宋_GB2312"/>
          <w:sz w:val="32"/>
          <w:szCs w:val="32"/>
        </w:rPr>
        <w:t>《托克逊县郭勒布依乡财政衔接推进乡村振兴补助金</w:t>
      </w:r>
      <w:r>
        <w:rPr>
          <w:rFonts w:hint="eastAsia" w:ascii="仿宋_GB2312" w:eastAsia="仿宋_GB2312"/>
          <w:sz w:val="32"/>
          <w:szCs w:val="32"/>
          <w:lang w:eastAsia="zh-CN"/>
        </w:rPr>
        <w:t>（</w:t>
      </w:r>
      <w:r>
        <w:rPr>
          <w:rFonts w:hint="eastAsia" w:ascii="仿宋_GB2312" w:eastAsia="仿宋_GB2312"/>
          <w:sz w:val="32"/>
          <w:szCs w:val="32"/>
        </w:rPr>
        <w:t>巩固拓展脱贫攻坚成果和乡村振兴任务</w:t>
      </w:r>
      <w:r>
        <w:rPr>
          <w:rFonts w:hint="eastAsia" w:ascii="仿宋_GB2312" w:eastAsia="仿宋_GB2312"/>
          <w:sz w:val="32"/>
          <w:szCs w:val="32"/>
          <w:lang w:eastAsia="zh-CN"/>
        </w:rPr>
        <w:t>）</w:t>
      </w:r>
      <w:r>
        <w:rPr>
          <w:rFonts w:hint="eastAsia" w:ascii="仿宋_GB2312" w:eastAsia="仿宋_GB2312"/>
          <w:sz w:val="32"/>
          <w:szCs w:val="32"/>
        </w:rPr>
        <w:t>项目管理办法（暂行）》</w:t>
      </w:r>
      <w:r>
        <w:rPr>
          <w:rFonts w:hint="eastAsia" w:ascii="仿宋_GB2312" w:hAnsi="仿宋_GB2312" w:eastAsia="仿宋_GB2312" w:cs="仿宋_GB2312"/>
          <w:bCs/>
          <w:sz w:val="32"/>
          <w:szCs w:val="32"/>
        </w:rPr>
        <w:t>规定成立项目管理组织机构，</w:t>
      </w:r>
      <w:r>
        <w:rPr>
          <w:rFonts w:hint="eastAsia" w:ascii="仿宋_GB2312" w:eastAsia="仿宋_GB2312"/>
          <w:sz w:val="32"/>
          <w:szCs w:val="32"/>
        </w:rPr>
        <w:t>项目管理工作实行分级负责制</w:t>
      </w:r>
      <w:r>
        <w:rPr>
          <w:rFonts w:hint="eastAsia" w:ascii="仿宋_GB2312" w:hAnsi="仿宋_GB2312" w:eastAsia="仿宋_GB2312" w:cs="仿宋_GB2312"/>
          <w:bCs/>
          <w:sz w:val="32"/>
          <w:szCs w:val="32"/>
        </w:rPr>
        <w:t>。项目组相关领导机构</w:t>
      </w:r>
      <w:r>
        <w:rPr>
          <w:rFonts w:ascii="仿宋_GB2312" w:hAnsi="仿宋_GB2312" w:eastAsia="仿宋_GB2312" w:cs="仿宋_GB2312"/>
          <w:bCs/>
          <w:sz w:val="32"/>
          <w:szCs w:val="32"/>
        </w:rPr>
        <w:t>如下：</w:t>
      </w:r>
    </w:p>
    <w:p>
      <w:pPr>
        <w:pStyle w:val="12"/>
        <w:pageBreakBefore w:val="0"/>
        <w:widowControl/>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  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哈里瓦尔·阿不拉克   乡党委副书记、乡长 </w:t>
      </w:r>
    </w:p>
    <w:p>
      <w:pPr>
        <w:pStyle w:val="12"/>
        <w:pageBreakBefore w:val="0"/>
        <w:widowControl/>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副组长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苏涛                 乡党委委员、常务副乡长 </w:t>
      </w:r>
    </w:p>
    <w:p>
      <w:pPr>
        <w:pStyle w:val="12"/>
        <w:pageBreakBefore w:val="0"/>
        <w:widowControl/>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  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郭理                 乡项目办主任</w:t>
      </w:r>
    </w:p>
    <w:p>
      <w:pPr>
        <w:pStyle w:val="12"/>
        <w:pageBreakBefore w:val="0"/>
        <w:widowControl/>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阿迪拉古丽·吾曼尔          乡检办干部 </w:t>
      </w:r>
    </w:p>
    <w:p>
      <w:pPr>
        <w:pStyle w:val="12"/>
        <w:pageBreakBefore w:val="0"/>
        <w:widowControl/>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热孜亚·阿不来提            乡村振兴办主任</w:t>
      </w:r>
    </w:p>
    <w:p>
      <w:pPr>
        <w:pStyle w:val="12"/>
        <w:pageBreakBefore w:val="0"/>
        <w:widowControl/>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木阿热木·买合木提          乡财政所所长 </w:t>
      </w:r>
    </w:p>
    <w:p>
      <w:pPr>
        <w:pStyle w:val="12"/>
        <w:pageBreakBefore w:val="0"/>
        <w:widowControl/>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麦尔哈巴·肉孜              乡项目办干部 </w:t>
      </w:r>
    </w:p>
    <w:p>
      <w:pPr>
        <w:pStyle w:val="12"/>
        <w:pageBreakBefore w:val="0"/>
        <w:widowControl/>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郭勒布依乡13个村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社区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第一书记、党支部书记</w:t>
      </w:r>
    </w:p>
    <w:p>
      <w:pPr>
        <w:pStyle w:val="12"/>
        <w:pageBreakBefore w:val="0"/>
        <w:widowControl/>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（1）成立以村第一书记为组长，村党支部书记为副组长、各职能小组负责人为成员的领导小组，负责项目的领导、协调、实施、督促、指导等工作，为项目建设提供组织保障。</w:t>
      </w:r>
    </w:p>
    <w:p>
      <w:pPr>
        <w:pStyle w:val="11"/>
        <w:pageBreakBefore w:val="0"/>
        <w:widowControl/>
        <w:topLinePunct w:val="0"/>
        <w:bidi w:val="0"/>
        <w:spacing w:line="560" w:lineRule="exact"/>
        <w:ind w:firstLine="640"/>
        <w:rPr>
          <w:rFonts w:hint="eastAsia" w:ascii="仿宋_GB2312" w:hAnsi="仿宋_GB2312" w:cs="仿宋_GB2312"/>
          <w:sz w:val="32"/>
          <w:szCs w:val="32"/>
        </w:rPr>
      </w:pPr>
      <w:r>
        <w:rPr>
          <w:rFonts w:hint="eastAsia" w:ascii="仿宋_GB2312" w:hAnsi="仿宋_GB2312" w:cs="仿宋_GB2312"/>
          <w:sz w:val="32"/>
          <w:szCs w:val="32"/>
        </w:rPr>
        <w:t>（2）乡村振兴、纪检、财政所等部门为项目实施的监督单位。负责项目实施</w:t>
      </w:r>
      <w:r>
        <w:rPr>
          <w:rFonts w:hint="eastAsia" w:ascii="仿宋_GB2312" w:hAnsi="仿宋_GB2312" w:cs="仿宋_GB2312"/>
          <w:sz w:val="32"/>
          <w:szCs w:val="32"/>
          <w:lang w:eastAsia="zh-CN"/>
        </w:rPr>
        <w:t>全过程</w:t>
      </w:r>
      <w:r>
        <w:rPr>
          <w:rFonts w:hint="eastAsia" w:ascii="仿宋_GB2312" w:hAnsi="仿宋_GB2312" w:cs="仿宋_GB2312"/>
          <w:sz w:val="32"/>
          <w:szCs w:val="32"/>
        </w:rPr>
        <w:t>的监督、检查，资金审批及管理。</w:t>
      </w:r>
    </w:p>
    <w:p>
      <w:pPr>
        <w:pStyle w:val="8"/>
        <w:pageBreakBefore w:val="0"/>
        <w:topLinePunct w:val="0"/>
        <w:bidi w:val="0"/>
        <w:spacing w:after="0" w:line="560" w:lineRule="exact"/>
        <w:ind w:left="0" w:leftChars="0" w:firstLine="640"/>
      </w:pPr>
      <w:r>
        <w:rPr>
          <w:rFonts w:hint="eastAsia" w:ascii="仿宋_GB2312" w:hAnsi="仿宋_GB2312" w:eastAsia="仿宋_GB2312" w:cs="仿宋_GB2312"/>
          <w:sz w:val="32"/>
          <w:szCs w:val="32"/>
        </w:rPr>
        <w:t>（3）郭勒布依乡为项目实施主体。乡和行政村分别成立项目实施领导小组，明确1名副科级领导专抓此项工作，主要负责宣传发动、组织实施和协助村里并进行指导，帮助落实任务；负责组织开展验收、项目档案的归档等工作。</w:t>
      </w:r>
    </w:p>
    <w:p>
      <w:pPr>
        <w:pageBreakBefore w:val="0"/>
        <w:widowControl/>
        <w:topLinePunct w:val="0"/>
        <w:autoSpaceDE w:val="0"/>
        <w:bidi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（二）项目招标、采购管理</w:t>
      </w:r>
      <w:r>
        <w:rPr>
          <w:rFonts w:hint="eastAsia" w:ascii="仿宋_GB2312" w:hAnsi="仿宋_GB2312" w:eastAsia="仿宋_GB2312" w:cs="仿宋_GB2312"/>
          <w:sz w:val="32"/>
          <w:szCs w:val="32"/>
        </w:rPr>
        <w:t xml:space="preserve"> </w:t>
      </w:r>
    </w:p>
    <w:p>
      <w:pPr>
        <w:pageBreakBefore w:val="0"/>
        <w:kinsoku w:val="0"/>
        <w:overflowPunct w:val="0"/>
        <w:topLinePunct w:val="0"/>
        <w:autoSpaceDE w:val="0"/>
        <w:autoSpaceDN w:val="0"/>
        <w:bidi w:val="0"/>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1、招投标组织单位</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郭勒布依乡人民政府</w:t>
      </w:r>
    </w:p>
    <w:p>
      <w:pPr>
        <w:pageBreakBefore w:val="0"/>
        <w:topLinePunct w:val="0"/>
        <w:autoSpaceDE w:val="0"/>
        <w:bidi w:val="0"/>
        <w:spacing w:line="560" w:lineRule="exact"/>
        <w:ind w:firstLine="643" w:firstLineChars="200"/>
        <w:textAlignment w:val="baseline"/>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2、招投标流程</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委托招标代理公司开展项目招标工作</w:t>
      </w:r>
    </w:p>
    <w:p>
      <w:pPr>
        <w:pageBreakBefore w:val="0"/>
        <w:topLinePunct w:val="0"/>
        <w:bidi w:val="0"/>
        <w:spacing w:line="560" w:lineRule="exact"/>
        <w:ind w:firstLine="640" w:firstLineChars="200"/>
        <w:rPr>
          <w:rFonts w:eastAsia="仿宋_GB2312"/>
          <w:sz w:val="32"/>
          <w:szCs w:val="32"/>
        </w:rPr>
      </w:pPr>
      <w:r>
        <w:rPr>
          <w:rFonts w:hint="eastAsia" w:ascii="Times New Roman" w:hAnsi="Times New Roman" w:eastAsia="仿宋_GB2312"/>
          <w:sz w:val="32"/>
          <w:szCs w:val="32"/>
        </w:rPr>
        <w:t> 本项目</w:t>
      </w:r>
      <w:r>
        <w:rPr>
          <w:rFonts w:ascii="Times New Roman" w:hAnsi="Times New Roman" w:eastAsia="仿宋_GB2312"/>
          <w:sz w:val="32"/>
          <w:szCs w:val="32"/>
        </w:rPr>
        <w:t>建设采用投标制，由</w:t>
      </w:r>
      <w:r>
        <w:rPr>
          <w:rFonts w:hint="eastAsia" w:ascii="Times New Roman" w:hAnsi="Times New Roman" w:eastAsia="仿宋_GB2312"/>
          <w:sz w:val="32"/>
          <w:szCs w:val="32"/>
        </w:rPr>
        <w:t>郭勒布依乡人民政府</w:t>
      </w:r>
      <w:r>
        <w:rPr>
          <w:rFonts w:ascii="Times New Roman" w:hAnsi="Times New Roman" w:eastAsia="仿宋_GB2312"/>
          <w:sz w:val="32"/>
          <w:szCs w:val="32"/>
        </w:rPr>
        <w:t>选择有资质的招标代理机构进行招标，依据《中华人民共和国招标投标法</w:t>
      </w:r>
      <w:r>
        <w:rPr>
          <w:rFonts w:hint="eastAsia" w:ascii="Times New Roman" w:hAnsi="Times New Roman" w:eastAsia="仿宋_GB2312"/>
          <w:sz w:val="32"/>
          <w:szCs w:val="32"/>
          <w:lang w:eastAsia="zh-CN"/>
        </w:rPr>
        <w:t>》《</w:t>
      </w:r>
      <w:r>
        <w:rPr>
          <w:rFonts w:ascii="Times New Roman" w:hAnsi="Times New Roman" w:eastAsia="仿宋_GB2312"/>
          <w:sz w:val="32"/>
          <w:szCs w:val="32"/>
        </w:rPr>
        <w:t>中华人民共和国政府采购法》</w:t>
      </w:r>
      <w:r>
        <w:rPr>
          <w:rFonts w:hint="eastAsia" w:ascii="Times New Roman" w:hAnsi="Times New Roman" w:eastAsia="仿宋_GB2312"/>
          <w:sz w:val="32"/>
          <w:szCs w:val="32"/>
        </w:rPr>
        <w:t>以及《郭勒布依乡人民政府招投标采购管理办法》</w:t>
      </w:r>
      <w:r>
        <w:rPr>
          <w:rFonts w:ascii="Times New Roman" w:hAnsi="Times New Roman" w:eastAsia="仿宋_GB2312"/>
          <w:sz w:val="32"/>
          <w:szCs w:val="32"/>
        </w:rPr>
        <w:t>，通过公开招标方式，择优选择承包方，承包方通过竞争中标后依法</w:t>
      </w:r>
      <w:r>
        <w:rPr>
          <w:rFonts w:hint="eastAsia" w:ascii="Times New Roman" w:hAnsi="Times New Roman" w:eastAsia="仿宋_GB2312"/>
          <w:sz w:val="32"/>
          <w:szCs w:val="32"/>
          <w:lang w:eastAsia="zh-CN"/>
        </w:rPr>
        <w:t>签订</w:t>
      </w:r>
      <w:r>
        <w:rPr>
          <w:rFonts w:ascii="Times New Roman" w:hAnsi="Times New Roman" w:eastAsia="仿宋_GB2312"/>
          <w:sz w:val="32"/>
          <w:szCs w:val="32"/>
        </w:rPr>
        <w:t>承包合同，合同中明确规定项目的投资额度，工程规模，技术标准，不能搞“半拉子”工程，不能留投资缺口，不能转包，严格履行合同。</w:t>
      </w:r>
    </w:p>
    <w:p>
      <w:pPr>
        <w:pageBreakBefore w:val="0"/>
        <w:widowControl/>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（三）项目实施与监督检查</w:t>
      </w:r>
    </w:p>
    <w:p>
      <w:pPr>
        <w:pageBreakBefore w:val="0"/>
        <w:topLinePunct w:val="0"/>
        <w:autoSpaceDE w:val="0"/>
        <w:bidi w:val="0"/>
        <w:spacing w:line="560" w:lineRule="exact"/>
        <w:ind w:firstLine="640" w:firstLineChars="200"/>
      </w:pPr>
      <w:r>
        <w:rPr>
          <w:rFonts w:hint="eastAsia" w:ascii="仿宋_GB2312" w:hAnsi="仿宋_GB2312" w:eastAsia="仿宋_GB2312" w:cs="仿宋_GB2312"/>
          <w:sz w:val="32"/>
          <w:szCs w:val="32"/>
        </w:rPr>
        <w:t>根据《新疆维吾尔自治区衔接推进乡村振兴补助资金管理办法》文件精神，由县乡村振兴领导小组办公室组合第二章第九条规定：托克逊县委农村工作领导小组是衔接推进乡村振兴补助资金和项目管理的第一责任主体，组长是第一责任人，全面负责衔接推进乡村振兴补助资金和项目管理、绩效评价、监督检查等各项工作。为保质保量按时完成该项目，需实行目标管理责任制，明确领导小组各成员的职责，全面推行项目建设责任制、项目法人责任制，建立健全衔接推进乡村振兴补助资产公开公示、定期巡查、绩效考核、结果反馈等检查机制，对项目经营运行、收益分配、后期管护等环节进行全程监督，保障衔接推进乡村振兴补助资产安全有效。</w:t>
      </w:r>
    </w:p>
    <w:p>
      <w:pPr>
        <w:pageBreakBefore w:val="0"/>
        <w:widowControl/>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（四）资金使用管理</w:t>
      </w:r>
    </w:p>
    <w:p>
      <w:pPr>
        <w:pageBreakBefore w:val="0"/>
        <w:topLinePunct w:val="0"/>
        <w:bidi w:val="0"/>
        <w:spacing w:line="560" w:lineRule="exact"/>
        <w:ind w:firstLine="640" w:firstLineChars="200"/>
      </w:pPr>
      <w:r>
        <w:rPr>
          <w:rFonts w:hint="eastAsia" w:ascii="Times New Roman" w:hAnsi="Times New Roman" w:eastAsia="仿宋_GB2312"/>
          <w:sz w:val="32"/>
          <w:szCs w:val="32"/>
        </w:rPr>
        <w:t>根据《关于批复实施2025年中央、自治区财政衔接推进乡村振兴补助资金项目的通知》（托党农领发〔2025〕1号）文件要求，为进一步加强资金管理和使用，依据项目计划和实施进度</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提出支付申请并提供相关真实、合规的证明材料，制定资金使用计划，经审核后按照国库集中支付管理制度的规定和程序及时支付资金。从国库直接支付到衔接资金项目施工单位。严格执行专款专用，杜绝挤占、挪用项目资金，严禁虚列支出、以拨代支虚增项目进度。项目资金支付后</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在审计或检查中发现资金使用存在违法违规问题的，应及时追回、收回。对资金使用严格监管，防止资金使用不精准、虚报冒领。预付项目的首付款，后续根据项目实施进度，提出支付申请并提供相关合同、项目进度证明材料、经审核后按照国库集中支付管理制度的规定和程序及时向施工方支付资金。</w:t>
      </w:r>
    </w:p>
    <w:p>
      <w:pPr>
        <w:pageBreakBefore w:val="0"/>
        <w:widowControl/>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（五）项目验收管理</w:t>
      </w:r>
    </w:p>
    <w:p>
      <w:pPr>
        <w:pageBreakBefore w:val="0"/>
        <w:topLinePunct w:val="0"/>
        <w:autoSpaceDE w:val="0"/>
        <w:bidi w:val="0"/>
        <w:spacing w:line="560" w:lineRule="exact"/>
        <w:ind w:firstLine="640" w:firstLineChars="200"/>
      </w:pPr>
      <w:r>
        <w:rPr>
          <w:rFonts w:hint="eastAsia" w:ascii="仿宋_GB2312" w:hAnsi="仿宋_GB2312" w:eastAsia="仿宋_GB2312" w:cs="仿宋_GB2312"/>
          <w:sz w:val="32"/>
          <w:szCs w:val="32"/>
        </w:rPr>
        <w:t>根据</w:t>
      </w:r>
      <w:r>
        <w:rPr>
          <w:rFonts w:ascii="仿宋_GB2312" w:hAnsi="仿宋_GB2312" w:eastAsia="仿宋_GB2312" w:cs="仿宋_GB2312"/>
          <w:sz w:val="32"/>
          <w:szCs w:val="32"/>
        </w:rPr>
        <w:t>《新疆维吾尔自治区财政衔接推进乡村振兴补助资金（巩固拓展脱贫攻坚成果和乡村振兴任务）项目管理办法（暂行）》（新乡振﹝2021﹞32号）</w:t>
      </w:r>
      <w:r>
        <w:rPr>
          <w:rFonts w:hint="eastAsia" w:ascii="仿宋_GB2312" w:hAnsi="仿宋_GB2312" w:eastAsia="仿宋_GB2312" w:cs="仿宋_GB2312"/>
          <w:sz w:val="32"/>
          <w:szCs w:val="32"/>
        </w:rPr>
        <w:t>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遵照属地管理、按照“谁审批、谁验收”的原则，按照村、乡、县三个级别逐级开展验收工作。村级由村第一书记组织村党支部书记、经济发展组成员组织验收。乡级由常务副乡长组织项目办、财政所、安全生产办验收。乡、村两级验收合格后，报县乡村振兴局和行业部门申请县级验收。</w:t>
      </w:r>
    </w:p>
    <w:p>
      <w:pPr>
        <w:pageBreakBefore w:val="0"/>
        <w:widowControl/>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（六）项目公告公示</w:t>
      </w:r>
    </w:p>
    <w:p>
      <w:pPr>
        <w:pStyle w:val="3"/>
        <w:pageBreakBefore w:val="0"/>
        <w:topLinePunct w:val="0"/>
        <w:bidi w:val="0"/>
        <w:spacing w:before="0" w:after="0" w:line="560" w:lineRule="exact"/>
        <w:ind w:firstLine="640" w:firstLineChars="200"/>
      </w:pPr>
      <w:r>
        <w:rPr>
          <w:rFonts w:hint="eastAsia" w:ascii="仿宋_GB2312" w:hAnsi="仿宋_GB2312" w:eastAsia="仿宋_GB2312" w:cs="仿宋_GB2312"/>
          <w:b w:val="0"/>
          <w:bCs w:val="0"/>
        </w:rPr>
        <w:t>项目实施需按《新疆维吾尔自治区衔接推进乡村振兴补助资金管理办法》文件精神，县级通过政府网站对项目建设内容、受益情况等进行公告公示，乡、村两级通过</w:t>
      </w:r>
      <w:r>
        <w:rPr>
          <w:rFonts w:hint="eastAsia" w:ascii="仿宋_GB2312" w:hAnsi="仿宋_GB2312" w:eastAsia="仿宋_GB2312" w:cs="仿宋_GB2312"/>
          <w:b w:val="0"/>
          <w:bCs w:val="0"/>
          <w:lang w:eastAsia="zh-CN"/>
        </w:rPr>
        <w:t>公示栏</w:t>
      </w:r>
      <w:r>
        <w:rPr>
          <w:rFonts w:hint="eastAsia" w:ascii="仿宋_GB2312" w:hAnsi="仿宋_GB2312" w:eastAsia="仿宋_GB2312" w:cs="仿宋_GB2312"/>
          <w:b w:val="0"/>
          <w:bCs w:val="0"/>
        </w:rPr>
        <w:t>、入户宣讲等形式对项目事前、事中、事后全过程进行公告公示。</w:t>
      </w:r>
    </w:p>
    <w:p>
      <w:pPr>
        <w:pageBreakBefore w:val="0"/>
        <w:widowControl/>
        <w:topLinePunct w:val="0"/>
        <w:autoSpaceDE w:val="0"/>
        <w:bidi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（七）项目后期管护及运营管理</w:t>
      </w:r>
    </w:p>
    <w:p>
      <w:pPr>
        <w:pStyle w:val="3"/>
        <w:pageBreakBefore w:val="0"/>
        <w:topLinePunct w:val="0"/>
        <w:bidi w:val="0"/>
        <w:spacing w:before="0" w:after="0" w:line="560" w:lineRule="exact"/>
        <w:ind w:firstLine="640" w:firstLineChars="200"/>
        <w:rPr>
          <w:rFonts w:hint="eastAsia" w:ascii="仿宋_GB2312" w:hAnsi="仿宋_GB2312" w:eastAsia="仿宋_GB2312" w:cs="仿宋_GB2312"/>
          <w:b w:val="0"/>
          <w:bCs w:val="0"/>
        </w:rPr>
      </w:pPr>
      <w:r>
        <w:rPr>
          <w:rFonts w:hint="eastAsia" w:ascii="仿宋_GB2312" w:hAnsi="仿宋_GB2312" w:eastAsia="仿宋_GB2312" w:cs="仿宋_GB2312"/>
          <w:b w:val="0"/>
          <w:bCs w:val="0"/>
        </w:rPr>
        <w:t>按照“谁使用、谁管理、谁负责”的原则，做好产权移交工作。县级有关部门要牵头制定项目后期管护制度，明确项目后期管护主体和工作责任。需根据相关政策文件明确政府在项目经营过程中的责任等内容。</w:t>
      </w:r>
    </w:p>
    <w:p>
      <w:pPr>
        <w:pStyle w:val="8"/>
        <w:pageBreakBefore w:val="0"/>
        <w:numPr>
          <w:ilvl w:val="0"/>
          <w:numId w:val="1"/>
        </w:numPr>
        <w:topLinePunct w:val="0"/>
        <w:bidi w:val="0"/>
        <w:spacing w:after="0" w:line="560" w:lineRule="exact"/>
        <w:ind w:left="0" w:leftChars="0" w:firstLine="640"/>
        <w:rPr>
          <w:rFonts w:hint="eastAsia" w:ascii="黑体" w:hAnsi="黑体" w:eastAsia="黑体" w:cs="黑体"/>
          <w:sz w:val="32"/>
          <w:szCs w:val="32"/>
        </w:rPr>
      </w:pPr>
      <w:r>
        <w:rPr>
          <w:rFonts w:hint="eastAsia" w:ascii="黑体" w:hAnsi="黑体" w:eastAsia="黑体" w:cs="黑体"/>
          <w:sz w:val="32"/>
          <w:szCs w:val="32"/>
        </w:rPr>
        <w:t>利益联结机制</w:t>
      </w:r>
    </w:p>
    <w:p>
      <w:pPr>
        <w:pStyle w:val="3"/>
        <w:pageBreakBefore w:val="0"/>
        <w:topLinePunct w:val="0"/>
        <w:bidi w:val="0"/>
        <w:spacing w:before="0" w:after="0" w:line="560" w:lineRule="exact"/>
        <w:ind w:firstLine="640" w:firstLineChars="200"/>
        <w:rPr>
          <w:rFonts w:hint="eastAsia" w:ascii="仿宋_GB2312" w:hAnsi="仿宋_GB2312" w:eastAsia="仿宋_GB2312" w:cs="仿宋_GB2312"/>
          <w:b w:val="0"/>
          <w:bCs w:val="0"/>
        </w:rPr>
      </w:pPr>
      <w:r>
        <w:rPr>
          <w:rFonts w:hint="eastAsia" w:ascii="仿宋_GB2312" w:hAnsi="仿宋_GB2312" w:eastAsia="仿宋_GB2312" w:cs="仿宋_GB2312"/>
          <w:b w:val="0"/>
          <w:bCs w:val="0"/>
        </w:rPr>
        <w:t>该项目覆盖群众1267户3428人，其中脱贫户21户63人、监测对象2户3人。项目建成后，一是进一步完善开斯克尔村593座大棚电路设施，提高大棚种植条件，有效提高大棚种植户农产品增长。二是可以消除大棚区因线路老化带来的火灾隐患，保障群众生命财产安全，进一步提升群众满意</w:t>
      </w:r>
      <w:r>
        <w:rPr>
          <w:rFonts w:hint="eastAsia" w:ascii="仿宋_GB2312" w:hAnsi="仿宋_GB2312" w:eastAsia="仿宋_GB2312" w:cs="仿宋_GB2312"/>
          <w:b w:val="0"/>
          <w:bCs w:val="0"/>
          <w:lang w:eastAsia="zh-CN"/>
        </w:rPr>
        <w:t>度和</w:t>
      </w:r>
      <w:r>
        <w:rPr>
          <w:rFonts w:hint="eastAsia" w:ascii="仿宋_GB2312" w:hAnsi="仿宋_GB2312" w:eastAsia="仿宋_GB2312" w:cs="仿宋_GB2312"/>
          <w:b w:val="0"/>
          <w:bCs w:val="0"/>
        </w:rPr>
        <w:t>幸福感。三是项目实施过程中，可吸纳当地脱贫户、监测对象参与劳动，增加其收入。</w:t>
      </w:r>
    </w:p>
    <w:p>
      <w:pPr>
        <w:pStyle w:val="11"/>
        <w:pageBreakBefore w:val="0"/>
        <w:numPr>
          <w:ilvl w:val="0"/>
          <w:numId w:val="1"/>
        </w:numPr>
        <w:topLinePunct w:val="0"/>
        <w:bidi w:val="0"/>
        <w:spacing w:line="560" w:lineRule="exact"/>
        <w:ind w:firstLine="640"/>
        <w:rPr>
          <w:rFonts w:hint="eastAsia" w:ascii="黑体" w:hAnsi="黑体" w:eastAsia="黑体" w:cs="黑体"/>
          <w:sz w:val="32"/>
          <w:szCs w:val="32"/>
        </w:rPr>
      </w:pPr>
      <w:r>
        <w:rPr>
          <w:rFonts w:hint="eastAsia" w:ascii="黑体" w:hAnsi="黑体" w:eastAsia="黑体" w:cs="黑体"/>
          <w:sz w:val="32"/>
          <w:szCs w:val="32"/>
        </w:rPr>
        <w:t>项目绩效目标及效益分析</w:t>
      </w:r>
    </w:p>
    <w:p>
      <w:pPr>
        <w:pStyle w:val="11"/>
        <w:pageBreakBefore w:val="0"/>
        <w:topLinePunct w:val="0"/>
        <w:bidi w:val="0"/>
        <w:spacing w:line="560" w:lineRule="exact"/>
        <w:rPr>
          <w:rFonts w:hint="eastAsia" w:ascii="仿宋_GB2312" w:hAnsi="仿宋_GB2312" w:cs="仿宋_GB2312"/>
          <w:sz w:val="32"/>
          <w:szCs w:val="32"/>
        </w:rPr>
      </w:pPr>
      <w:r>
        <w:rPr>
          <w:rFonts w:hint="eastAsia" w:ascii="楷体_GB2312" w:hAnsi="楷体_GB2312" w:eastAsia="楷体_GB2312" w:cs="楷体_GB2312"/>
          <w:b/>
          <w:bCs/>
          <w:sz w:val="32"/>
          <w:szCs w:val="32"/>
        </w:rPr>
        <w:t>1、年度目标：</w:t>
      </w:r>
      <w:r>
        <w:rPr>
          <w:rFonts w:hint="eastAsia" w:ascii="仿宋_GB2312" w:hAnsi="仿宋_GB2312" w:cs="仿宋_GB2312"/>
          <w:bCs/>
          <w:sz w:val="32"/>
          <w:szCs w:val="32"/>
        </w:rPr>
        <w:t>通过更换郭勒布依乡开斯克尔村大棚集中连片区的145个配电箱，17千米的电缆，实现消除大棚区因线路老化带来的火灾隐患，保障群众生命财产安全，改善593座大棚种植条件，有效提高大棚种植户农产品增产，直接惠及63名脱贫人口、3名检测对象，提升1267户种植户抗风险能力，降低因灾减产返贫概率。</w:t>
      </w:r>
    </w:p>
    <w:p>
      <w:pPr>
        <w:pageBreakBefore w:val="0"/>
        <w:overflowPunct w:val="0"/>
        <w:topLinePunct w:val="0"/>
        <w:autoSpaceDE w:val="0"/>
        <w:autoSpaceDN w:val="0"/>
        <w:bidi w:val="0"/>
        <w:spacing w:line="560" w:lineRule="exact"/>
        <w:ind w:firstLine="643" w:firstLineChars="200"/>
        <w:jc w:val="left"/>
        <w:rPr>
          <w:rFonts w:hint="eastAsia" w:ascii="仿宋_GB2312" w:hAnsi="仿宋_GB2312" w:cs="仿宋_GB2312"/>
          <w:bCs/>
          <w:sz w:val="32"/>
          <w:szCs w:val="32"/>
        </w:rPr>
      </w:pPr>
      <w:r>
        <w:rPr>
          <w:rFonts w:hint="eastAsia" w:ascii="楷体_GB2312" w:hAnsi="楷体_GB2312" w:eastAsia="楷体_GB2312" w:cs="楷体_GB2312"/>
          <w:b/>
          <w:bCs/>
          <w:sz w:val="32"/>
          <w:szCs w:val="32"/>
        </w:rPr>
        <w:t>2、项目覆盖情况：</w:t>
      </w:r>
      <w:r>
        <w:rPr>
          <w:rFonts w:hint="eastAsia" w:ascii="仿宋_GB2312" w:hAnsi="仿宋_GB2312" w:eastAsia="仿宋_GB2312" w:cs="仿宋_GB2312"/>
          <w:bCs/>
          <w:sz w:val="32"/>
          <w:szCs w:val="32"/>
        </w:rPr>
        <w:t>项目实施覆盖群众1267户3428人，其中脱贫户21户63人、监测对象2户3人。</w:t>
      </w:r>
    </w:p>
    <w:p>
      <w:pPr>
        <w:pStyle w:val="11"/>
        <w:pageBreakBefore w:val="0"/>
        <w:topLinePunct w:val="0"/>
        <w:bidi w:val="0"/>
        <w:spacing w:line="560" w:lineRule="exact"/>
        <w:ind w:firstLine="640"/>
        <w:rPr>
          <w:rFonts w:hint="eastAsia" w:ascii="仿宋_GB2312" w:hAnsi="仿宋_GB2312" w:cs="仿宋_GB2312"/>
          <w:b/>
          <w:bCs/>
          <w:sz w:val="32"/>
          <w:szCs w:val="32"/>
        </w:rPr>
      </w:pPr>
      <w:r>
        <w:rPr>
          <w:rFonts w:hint="eastAsia" w:ascii="楷体_GB2312" w:hAnsi="楷体_GB2312" w:eastAsia="楷体_GB2312" w:cs="楷体_GB2312"/>
          <w:b/>
          <w:bCs/>
          <w:sz w:val="32"/>
          <w:szCs w:val="32"/>
        </w:rPr>
        <w:t>3、</w:t>
      </w:r>
      <w:r>
        <w:rPr>
          <w:rFonts w:hint="eastAsia" w:ascii="仿宋_GB2312" w:hAnsi="仿宋_GB2312" w:cs="仿宋_GB2312"/>
          <w:b/>
          <w:bCs/>
          <w:sz w:val="32"/>
          <w:szCs w:val="32"/>
        </w:rPr>
        <w:t>社会效益</w:t>
      </w:r>
      <w:r>
        <w:rPr>
          <w:rFonts w:hint="eastAsia" w:ascii="方正楷体_GBK" w:hAnsi="方正楷体_GBK" w:eastAsia="方正楷体_GBK" w:cs="方正楷体_GBK"/>
          <w:b/>
          <w:sz w:val="32"/>
          <w:szCs w:val="32"/>
        </w:rPr>
        <w:t>：</w:t>
      </w:r>
      <w:r>
        <w:rPr>
          <w:rFonts w:hint="eastAsia" w:ascii="仿宋_GB2312" w:hAnsi="仿宋_GB2312" w:cs="仿宋_GB2312"/>
          <w:sz w:val="32"/>
          <w:szCs w:val="32"/>
          <w:lang w:val="en-US" w:eastAsia="zh-CN"/>
        </w:rPr>
        <w:t>通过该项目可</w:t>
      </w:r>
      <w:r>
        <w:rPr>
          <w:rFonts w:hint="eastAsia" w:ascii="仿宋_GB2312" w:hAnsi="仿宋_GB2312" w:cs="仿宋_GB2312"/>
          <w:sz w:val="32"/>
          <w:szCs w:val="32"/>
        </w:rPr>
        <w:t>消除大棚区因线路老化带来的火灾隐患，保障群众生命财产安全，改善593座大棚种植条件，有效提高大棚种植户农产品增产，直接惠及脱贫户及监测户23户66人（其中63名脱贫人口、3名监测对象），提升1267户种植户抗风险能力，降低因灾减产返贫概率。</w:t>
      </w:r>
    </w:p>
    <w:p>
      <w:pPr>
        <w:keepNext/>
        <w:pageBreakBefore w:val="0"/>
        <w:topLinePunct w:val="0"/>
        <w:bidi w:val="0"/>
        <w:adjustRightInd w:val="0"/>
        <w:snapToGrid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4、可持续性影响</w:t>
      </w:r>
      <w:r>
        <w:rPr>
          <w:rFonts w:hint="eastAsia" w:ascii="方正楷体_GBK" w:hAnsi="方正楷体_GBK" w:eastAsia="方正楷体_GBK" w:cs="方正楷体_GBK"/>
          <w:b/>
          <w:sz w:val="32"/>
          <w:szCs w:val="32"/>
        </w:rPr>
        <w:t>：</w:t>
      </w:r>
      <w:r>
        <w:rPr>
          <w:rFonts w:hint="eastAsia" w:ascii="仿宋_GB2312" w:hAnsi="仿宋_GB2312" w:eastAsia="仿宋_GB2312" w:cs="仿宋_GB2312"/>
          <w:sz w:val="32"/>
          <w:szCs w:val="32"/>
        </w:rPr>
        <w:t>项目实施可以大大提升农业，项目</w:t>
      </w:r>
      <w:r>
        <w:rPr>
          <w:rFonts w:hint="eastAsia" w:ascii="仿宋_GB2312" w:hAnsi="仿宋_GB2312" w:eastAsia="仿宋_GB2312" w:cs="仿宋_GB2312"/>
          <w:sz w:val="32"/>
          <w:szCs w:val="32"/>
          <w:lang w:val="en-US" w:eastAsia="zh-CN"/>
        </w:rPr>
        <w:t>设备</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val="en-US" w:eastAsia="zh-CN"/>
        </w:rPr>
        <w:t>使用</w:t>
      </w:r>
      <w:r>
        <w:rPr>
          <w:rFonts w:hint="eastAsia" w:ascii="仿宋_GB2312" w:hAnsi="仿宋_GB2312" w:eastAsia="仿宋_GB2312" w:cs="仿宋_GB2312"/>
          <w:sz w:val="32"/>
          <w:szCs w:val="32"/>
        </w:rPr>
        <w:t>5年</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以上。</w:t>
      </w:r>
    </w:p>
    <w:p>
      <w:pPr>
        <w:pStyle w:val="12"/>
        <w:pageBreakBefore w:val="0"/>
        <w:wordWrap w:val="0"/>
        <w:topLinePunct w:val="0"/>
        <w:bidi w:val="0"/>
        <w:spacing w:line="560" w:lineRule="exact"/>
        <w:ind w:firstLine="64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5、服务群众满意度：</w:t>
      </w:r>
      <w:r>
        <w:rPr>
          <w:rFonts w:hint="eastAsia" w:ascii="仿宋_GB2312" w:hAnsi="仿宋_GB2312" w:eastAsia="仿宋_GB2312" w:cs="仿宋_GB2312"/>
          <w:sz w:val="32"/>
          <w:szCs w:val="32"/>
        </w:rPr>
        <w:t>通过项目的有效实施，提高农民对政策和服务的满意度，增强他们的获得感和幸福感。该项目建成后预计</w:t>
      </w:r>
      <w:r>
        <w:rPr>
          <w:rFonts w:hint="eastAsia" w:ascii="仿宋_GB2312" w:hAnsi="仿宋_GB2312" w:eastAsia="仿宋_GB2312" w:cs="仿宋_GB2312"/>
          <w:sz w:val="32"/>
          <w:szCs w:val="32"/>
          <w:lang w:val="en-US" w:eastAsia="zh-CN"/>
        </w:rPr>
        <w:t>项目区</w:t>
      </w:r>
      <w:r>
        <w:rPr>
          <w:rFonts w:hint="eastAsia" w:ascii="仿宋_GB2312" w:hAnsi="仿宋_GB2312" w:eastAsia="仿宋_GB2312" w:cs="仿宋_GB2312"/>
          <w:sz w:val="32"/>
          <w:szCs w:val="32"/>
        </w:rPr>
        <w:t>受益群众满意度达到90%以上</w:t>
      </w:r>
      <w:r>
        <w:rPr>
          <w:rFonts w:hint="eastAsia" w:ascii="仿宋_GB2312" w:hAnsi="仿宋_GB2312" w:eastAsia="仿宋_GB2312" w:cs="仿宋_GB2312"/>
          <w:sz w:val="32"/>
          <w:szCs w:val="32"/>
          <w:lang w:eastAsia="zh-CN"/>
        </w:rPr>
        <w:t>，受益脱贫户及</w:t>
      </w:r>
      <w:r>
        <w:rPr>
          <w:rFonts w:hint="eastAsia" w:ascii="仿宋_GB2312" w:hAnsi="仿宋_GB2312" w:eastAsia="仿宋_GB2312" w:cs="仿宋_GB2312"/>
          <w:sz w:val="32"/>
          <w:szCs w:val="32"/>
          <w:lang w:val="en-US" w:eastAsia="zh-CN"/>
        </w:rPr>
        <w:t>监测</w:t>
      </w:r>
      <w:r>
        <w:rPr>
          <w:rFonts w:hint="eastAsia" w:ascii="仿宋_GB2312" w:hAnsi="仿宋_GB2312" w:eastAsia="仿宋_GB2312" w:cs="仿宋_GB2312"/>
          <w:sz w:val="32"/>
          <w:szCs w:val="32"/>
          <w:lang w:eastAsia="zh-CN"/>
        </w:rPr>
        <w:t>户人口满意度</w:t>
      </w:r>
      <w:r>
        <w:rPr>
          <w:rFonts w:hint="eastAsia" w:ascii="仿宋_GB2312" w:hAnsi="仿宋_GB2312" w:eastAsia="仿宋_GB2312" w:cs="仿宋_GB2312"/>
          <w:sz w:val="32"/>
          <w:szCs w:val="32"/>
          <w:lang w:val="en-US" w:eastAsia="zh-CN"/>
        </w:rPr>
        <w:t>达到95%以上</w:t>
      </w:r>
      <w:r>
        <w:rPr>
          <w:rFonts w:hint="eastAsia" w:ascii="仿宋_GB2312" w:hAnsi="仿宋_GB2312" w:eastAsia="仿宋_GB2312" w:cs="仿宋_GB2312"/>
          <w:sz w:val="32"/>
          <w:szCs w:val="32"/>
        </w:rPr>
        <w:t xml:space="preserve">。 </w:t>
      </w:r>
    </w:p>
    <w:p>
      <w:pPr>
        <w:pStyle w:val="12"/>
        <w:pageBreakBefore w:val="0"/>
        <w:topLinePunct w:val="0"/>
        <w:bidi w:val="0"/>
        <w:spacing w:line="560" w:lineRule="exact"/>
        <w:ind w:firstLine="640"/>
        <w:rPr>
          <w:rFonts w:hint="eastAsia" w:ascii="黑体" w:hAnsi="黑体" w:eastAsia="黑体" w:cs="黑体"/>
          <w:color w:val="000000"/>
          <w:sz w:val="32"/>
        </w:rPr>
      </w:pPr>
      <w:r>
        <w:rPr>
          <w:rFonts w:hint="eastAsia" w:ascii="黑体" w:hAnsi="黑体" w:eastAsia="黑体" w:cs="黑体"/>
          <w:color w:val="000000"/>
          <w:sz w:val="32"/>
        </w:rPr>
        <w:t>八、风险分析及防控措施</w:t>
      </w:r>
    </w:p>
    <w:p>
      <w:pPr>
        <w:pStyle w:val="12"/>
        <w:pageBreakBefore w:val="0"/>
        <w:topLinePunct w:val="0"/>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（一）主要风险因素。</w:t>
      </w:r>
      <w:r>
        <w:rPr>
          <w:rFonts w:hint="eastAsia" w:ascii="仿宋_GB2312" w:hAnsi="仿宋_GB2312" w:eastAsia="仿宋_GB2312" w:cs="仿宋_GB2312"/>
          <w:sz w:val="32"/>
          <w:szCs w:val="32"/>
        </w:rPr>
        <w:t>在项目实施过程中，沿线交通影响，</w:t>
      </w:r>
      <w:r>
        <w:rPr>
          <w:rFonts w:hint="eastAsia" w:ascii="仿宋_GB2312" w:eastAsia="仿宋_GB2312"/>
          <w:sz w:val="32"/>
          <w:szCs w:val="32"/>
        </w:rPr>
        <w:t>施工人员安全意识不高风险</w:t>
      </w:r>
      <w:r>
        <w:rPr>
          <w:rFonts w:hint="eastAsia" w:ascii="仿宋_GB2312" w:hAnsi="仿宋_GB2312" w:eastAsia="仿宋_GB2312" w:cs="仿宋_GB2312"/>
          <w:sz w:val="32"/>
          <w:szCs w:val="32"/>
        </w:rPr>
        <w:t>、</w:t>
      </w:r>
      <w:r>
        <w:rPr>
          <w:rFonts w:hint="eastAsia" w:ascii="仿宋_GB2312" w:eastAsia="仿宋_GB2312"/>
          <w:sz w:val="32"/>
          <w:szCs w:val="32"/>
        </w:rPr>
        <w:t>施工设备风险</w:t>
      </w:r>
      <w:r>
        <w:rPr>
          <w:rFonts w:hint="eastAsia" w:ascii="仿宋_GB2312" w:hAnsi="仿宋_GB2312" w:eastAsia="仿宋_GB2312" w:cs="仿宋_GB2312"/>
          <w:sz w:val="32"/>
          <w:szCs w:val="32"/>
        </w:rPr>
        <w:t>及施工单位内部管理不善等问题方面会对当地村庄和农牧民造成一些影响。</w:t>
      </w:r>
    </w:p>
    <w:p>
      <w:pPr>
        <w:pStyle w:val="11"/>
        <w:pageBreakBefore w:val="0"/>
        <w:topLinePunct w:val="0"/>
        <w:bidi w:val="0"/>
        <w:spacing w:line="560" w:lineRule="exact"/>
        <w:ind w:firstLine="640"/>
        <w:rPr>
          <w:rFonts w:ascii="仿宋_GB2312"/>
          <w:sz w:val="32"/>
          <w:szCs w:val="32"/>
        </w:rPr>
      </w:pPr>
      <w:r>
        <w:rPr>
          <w:rFonts w:hint="eastAsia" w:ascii="仿宋_GB2312" w:hAnsi="仿宋_GB2312" w:cs="仿宋_GB2312"/>
          <w:b/>
          <w:bCs/>
          <w:sz w:val="32"/>
          <w:szCs w:val="32"/>
        </w:rPr>
        <w:t>（二）防范化解措施。</w:t>
      </w:r>
      <w:r>
        <w:rPr>
          <w:rFonts w:hint="eastAsia" w:ascii="仿宋_GB2312"/>
          <w:b/>
          <w:bCs/>
          <w:sz w:val="32"/>
          <w:szCs w:val="32"/>
        </w:rPr>
        <w:t>一是</w:t>
      </w:r>
      <w:r>
        <w:rPr>
          <w:rFonts w:hint="eastAsia" w:ascii="仿宋_GB2312"/>
          <w:sz w:val="32"/>
          <w:szCs w:val="32"/>
        </w:rPr>
        <w:t>施工单位加强工程车辆驾驶人员交通安全教育，施工车辆按指定线路行驶，在穿越村庄、人口密集区域要减速慢行；</w:t>
      </w:r>
      <w:r>
        <w:rPr>
          <w:rFonts w:hint="eastAsia" w:ascii="仿宋_GB2312"/>
          <w:b/>
          <w:bCs/>
          <w:sz w:val="32"/>
          <w:szCs w:val="32"/>
        </w:rPr>
        <w:t>二是</w:t>
      </w:r>
      <w:r>
        <w:rPr>
          <w:rFonts w:hint="eastAsia" w:ascii="仿宋_GB2312"/>
          <w:sz w:val="32"/>
          <w:szCs w:val="32"/>
        </w:rPr>
        <w:t>对施工人员开展对安全意识的培训和宣讲；</w:t>
      </w:r>
      <w:r>
        <w:rPr>
          <w:rFonts w:hint="eastAsia" w:ascii="仿宋_GB2312"/>
          <w:b/>
          <w:bCs/>
          <w:sz w:val="32"/>
          <w:szCs w:val="32"/>
        </w:rPr>
        <w:t>三是</w:t>
      </w:r>
      <w:r>
        <w:rPr>
          <w:rFonts w:hint="eastAsia" w:ascii="仿宋_GB2312"/>
          <w:sz w:val="32"/>
          <w:szCs w:val="32"/>
        </w:rPr>
        <w:t>检查施工设备使用许可证等材料，确保施工设备无隐患。</w:t>
      </w:r>
    </w:p>
    <w:p>
      <w:pPr>
        <w:pStyle w:val="11"/>
        <w:spacing w:line="580" w:lineRule="exact"/>
        <w:ind w:firstLine="0" w:firstLineChars="0"/>
        <w:rPr>
          <w:rFonts w:ascii="仿宋_GB2312"/>
          <w:sz w:val="32"/>
          <w:szCs w:val="32"/>
        </w:rPr>
      </w:pPr>
      <w:bookmarkStart w:id="0" w:name="_GoBack"/>
      <w:bookmarkEnd w:id="0"/>
    </w:p>
    <w:sectPr>
      <w:footerReference r:id="rId3" w:type="default"/>
      <w:pgSz w:w="11906" w:h="16838"/>
      <w:pgMar w:top="2098" w:right="1531" w:bottom="1984"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60E714-860A-4BA0-B70A-EFF01007F61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embedRegular r:id="rId2" w:fontKey="{698642CA-E493-4421-9736-5964DB869F5B}"/>
  </w:font>
  <w:font w:name="方正小标宋简体">
    <w:panose1 w:val="02010600010101010101"/>
    <w:charset w:val="86"/>
    <w:family w:val="script"/>
    <w:pitch w:val="default"/>
    <w:sig w:usb0="00000000" w:usb1="00000000" w:usb2="00000000" w:usb3="00000000" w:csb0="00000000" w:csb1="00000000"/>
    <w:embedRegular r:id="rId3" w:fontKey="{59C5F714-1573-40FB-89CB-166F139A85BA}"/>
  </w:font>
  <w:font w:name="楷体_GB2312">
    <w:altName w:val="楷体"/>
    <w:panose1 w:val="00000000000000000000"/>
    <w:charset w:val="86"/>
    <w:family w:val="auto"/>
    <w:pitch w:val="default"/>
    <w:sig w:usb0="00000000" w:usb1="00000000" w:usb2="00000000" w:usb3="00000000" w:csb0="00040000" w:csb1="00000000"/>
    <w:embedRegular r:id="rId4" w:fontKey="{290CC7D7-69B1-4B20-96CB-8415B70483D8}"/>
  </w:font>
  <w:font w:name="方正楷体_GBK">
    <w:altName w:val="微软雅黑"/>
    <w:panose1 w:val="00000000000000000000"/>
    <w:charset w:val="86"/>
    <w:family w:val="auto"/>
    <w:pitch w:val="default"/>
    <w:sig w:usb0="00000000" w:usb1="00000000" w:usb2="00082016" w:usb3="00000000" w:csb0="00040001" w:csb1="00000000"/>
    <w:embedRegular r:id="rId5" w:fontKey="{18A2FCD8-4F9D-4B94-B4BD-EB9F927BE83A}"/>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cs="宋体"/>
                              <w:sz w:val="22"/>
                            </w:rPr>
                          </w:pPr>
                          <w:r>
                            <w:rPr>
                              <w:rFonts w:hint="eastAsia" w:ascii="宋体" w:hAnsi="宋体" w:cs="宋体"/>
                              <w:sz w:val="22"/>
                            </w:rPr>
                            <w:fldChar w:fldCharType="begin"/>
                          </w:r>
                          <w:r>
                            <w:rPr>
                              <w:rFonts w:hint="eastAsia" w:ascii="宋体" w:hAnsi="宋体" w:cs="宋体"/>
                              <w:sz w:val="22"/>
                            </w:rPr>
                            <w:instrText xml:space="preserve"> PAGE  \* MERGEFORMAT </w:instrText>
                          </w:r>
                          <w:r>
                            <w:rPr>
                              <w:rFonts w:hint="eastAsia" w:ascii="宋体" w:hAnsi="宋体" w:cs="宋体"/>
                              <w:sz w:val="22"/>
                            </w:rPr>
                            <w:fldChar w:fldCharType="separate"/>
                          </w:r>
                          <w:r>
                            <w:rPr>
                              <w:rFonts w:hint="eastAsia" w:ascii="宋体" w:hAnsi="宋体" w:cs="宋体"/>
                              <w:sz w:val="22"/>
                            </w:rPr>
                            <w:t>1</w:t>
                          </w:r>
                          <w:r>
                            <w:rPr>
                              <w:rFonts w:hint="eastAsia" w:ascii="宋体" w:hAnsi="宋体" w:cs="宋体"/>
                              <w:sz w:val="2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rPr>
                        <w:rFonts w:hint="eastAsia" w:ascii="宋体" w:hAnsi="宋体" w:cs="宋体"/>
                        <w:sz w:val="22"/>
                      </w:rPr>
                    </w:pPr>
                    <w:r>
                      <w:rPr>
                        <w:rFonts w:hint="eastAsia" w:ascii="宋体" w:hAnsi="宋体" w:cs="宋体"/>
                        <w:sz w:val="22"/>
                      </w:rPr>
                      <w:fldChar w:fldCharType="begin"/>
                    </w:r>
                    <w:r>
                      <w:rPr>
                        <w:rFonts w:hint="eastAsia" w:ascii="宋体" w:hAnsi="宋体" w:cs="宋体"/>
                        <w:sz w:val="22"/>
                      </w:rPr>
                      <w:instrText xml:space="preserve"> PAGE  \* MERGEFORMAT </w:instrText>
                    </w:r>
                    <w:r>
                      <w:rPr>
                        <w:rFonts w:hint="eastAsia" w:ascii="宋体" w:hAnsi="宋体" w:cs="宋体"/>
                        <w:sz w:val="22"/>
                      </w:rPr>
                      <w:fldChar w:fldCharType="separate"/>
                    </w:r>
                    <w:r>
                      <w:rPr>
                        <w:rFonts w:hint="eastAsia" w:ascii="宋体" w:hAnsi="宋体" w:cs="宋体"/>
                        <w:sz w:val="22"/>
                      </w:rPr>
                      <w:t>1</w:t>
                    </w:r>
                    <w:r>
                      <w:rPr>
                        <w:rFonts w:hint="eastAsia" w:ascii="宋体" w:hAnsi="宋体" w:cs="宋体"/>
                        <w:sz w:val="2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47F876"/>
    <w:multiLevelType w:val="singleLevel"/>
    <w:tmpl w:val="6447F87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2Y2FmYjQyOWZhZmQ2YjRkNjk5MzJhZGViOTNmZjcifQ=="/>
    <w:docVar w:name="KSO_WPS_MARK_KEY" w:val="8fab64b6-ac4c-40e8-ae1d-e6b0c7ad38ef"/>
  </w:docVars>
  <w:rsids>
    <w:rsidRoot w:val="00116124"/>
    <w:rsid w:val="00005ABA"/>
    <w:rsid w:val="00070FDF"/>
    <w:rsid w:val="00096A22"/>
    <w:rsid w:val="000F437A"/>
    <w:rsid w:val="00116124"/>
    <w:rsid w:val="001771DD"/>
    <w:rsid w:val="001C6D93"/>
    <w:rsid w:val="001E2F46"/>
    <w:rsid w:val="002208DF"/>
    <w:rsid w:val="002A134F"/>
    <w:rsid w:val="0046550B"/>
    <w:rsid w:val="004705E2"/>
    <w:rsid w:val="004C6E85"/>
    <w:rsid w:val="00542459"/>
    <w:rsid w:val="00542D27"/>
    <w:rsid w:val="00596FA7"/>
    <w:rsid w:val="005A6DAF"/>
    <w:rsid w:val="005C088A"/>
    <w:rsid w:val="006273DF"/>
    <w:rsid w:val="00657369"/>
    <w:rsid w:val="00675373"/>
    <w:rsid w:val="006F473B"/>
    <w:rsid w:val="0070221A"/>
    <w:rsid w:val="00733F67"/>
    <w:rsid w:val="007524C2"/>
    <w:rsid w:val="00776B81"/>
    <w:rsid w:val="00796C85"/>
    <w:rsid w:val="007C1373"/>
    <w:rsid w:val="007D3049"/>
    <w:rsid w:val="007F27CB"/>
    <w:rsid w:val="007F4954"/>
    <w:rsid w:val="00853E1A"/>
    <w:rsid w:val="008C1350"/>
    <w:rsid w:val="008D7C40"/>
    <w:rsid w:val="008F6EB2"/>
    <w:rsid w:val="00A93093"/>
    <w:rsid w:val="00AB366D"/>
    <w:rsid w:val="00AE2345"/>
    <w:rsid w:val="00B97C3A"/>
    <w:rsid w:val="00BA668A"/>
    <w:rsid w:val="00BF0A41"/>
    <w:rsid w:val="00C40034"/>
    <w:rsid w:val="00C662D3"/>
    <w:rsid w:val="00D44DE5"/>
    <w:rsid w:val="00D7622A"/>
    <w:rsid w:val="00EA20E0"/>
    <w:rsid w:val="00EE50BA"/>
    <w:rsid w:val="00F06F80"/>
    <w:rsid w:val="01462060"/>
    <w:rsid w:val="01635C49"/>
    <w:rsid w:val="018207C5"/>
    <w:rsid w:val="01890ABE"/>
    <w:rsid w:val="01E70E23"/>
    <w:rsid w:val="02855BB3"/>
    <w:rsid w:val="030627EF"/>
    <w:rsid w:val="0320472C"/>
    <w:rsid w:val="032F2286"/>
    <w:rsid w:val="03660631"/>
    <w:rsid w:val="03667C72"/>
    <w:rsid w:val="04A70542"/>
    <w:rsid w:val="04D74983"/>
    <w:rsid w:val="05281683"/>
    <w:rsid w:val="056C4BCF"/>
    <w:rsid w:val="057B5469"/>
    <w:rsid w:val="06A46DCE"/>
    <w:rsid w:val="06A50AB1"/>
    <w:rsid w:val="06B331CE"/>
    <w:rsid w:val="06DC2725"/>
    <w:rsid w:val="06EE6695"/>
    <w:rsid w:val="07220877"/>
    <w:rsid w:val="07375BAD"/>
    <w:rsid w:val="07481B68"/>
    <w:rsid w:val="075C73C2"/>
    <w:rsid w:val="07DF3D76"/>
    <w:rsid w:val="07ED0962"/>
    <w:rsid w:val="08F03E56"/>
    <w:rsid w:val="09750C0F"/>
    <w:rsid w:val="0A5E44E5"/>
    <w:rsid w:val="0A9512D8"/>
    <w:rsid w:val="0A9F7F87"/>
    <w:rsid w:val="0AC12341"/>
    <w:rsid w:val="0AF10769"/>
    <w:rsid w:val="0B0852EB"/>
    <w:rsid w:val="0B2818D2"/>
    <w:rsid w:val="0B8213C1"/>
    <w:rsid w:val="0B8A0664"/>
    <w:rsid w:val="0BAD1BD9"/>
    <w:rsid w:val="0C9C4E58"/>
    <w:rsid w:val="0CA02447"/>
    <w:rsid w:val="0CDE6ACB"/>
    <w:rsid w:val="0D2501EA"/>
    <w:rsid w:val="0D496C9C"/>
    <w:rsid w:val="0D4B0AF2"/>
    <w:rsid w:val="0D4E3C51"/>
    <w:rsid w:val="0D534C61"/>
    <w:rsid w:val="0D67155B"/>
    <w:rsid w:val="0D892EDB"/>
    <w:rsid w:val="0E815FF4"/>
    <w:rsid w:val="0ED62150"/>
    <w:rsid w:val="0EEA79A9"/>
    <w:rsid w:val="0F0C791F"/>
    <w:rsid w:val="0F156DAA"/>
    <w:rsid w:val="0F2366B0"/>
    <w:rsid w:val="0F764F72"/>
    <w:rsid w:val="0FAD1102"/>
    <w:rsid w:val="104A4BA3"/>
    <w:rsid w:val="10514F3B"/>
    <w:rsid w:val="10A261D2"/>
    <w:rsid w:val="10B75245"/>
    <w:rsid w:val="10F845FF"/>
    <w:rsid w:val="10FB7C4C"/>
    <w:rsid w:val="110F5F3C"/>
    <w:rsid w:val="1116794B"/>
    <w:rsid w:val="114D152F"/>
    <w:rsid w:val="11625F1D"/>
    <w:rsid w:val="11861234"/>
    <w:rsid w:val="11F96B22"/>
    <w:rsid w:val="126A4E28"/>
    <w:rsid w:val="126D4B79"/>
    <w:rsid w:val="12794394"/>
    <w:rsid w:val="12993BC0"/>
    <w:rsid w:val="12AB428D"/>
    <w:rsid w:val="12C10A90"/>
    <w:rsid w:val="131E6233"/>
    <w:rsid w:val="13710699"/>
    <w:rsid w:val="14383B1F"/>
    <w:rsid w:val="145A2EDB"/>
    <w:rsid w:val="14A2638D"/>
    <w:rsid w:val="14DA401C"/>
    <w:rsid w:val="14E21B85"/>
    <w:rsid w:val="14F07E92"/>
    <w:rsid w:val="156E30E2"/>
    <w:rsid w:val="157F1E7B"/>
    <w:rsid w:val="15806971"/>
    <w:rsid w:val="15D34E8C"/>
    <w:rsid w:val="15EA609A"/>
    <w:rsid w:val="15F856F6"/>
    <w:rsid w:val="16021A7C"/>
    <w:rsid w:val="16427B55"/>
    <w:rsid w:val="16473933"/>
    <w:rsid w:val="165D4F05"/>
    <w:rsid w:val="16AE28C5"/>
    <w:rsid w:val="16BE3BF5"/>
    <w:rsid w:val="16C3120C"/>
    <w:rsid w:val="16FB0393"/>
    <w:rsid w:val="16FB6BF7"/>
    <w:rsid w:val="1715602C"/>
    <w:rsid w:val="17487963"/>
    <w:rsid w:val="17895171"/>
    <w:rsid w:val="17E94CA2"/>
    <w:rsid w:val="17F76B77"/>
    <w:rsid w:val="18770500"/>
    <w:rsid w:val="1903775E"/>
    <w:rsid w:val="191D5A38"/>
    <w:rsid w:val="19263CD4"/>
    <w:rsid w:val="1958411B"/>
    <w:rsid w:val="19AE4CC9"/>
    <w:rsid w:val="1A21446B"/>
    <w:rsid w:val="1A371E92"/>
    <w:rsid w:val="1A7D3DC7"/>
    <w:rsid w:val="1B7C407F"/>
    <w:rsid w:val="1BB47375"/>
    <w:rsid w:val="1BC41B87"/>
    <w:rsid w:val="1C403AF3"/>
    <w:rsid w:val="1C5B5A42"/>
    <w:rsid w:val="1C694603"/>
    <w:rsid w:val="1C984EE8"/>
    <w:rsid w:val="1CB872C1"/>
    <w:rsid w:val="1CCF7ADB"/>
    <w:rsid w:val="1D102CD1"/>
    <w:rsid w:val="1D3949FB"/>
    <w:rsid w:val="1D6E24A9"/>
    <w:rsid w:val="1DD26069"/>
    <w:rsid w:val="1E0C7689"/>
    <w:rsid w:val="1E107430"/>
    <w:rsid w:val="1E214A6A"/>
    <w:rsid w:val="1E244167"/>
    <w:rsid w:val="1E622180"/>
    <w:rsid w:val="1E9A6CF6"/>
    <w:rsid w:val="1EB678A8"/>
    <w:rsid w:val="1EFD718C"/>
    <w:rsid w:val="1F115EE7"/>
    <w:rsid w:val="1F2B2ACC"/>
    <w:rsid w:val="1F33463C"/>
    <w:rsid w:val="1F3F61AC"/>
    <w:rsid w:val="1FAB28E0"/>
    <w:rsid w:val="20222173"/>
    <w:rsid w:val="20601879"/>
    <w:rsid w:val="209B0B03"/>
    <w:rsid w:val="20A420AE"/>
    <w:rsid w:val="20EB0201"/>
    <w:rsid w:val="2110382E"/>
    <w:rsid w:val="212E5E1B"/>
    <w:rsid w:val="217A6A7B"/>
    <w:rsid w:val="2187565E"/>
    <w:rsid w:val="218E76F7"/>
    <w:rsid w:val="219771C8"/>
    <w:rsid w:val="21A659B2"/>
    <w:rsid w:val="21B57143"/>
    <w:rsid w:val="21BF4CC5"/>
    <w:rsid w:val="223378A5"/>
    <w:rsid w:val="225C42C2"/>
    <w:rsid w:val="22BC75A7"/>
    <w:rsid w:val="22C12E9B"/>
    <w:rsid w:val="22CC31F6"/>
    <w:rsid w:val="22FD5AA5"/>
    <w:rsid w:val="23A221A9"/>
    <w:rsid w:val="24107C52"/>
    <w:rsid w:val="24264B63"/>
    <w:rsid w:val="24585E2B"/>
    <w:rsid w:val="24E82E11"/>
    <w:rsid w:val="25500ECC"/>
    <w:rsid w:val="25DA5A28"/>
    <w:rsid w:val="25E60A73"/>
    <w:rsid w:val="25ED0053"/>
    <w:rsid w:val="26165408"/>
    <w:rsid w:val="267E6EFD"/>
    <w:rsid w:val="26A80C9E"/>
    <w:rsid w:val="26A9465B"/>
    <w:rsid w:val="26B612F4"/>
    <w:rsid w:val="272E26D1"/>
    <w:rsid w:val="2818773B"/>
    <w:rsid w:val="28537F15"/>
    <w:rsid w:val="28A47FE6"/>
    <w:rsid w:val="28B255B3"/>
    <w:rsid w:val="28EC4B1F"/>
    <w:rsid w:val="2904069D"/>
    <w:rsid w:val="29387837"/>
    <w:rsid w:val="296323DA"/>
    <w:rsid w:val="29664B7B"/>
    <w:rsid w:val="29762A3E"/>
    <w:rsid w:val="2A2D130C"/>
    <w:rsid w:val="2AC94F40"/>
    <w:rsid w:val="2AEC6B2B"/>
    <w:rsid w:val="2B2F07C6"/>
    <w:rsid w:val="2B82752D"/>
    <w:rsid w:val="2BF13CCD"/>
    <w:rsid w:val="2C583423"/>
    <w:rsid w:val="2CA86E5A"/>
    <w:rsid w:val="2CDA7DE9"/>
    <w:rsid w:val="2D263E4A"/>
    <w:rsid w:val="2D527BAA"/>
    <w:rsid w:val="2D752B05"/>
    <w:rsid w:val="2D773D38"/>
    <w:rsid w:val="2E33681F"/>
    <w:rsid w:val="2E611F67"/>
    <w:rsid w:val="2EF266DA"/>
    <w:rsid w:val="2EFA558F"/>
    <w:rsid w:val="2F4F0681"/>
    <w:rsid w:val="30751371"/>
    <w:rsid w:val="308B29B1"/>
    <w:rsid w:val="31097D0B"/>
    <w:rsid w:val="3121578D"/>
    <w:rsid w:val="318450A2"/>
    <w:rsid w:val="3239017C"/>
    <w:rsid w:val="32840F7B"/>
    <w:rsid w:val="32C363F2"/>
    <w:rsid w:val="32E9083F"/>
    <w:rsid w:val="32ED1692"/>
    <w:rsid w:val="32F6606D"/>
    <w:rsid w:val="3307262F"/>
    <w:rsid w:val="3320658D"/>
    <w:rsid w:val="33727609"/>
    <w:rsid w:val="338806E6"/>
    <w:rsid w:val="33892417"/>
    <w:rsid w:val="339604B0"/>
    <w:rsid w:val="339935C8"/>
    <w:rsid w:val="33C93C57"/>
    <w:rsid w:val="33F10EAA"/>
    <w:rsid w:val="34207846"/>
    <w:rsid w:val="34256C0A"/>
    <w:rsid w:val="343C4012"/>
    <w:rsid w:val="34F62B5B"/>
    <w:rsid w:val="353763F3"/>
    <w:rsid w:val="353F332F"/>
    <w:rsid w:val="356C0041"/>
    <w:rsid w:val="358513AA"/>
    <w:rsid w:val="359A3C5D"/>
    <w:rsid w:val="35AE2C2F"/>
    <w:rsid w:val="35B53FBD"/>
    <w:rsid w:val="35C3492C"/>
    <w:rsid w:val="35F70028"/>
    <w:rsid w:val="361B73C0"/>
    <w:rsid w:val="362366DD"/>
    <w:rsid w:val="365359CB"/>
    <w:rsid w:val="365D6B2F"/>
    <w:rsid w:val="3670428D"/>
    <w:rsid w:val="36AA5455"/>
    <w:rsid w:val="36EC1C61"/>
    <w:rsid w:val="37FA215C"/>
    <w:rsid w:val="381F1BC2"/>
    <w:rsid w:val="3847575F"/>
    <w:rsid w:val="38521F98"/>
    <w:rsid w:val="38677D19"/>
    <w:rsid w:val="38871C41"/>
    <w:rsid w:val="388E20A9"/>
    <w:rsid w:val="389836C4"/>
    <w:rsid w:val="38E86458"/>
    <w:rsid w:val="390F1F9A"/>
    <w:rsid w:val="394D47D0"/>
    <w:rsid w:val="39A131D7"/>
    <w:rsid w:val="39B568AA"/>
    <w:rsid w:val="39C173D5"/>
    <w:rsid w:val="39E82BB3"/>
    <w:rsid w:val="39F01A68"/>
    <w:rsid w:val="3ACB5EF4"/>
    <w:rsid w:val="3AFE4893"/>
    <w:rsid w:val="3B620DBB"/>
    <w:rsid w:val="3C17582D"/>
    <w:rsid w:val="3C74072E"/>
    <w:rsid w:val="3CBC3644"/>
    <w:rsid w:val="3CE16829"/>
    <w:rsid w:val="3CE84173"/>
    <w:rsid w:val="3D033860"/>
    <w:rsid w:val="3D6E2DF6"/>
    <w:rsid w:val="3DC21F90"/>
    <w:rsid w:val="3DDB1C1B"/>
    <w:rsid w:val="3DFE363F"/>
    <w:rsid w:val="3E2F1738"/>
    <w:rsid w:val="3E421FC8"/>
    <w:rsid w:val="3EA55BD9"/>
    <w:rsid w:val="3EBC6496"/>
    <w:rsid w:val="3F9FE6C3"/>
    <w:rsid w:val="3FA23805"/>
    <w:rsid w:val="3FE239E8"/>
    <w:rsid w:val="3FFFB6D9"/>
    <w:rsid w:val="403A6D63"/>
    <w:rsid w:val="40A53342"/>
    <w:rsid w:val="41157011"/>
    <w:rsid w:val="41AC7E24"/>
    <w:rsid w:val="422B6E76"/>
    <w:rsid w:val="42667C51"/>
    <w:rsid w:val="42DC48EE"/>
    <w:rsid w:val="43181B29"/>
    <w:rsid w:val="43390F13"/>
    <w:rsid w:val="436D237B"/>
    <w:rsid w:val="43BB619D"/>
    <w:rsid w:val="44560717"/>
    <w:rsid w:val="447A1F8B"/>
    <w:rsid w:val="44A8366B"/>
    <w:rsid w:val="44B85878"/>
    <w:rsid w:val="44E977E0"/>
    <w:rsid w:val="45287A02"/>
    <w:rsid w:val="4537679D"/>
    <w:rsid w:val="461D3BE5"/>
    <w:rsid w:val="464A2500"/>
    <w:rsid w:val="464F7393"/>
    <w:rsid w:val="46823835"/>
    <w:rsid w:val="472135DE"/>
    <w:rsid w:val="474F7076"/>
    <w:rsid w:val="475950F1"/>
    <w:rsid w:val="48527FB8"/>
    <w:rsid w:val="48CE4CD3"/>
    <w:rsid w:val="48FD5F50"/>
    <w:rsid w:val="497C2316"/>
    <w:rsid w:val="49FE3267"/>
    <w:rsid w:val="4A2C1684"/>
    <w:rsid w:val="4B2C0426"/>
    <w:rsid w:val="4B6978CC"/>
    <w:rsid w:val="4BD411EA"/>
    <w:rsid w:val="4BFB4426"/>
    <w:rsid w:val="4C39729F"/>
    <w:rsid w:val="4C512529"/>
    <w:rsid w:val="4C9323E3"/>
    <w:rsid w:val="4C9A35C3"/>
    <w:rsid w:val="4C9D4F08"/>
    <w:rsid w:val="4CB65E11"/>
    <w:rsid w:val="4CC24F84"/>
    <w:rsid w:val="4D1671A9"/>
    <w:rsid w:val="4D2F56DD"/>
    <w:rsid w:val="4D762B73"/>
    <w:rsid w:val="4DC63A67"/>
    <w:rsid w:val="4DDA68D8"/>
    <w:rsid w:val="4E6B0B25"/>
    <w:rsid w:val="4F523586"/>
    <w:rsid w:val="503A0BDB"/>
    <w:rsid w:val="5074560B"/>
    <w:rsid w:val="5121659A"/>
    <w:rsid w:val="51894824"/>
    <w:rsid w:val="51B718A0"/>
    <w:rsid w:val="51DA5080"/>
    <w:rsid w:val="52120B91"/>
    <w:rsid w:val="522105B9"/>
    <w:rsid w:val="524F3C18"/>
    <w:rsid w:val="5398567F"/>
    <w:rsid w:val="53CD5AD1"/>
    <w:rsid w:val="53D5522E"/>
    <w:rsid w:val="54070A08"/>
    <w:rsid w:val="541C4A45"/>
    <w:rsid w:val="541C54DC"/>
    <w:rsid w:val="541C564C"/>
    <w:rsid w:val="54232D0E"/>
    <w:rsid w:val="54936A7E"/>
    <w:rsid w:val="549C486F"/>
    <w:rsid w:val="5531145B"/>
    <w:rsid w:val="553373D2"/>
    <w:rsid w:val="553D7E00"/>
    <w:rsid w:val="55480552"/>
    <w:rsid w:val="55745E6F"/>
    <w:rsid w:val="564776E0"/>
    <w:rsid w:val="565203AE"/>
    <w:rsid w:val="571F2965"/>
    <w:rsid w:val="574A6117"/>
    <w:rsid w:val="576A2A02"/>
    <w:rsid w:val="57D75D0A"/>
    <w:rsid w:val="57FA3D86"/>
    <w:rsid w:val="58621C98"/>
    <w:rsid w:val="58632671"/>
    <w:rsid w:val="586B6A32"/>
    <w:rsid w:val="58711B6E"/>
    <w:rsid w:val="58D5734A"/>
    <w:rsid w:val="58F22CAF"/>
    <w:rsid w:val="593E58F0"/>
    <w:rsid w:val="5994017A"/>
    <w:rsid w:val="59F20C01"/>
    <w:rsid w:val="5A767910"/>
    <w:rsid w:val="5AC661A1"/>
    <w:rsid w:val="5AE8436A"/>
    <w:rsid w:val="5B6D486F"/>
    <w:rsid w:val="5B920CB2"/>
    <w:rsid w:val="5B942D41"/>
    <w:rsid w:val="5C6043D4"/>
    <w:rsid w:val="5C8A1252"/>
    <w:rsid w:val="5EF37781"/>
    <w:rsid w:val="5F2E4E72"/>
    <w:rsid w:val="5F3C1128"/>
    <w:rsid w:val="5F8737D0"/>
    <w:rsid w:val="60AB6F25"/>
    <w:rsid w:val="60F63ECD"/>
    <w:rsid w:val="61166A56"/>
    <w:rsid w:val="614C18AC"/>
    <w:rsid w:val="61A82AC8"/>
    <w:rsid w:val="61B2122D"/>
    <w:rsid w:val="61DD059C"/>
    <w:rsid w:val="6237721C"/>
    <w:rsid w:val="628768D7"/>
    <w:rsid w:val="62983D17"/>
    <w:rsid w:val="62FA40E4"/>
    <w:rsid w:val="63823B72"/>
    <w:rsid w:val="63936E3D"/>
    <w:rsid w:val="63A36061"/>
    <w:rsid w:val="63A50BC6"/>
    <w:rsid w:val="641F3432"/>
    <w:rsid w:val="64AC28AC"/>
    <w:rsid w:val="64FB4AE1"/>
    <w:rsid w:val="65724118"/>
    <w:rsid w:val="65935AD0"/>
    <w:rsid w:val="660C5D78"/>
    <w:rsid w:val="662621A5"/>
    <w:rsid w:val="663560F3"/>
    <w:rsid w:val="66641930"/>
    <w:rsid w:val="66B01E39"/>
    <w:rsid w:val="66DC6D4D"/>
    <w:rsid w:val="66DF7006"/>
    <w:rsid w:val="66E83943"/>
    <w:rsid w:val="66EA2BF4"/>
    <w:rsid w:val="672A3F5C"/>
    <w:rsid w:val="67964967"/>
    <w:rsid w:val="679F8DA4"/>
    <w:rsid w:val="67E525E5"/>
    <w:rsid w:val="686F7E78"/>
    <w:rsid w:val="68CE4573"/>
    <w:rsid w:val="694F5D35"/>
    <w:rsid w:val="6973229C"/>
    <w:rsid w:val="69DA40C7"/>
    <w:rsid w:val="6A126C4B"/>
    <w:rsid w:val="6ADA374E"/>
    <w:rsid w:val="6B0A3E88"/>
    <w:rsid w:val="6B196B94"/>
    <w:rsid w:val="6B301415"/>
    <w:rsid w:val="6B856DA3"/>
    <w:rsid w:val="6BD3331E"/>
    <w:rsid w:val="6BD60993"/>
    <w:rsid w:val="6C120DE2"/>
    <w:rsid w:val="6C240F7A"/>
    <w:rsid w:val="6C2E7428"/>
    <w:rsid w:val="6D125276"/>
    <w:rsid w:val="6DA87988"/>
    <w:rsid w:val="6DBB72D5"/>
    <w:rsid w:val="6E3A2AAE"/>
    <w:rsid w:val="6EA01E1E"/>
    <w:rsid w:val="6EC151A6"/>
    <w:rsid w:val="6EEB7101"/>
    <w:rsid w:val="6F5E47A3"/>
    <w:rsid w:val="6FB22D40"/>
    <w:rsid w:val="6FC33D53"/>
    <w:rsid w:val="6FFEEE74"/>
    <w:rsid w:val="702F4391"/>
    <w:rsid w:val="706109B8"/>
    <w:rsid w:val="706A7177"/>
    <w:rsid w:val="70ACA51A"/>
    <w:rsid w:val="70BA21C9"/>
    <w:rsid w:val="710C2988"/>
    <w:rsid w:val="7129294F"/>
    <w:rsid w:val="7148395C"/>
    <w:rsid w:val="715C11B6"/>
    <w:rsid w:val="718801FD"/>
    <w:rsid w:val="71ED0359"/>
    <w:rsid w:val="728260A0"/>
    <w:rsid w:val="730D09BA"/>
    <w:rsid w:val="73746C86"/>
    <w:rsid w:val="738C508F"/>
    <w:rsid w:val="73A3131E"/>
    <w:rsid w:val="7416564C"/>
    <w:rsid w:val="74624D35"/>
    <w:rsid w:val="74C12B7C"/>
    <w:rsid w:val="74CD2F7B"/>
    <w:rsid w:val="74E8503D"/>
    <w:rsid w:val="75011B38"/>
    <w:rsid w:val="75FA61C3"/>
    <w:rsid w:val="7610431D"/>
    <w:rsid w:val="76465F91"/>
    <w:rsid w:val="76F73CBD"/>
    <w:rsid w:val="770025E3"/>
    <w:rsid w:val="772938E8"/>
    <w:rsid w:val="776E1C43"/>
    <w:rsid w:val="778E7BEF"/>
    <w:rsid w:val="77D55E83"/>
    <w:rsid w:val="77D777E8"/>
    <w:rsid w:val="77D78531"/>
    <w:rsid w:val="77D870BC"/>
    <w:rsid w:val="77DB110C"/>
    <w:rsid w:val="783436C5"/>
    <w:rsid w:val="789739B0"/>
    <w:rsid w:val="78EB179C"/>
    <w:rsid w:val="78EE4DE9"/>
    <w:rsid w:val="798412AA"/>
    <w:rsid w:val="798A39D6"/>
    <w:rsid w:val="79D6633B"/>
    <w:rsid w:val="7ADB6CCE"/>
    <w:rsid w:val="7B024B7C"/>
    <w:rsid w:val="7B5C6FF3"/>
    <w:rsid w:val="7BA63759"/>
    <w:rsid w:val="7BFF977B"/>
    <w:rsid w:val="7C352D2F"/>
    <w:rsid w:val="7C4048C8"/>
    <w:rsid w:val="7C676926"/>
    <w:rsid w:val="7C9B7036"/>
    <w:rsid w:val="7D6F757A"/>
    <w:rsid w:val="7D8A2C07"/>
    <w:rsid w:val="7DF61FCF"/>
    <w:rsid w:val="7DFF1475"/>
    <w:rsid w:val="7E895F0E"/>
    <w:rsid w:val="7EEDC592"/>
    <w:rsid w:val="7F0709B3"/>
    <w:rsid w:val="7F1B403E"/>
    <w:rsid w:val="7F6851CA"/>
    <w:rsid w:val="7F8B7248"/>
    <w:rsid w:val="7F9411C7"/>
    <w:rsid w:val="7FBA12A0"/>
    <w:rsid w:val="7FDE58D4"/>
    <w:rsid w:val="96C720EC"/>
    <w:rsid w:val="B8F75C24"/>
    <w:rsid w:val="DAFF5B59"/>
    <w:rsid w:val="DBA73F84"/>
    <w:rsid w:val="EF6D56D2"/>
    <w:rsid w:val="EFE7B9CE"/>
    <w:rsid w:val="FA799952"/>
    <w:rsid w:val="FFBB6A3A"/>
    <w:rsid w:val="FFEE69FC"/>
    <w:rsid w:val="FFFED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4">
    <w:name w:val="Body Text"/>
    <w:basedOn w:val="1"/>
    <w:next w:val="5"/>
    <w:qFormat/>
    <w:uiPriority w:val="0"/>
    <w:pPr>
      <w:spacing w:after="120"/>
    </w:pPr>
  </w:style>
  <w:style w:type="paragraph" w:styleId="5">
    <w:name w:val="footer"/>
    <w:basedOn w:val="1"/>
    <w:next w:val="1"/>
    <w:qFormat/>
    <w:uiPriority w:val="0"/>
    <w:pPr>
      <w:tabs>
        <w:tab w:val="center" w:pos="4153"/>
        <w:tab w:val="right" w:pos="8306"/>
      </w:tabs>
      <w:snapToGrid w:val="0"/>
      <w:jc w:val="left"/>
    </w:pPr>
    <w:rPr>
      <w:sz w:val="18"/>
    </w:rPr>
  </w:style>
  <w:style w:type="paragraph" w:styleId="6">
    <w:name w:val="Body Text Indent"/>
    <w:basedOn w:val="1"/>
    <w:qFormat/>
    <w:uiPriority w:val="99"/>
    <w:pPr>
      <w:spacing w:after="120"/>
      <w:ind w:left="420" w:leftChars="200"/>
    </w:p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2"/>
    <w:basedOn w:val="6"/>
    <w:qFormat/>
    <w:uiPriority w:val="99"/>
    <w:pPr>
      <w:ind w:firstLine="420" w:firstLineChars="200"/>
    </w:pPr>
  </w:style>
  <w:style w:type="paragraph" w:customStyle="1" w:styleId="11">
    <w:name w:val="_Style 1"/>
    <w:qFormat/>
    <w:uiPriority w:val="99"/>
    <w:pPr>
      <w:widowControl w:val="0"/>
      <w:ind w:firstLine="200" w:firstLineChars="200"/>
      <w:jc w:val="both"/>
    </w:pPr>
    <w:rPr>
      <w:rFonts w:ascii="Calibri" w:hAnsi="Calibri" w:eastAsia="仿宋_GB2312" w:cs="Times New Roman"/>
      <w:kern w:val="2"/>
      <w:sz w:val="24"/>
      <w:szCs w:val="22"/>
      <w:lang w:val="en-US" w:eastAsia="zh-CN" w:bidi="ar-SA"/>
    </w:rPr>
  </w:style>
  <w:style w:type="paragraph" w:customStyle="1" w:styleId="12">
    <w:name w:val="列表段落1"/>
    <w:basedOn w:val="1"/>
    <w:qFormat/>
    <w:uiPriority w:val="34"/>
    <w:pPr>
      <w:ind w:firstLine="420" w:firstLineChars="200"/>
    </w:pPr>
  </w:style>
  <w:style w:type="character" w:customStyle="1" w:styleId="13">
    <w:name w:val="font21"/>
    <w:basedOn w:val="10"/>
    <w:qFormat/>
    <w:uiPriority w:val="0"/>
    <w:rPr>
      <w:rFonts w:ascii="Courier New" w:hAnsi="Courier New" w:cs="Courier New"/>
      <w:color w:val="FF0000"/>
      <w:sz w:val="20"/>
      <w:szCs w:val="20"/>
      <w:u w:val="none"/>
    </w:rPr>
  </w:style>
  <w:style w:type="character" w:customStyle="1" w:styleId="14">
    <w:name w:val="font11"/>
    <w:basedOn w:val="10"/>
    <w:qFormat/>
    <w:uiPriority w:val="0"/>
    <w:rPr>
      <w:rFonts w:hint="eastAsia" w:ascii="宋体" w:hAnsi="宋体" w:eastAsia="宋体" w:cs="宋体"/>
      <w:color w:val="000000"/>
      <w:sz w:val="22"/>
      <w:szCs w:val="22"/>
      <w:u w:val="none"/>
    </w:rPr>
  </w:style>
  <w:style w:type="paragraph" w:styleId="15">
    <w:name w:val="List Paragraph"/>
    <w:basedOn w:val="1"/>
    <w:qFormat/>
    <w:uiPriority w:val="34"/>
    <w:pPr>
      <w:ind w:firstLine="420" w:firstLineChars="200"/>
    </w:pPr>
  </w:style>
  <w:style w:type="paragraph" w:customStyle="1" w:styleId="16">
    <w:name w:val="Body Text First Indent1"/>
    <w:basedOn w:val="4"/>
    <w:next w:val="1"/>
    <w:qFormat/>
    <w:uiPriority w:val="0"/>
    <w:pPr>
      <w:spacing w:after="0"/>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3287</Words>
  <Characters>3378</Characters>
  <Lines>28</Lines>
  <Paragraphs>7</Paragraphs>
  <TotalTime>141</TotalTime>
  <ScaleCrop>false</ScaleCrop>
  <LinksUpToDate>false</LinksUpToDate>
  <CharactersWithSpaces>3488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2014-11-01T12:08:00Z</dcterms:created>
  <dc:creator>P</dc:creator>
  <cp:lastModifiedBy>Administrator</cp:lastModifiedBy>
  <cp:lastPrinted>2024-01-17T03:09:00Z</cp:lastPrinted>
  <dcterms:modified xsi:type="dcterms:W3CDTF">2025-07-01T11:14:02Z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5FAE6F29D02745E6A03B44143E25AF04</vt:lpwstr>
  </property>
  <property fmtid="{D5CDD505-2E9C-101B-9397-08002B2CF9AE}" pid="4" name="KSOTemplateDocerSaveRecord">
    <vt:lpwstr>eyJoZGlkIjoiMGViYjFjMmIwMDJjMWYwZTEyYTM2YTY5OTY1ZThiNWIiLCJ1c2VySWQiOiI0MDgzNTQxMjQifQ==</vt:lpwstr>
  </property>
</Properties>
</file>