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560" w:lineRule="exact"/>
        <w:jc w:val="center"/>
        <w:rPr>
          <w:rFonts w:hint="eastAsia" w:ascii="宋体" w:hAnsi="宋体" w:cs="宋体"/>
          <w:kern w:val="0"/>
          <w:sz w:val="44"/>
          <w:szCs w:val="44"/>
        </w:rPr>
      </w:pPr>
      <w:r>
        <w:rPr>
          <w:rFonts w:hint="eastAsia"/>
        </w:rPr>
        <w:tab/>
      </w:r>
    </w:p>
    <w:p>
      <w:pPr>
        <w:spacing w:line="360" w:lineRule="auto"/>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郭勒布依乡河东村设施农业基地配套项目</w:t>
      </w:r>
    </w:p>
    <w:p>
      <w:pPr>
        <w:spacing w:line="360" w:lineRule="auto"/>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sz w:val="44"/>
          <w:szCs w:val="44"/>
        </w:rPr>
        <w:t>实施方案</w:t>
      </w: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left="0" w:leftChars="0" w:firstLine="0" w:firstLineChars="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0" w:firstLineChars="0"/>
        <w:rPr>
          <w:rFonts w:hint="eastAsia" w:ascii="方正小标宋简体" w:hAnsi="方正小标宋简体" w:eastAsia="方正小标宋简体" w:cs="方正小标宋简体"/>
          <w:sz w:val="44"/>
          <w:szCs w:val="44"/>
        </w:rPr>
      </w:pPr>
    </w:p>
    <w:p>
      <w:pPr>
        <w:keepNext/>
        <w:spacing w:line="560" w:lineRule="exact"/>
        <w:ind w:firstLine="1280" w:firstLineChars="400"/>
        <w:rPr>
          <w:rFonts w:hint="eastAsia" w:ascii="黑体" w:hAnsi="黑体" w:eastAsia="黑体" w:cs="黑体"/>
          <w:sz w:val="32"/>
          <w:szCs w:val="32"/>
        </w:rPr>
      </w:pP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项目名称：郭勒布依乡河东村设施农业基地配套项目</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项目主管单位：托克逊县农业农村局（乡村振兴局）</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项目实施单位：托克逊县郭勒布依乡人民政府</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编制时间：2024年12月21日</w:t>
      </w:r>
    </w:p>
    <w:p>
      <w:pPr>
        <w:keepNext/>
        <w:spacing w:line="560" w:lineRule="exact"/>
        <w:jc w:val="center"/>
        <w:rPr>
          <w:rFonts w:hint="eastAsia" w:ascii="方正小标宋简体" w:hAnsi="方正小标宋简体" w:eastAsia="方正小标宋简体" w:cs="方正小标宋简体"/>
          <w:sz w:val="44"/>
          <w:szCs w:val="44"/>
        </w:rPr>
        <w:sectPr>
          <w:pgSz w:w="11906" w:h="16838"/>
          <w:pgMar w:top="2098" w:right="1531" w:bottom="1984" w:left="1531" w:header="851" w:footer="992" w:gutter="0"/>
          <w:pgNumType w:fmt="numberInDash" w:start="1"/>
          <w:cols w:space="425" w:num="1"/>
          <w:docGrid w:type="lines" w:linePitch="312" w:charSpace="0"/>
        </w:sectPr>
      </w:pPr>
    </w:p>
    <w:p>
      <w:pPr>
        <w:keepNext/>
        <w:pageBreakBefore w:val="0"/>
        <w:wordWrap/>
        <w:topLinePunct w:val="0"/>
        <w:bidi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郭勒布依乡河东村设施农业基地配套项目</w:t>
      </w:r>
    </w:p>
    <w:p>
      <w:pPr>
        <w:keepNext/>
        <w:pageBreakBefore w:val="0"/>
        <w:wordWrap/>
        <w:topLinePunct w:val="0"/>
        <w:bidi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w:t>
      </w:r>
    </w:p>
    <w:p>
      <w:pPr>
        <w:pStyle w:val="11"/>
        <w:pageBreakBefore w:val="0"/>
        <w:wordWrap/>
        <w:topLinePunct w:val="0"/>
        <w:bidi w:val="0"/>
        <w:spacing w:line="560" w:lineRule="exact"/>
        <w:ind w:firstLine="480"/>
      </w:pPr>
    </w:p>
    <w:p>
      <w:pPr>
        <w:pageBreakBefore w:val="0"/>
        <w:widowControl/>
        <w:wordWrap/>
        <w:topLinePunct w:val="0"/>
        <w:autoSpaceDE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一、项目概况</w:t>
      </w:r>
    </w:p>
    <w:p>
      <w:pPr>
        <w:pageBreakBefore w:val="0"/>
        <w:widowControl/>
        <w:wordWrap/>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1、项目名称：</w:t>
      </w:r>
      <w:r>
        <w:rPr>
          <w:rFonts w:hint="eastAsia" w:ascii="仿宋_GB2312" w:hAnsi="仿宋_GB2312" w:eastAsia="仿宋_GB2312" w:cs="仿宋_GB2312"/>
          <w:sz w:val="32"/>
          <w:szCs w:val="32"/>
        </w:rPr>
        <w:t>郭勒布依乡河东村设施农业基地配套项目</w:t>
      </w:r>
    </w:p>
    <w:p>
      <w:pPr>
        <w:pageBreakBefore w:val="0"/>
        <w:widowControl/>
        <w:wordWrap/>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2、项目库编号：</w:t>
      </w:r>
      <w:r>
        <w:rPr>
          <w:rFonts w:hint="eastAsia" w:ascii="仿宋_GB2312" w:eastAsia="仿宋_GB2312"/>
          <w:sz w:val="32"/>
          <w:szCs w:val="32"/>
        </w:rPr>
        <w:t>TKX0031</w:t>
      </w:r>
    </w:p>
    <w:p>
      <w:pPr>
        <w:pageBreakBefore w:val="0"/>
        <w:widowControl/>
        <w:wordWrap/>
        <w:topLinePunct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3、项目建设单位及单位负责人：</w:t>
      </w:r>
      <w:r>
        <w:rPr>
          <w:rFonts w:ascii="Times New Roman" w:hAnsi="Times New Roman" w:eastAsia="仿宋_GB2312"/>
          <w:sz w:val="32"/>
          <w:szCs w:val="32"/>
        </w:rPr>
        <w:t>郭勒布依乡人民政府</w:t>
      </w:r>
      <w:r>
        <w:rPr>
          <w:rFonts w:hint="eastAsia" w:ascii="仿宋_GB2312" w:hAnsi="仿宋_GB2312" w:eastAsia="仿宋_GB2312" w:cs="仿宋_GB2312"/>
          <w:sz w:val="32"/>
          <w:szCs w:val="32"/>
        </w:rPr>
        <w:t>（郭勒布依乡党委副书记、乡长 哈里瓦尔·阿不拉克）</w:t>
      </w:r>
    </w:p>
    <w:p>
      <w:pPr>
        <w:pStyle w:val="8"/>
        <w:pageBreakBefore w:val="0"/>
        <w:widowControl/>
        <w:wordWrap/>
        <w:topLinePunct w:val="0"/>
        <w:bidi w:val="0"/>
        <w:spacing w:after="0" w:line="560" w:lineRule="exact"/>
        <w:ind w:left="0" w:leftChars="0" w:firstLine="640"/>
        <w:rPr>
          <w:rFonts w:ascii="Times New Roman" w:hAnsi="Times New Roman" w:eastAsia="仿宋_GB2312"/>
          <w:sz w:val="32"/>
          <w:szCs w:val="32"/>
        </w:rPr>
      </w:pPr>
      <w:r>
        <w:rPr>
          <w:rFonts w:hint="eastAsia" w:ascii="仿宋_GB2312" w:hAnsi="仿宋_GB2312" w:eastAsia="仿宋_GB2312" w:cs="仿宋_GB2312"/>
          <w:b/>
          <w:bCs/>
          <w:sz w:val="32"/>
          <w:szCs w:val="32"/>
        </w:rPr>
        <w:t>项目负责人：</w:t>
      </w:r>
      <w:r>
        <w:rPr>
          <w:rFonts w:hint="eastAsia" w:ascii="仿宋_GB2312" w:hAnsi="仿宋_GB2312" w:eastAsia="仿宋_GB2312" w:cs="仿宋_GB2312"/>
          <w:w w:val="90"/>
          <w:sz w:val="32"/>
          <w:szCs w:val="32"/>
        </w:rPr>
        <w:t xml:space="preserve">哈里瓦尔·阿不拉克 </w:t>
      </w:r>
      <w:r>
        <w:rPr>
          <w:rFonts w:hint="eastAsia" w:ascii="仿宋_GB2312" w:hAnsi="仿宋_GB2312" w:eastAsia="仿宋_GB2312" w:cs="仿宋_GB2312"/>
          <w:b/>
          <w:bCs/>
          <w:sz w:val="32"/>
          <w:szCs w:val="32"/>
        </w:rPr>
        <w:t>4、</w:t>
      </w:r>
      <w:r>
        <w:rPr>
          <w:rFonts w:ascii="仿宋_GB2312" w:hAnsi="仿宋_GB2312" w:eastAsia="仿宋_GB2312" w:cs="仿宋_GB2312"/>
          <w:b/>
          <w:bCs/>
          <w:sz w:val="32"/>
          <w:szCs w:val="32"/>
        </w:rPr>
        <w:t>项目</w:t>
      </w:r>
      <w:r>
        <w:rPr>
          <w:rFonts w:hint="eastAsia" w:ascii="仿宋_GB2312" w:hAnsi="仿宋_GB2312" w:eastAsia="仿宋_GB2312" w:cs="仿宋_GB2312"/>
          <w:b/>
          <w:bCs/>
          <w:sz w:val="32"/>
          <w:szCs w:val="32"/>
        </w:rPr>
        <w:t>行政</w:t>
      </w:r>
      <w:r>
        <w:rPr>
          <w:rFonts w:ascii="仿宋_GB2312" w:hAnsi="仿宋_GB2312" w:eastAsia="仿宋_GB2312" w:cs="仿宋_GB2312"/>
          <w:b/>
          <w:bCs/>
          <w:sz w:val="32"/>
          <w:szCs w:val="32"/>
        </w:rPr>
        <w:t>主管单位</w:t>
      </w:r>
      <w:r>
        <w:rPr>
          <w:rFonts w:hint="eastAsia" w:ascii="仿宋_GB2312" w:hAnsi="仿宋_GB2312" w:eastAsia="仿宋_GB2312" w:cs="仿宋_GB2312"/>
          <w:b/>
          <w:bCs/>
          <w:sz w:val="32"/>
          <w:szCs w:val="32"/>
        </w:rPr>
        <w:t>：</w:t>
      </w:r>
      <w:r>
        <w:rPr>
          <w:rFonts w:ascii="Times New Roman" w:hAnsi="Times New Roman" w:eastAsia="仿宋_GB2312"/>
          <w:sz w:val="32"/>
          <w:szCs w:val="32"/>
        </w:rPr>
        <w:t>托克逊县</w:t>
      </w:r>
      <w:r>
        <w:rPr>
          <w:rFonts w:hint="eastAsia" w:ascii="Times New Roman" w:hAnsi="Times New Roman" w:eastAsia="仿宋_GB2312"/>
          <w:sz w:val="32"/>
          <w:szCs w:val="32"/>
        </w:rPr>
        <w:t>农业农村局（乡村振兴局）</w:t>
      </w:r>
    </w:p>
    <w:p>
      <w:pPr>
        <w:pStyle w:val="8"/>
        <w:pageBreakBefore w:val="0"/>
        <w:widowControl/>
        <w:wordWrap/>
        <w:topLinePunct w:val="0"/>
        <w:bidi w:val="0"/>
        <w:spacing w:after="0" w:line="560" w:lineRule="exact"/>
        <w:ind w:left="0" w:leftChars="0"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项目行业主管单位：</w:t>
      </w:r>
      <w:r>
        <w:rPr>
          <w:rFonts w:hint="eastAsia" w:ascii="仿宋_GB2312" w:hAnsi="仿宋_GB2312" w:eastAsia="仿宋_GB2312" w:cs="仿宋_GB2312"/>
          <w:sz w:val="32"/>
          <w:szCs w:val="32"/>
        </w:rPr>
        <w:t>托克逊县供电局</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5、项目建设性质：</w:t>
      </w:r>
      <w:r>
        <w:rPr>
          <w:rFonts w:hint="eastAsia" w:ascii="仿宋_GB2312" w:hAnsi="仿宋_GB2312" w:eastAsia="仿宋_GB2312" w:cs="仿宋_GB2312"/>
          <w:sz w:val="32"/>
          <w:szCs w:val="32"/>
        </w:rPr>
        <w:t>新建</w:t>
      </w:r>
      <w:bookmarkStart w:id="1" w:name="_GoBack"/>
      <w:bookmarkEnd w:id="1"/>
    </w:p>
    <w:p>
      <w:pPr>
        <w:pageBreakBefore w:val="0"/>
        <w:widowControl/>
        <w:wordWrap/>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6、项目类别：</w:t>
      </w:r>
      <w:r>
        <w:rPr>
          <w:rFonts w:hint="eastAsia" w:ascii="仿宋_GB2312" w:eastAsia="仿宋_GB2312"/>
          <w:sz w:val="32"/>
          <w:szCs w:val="32"/>
        </w:rPr>
        <w:t>道路等基础设施建设</w:t>
      </w:r>
      <w:r>
        <w:rPr>
          <w:rFonts w:ascii="仿宋_GB2312" w:eastAsia="仿宋_GB2312"/>
          <w:sz w:val="32"/>
          <w:szCs w:val="32"/>
        </w:rPr>
        <w:t xml:space="preserve"> </w:t>
      </w:r>
    </w:p>
    <w:p>
      <w:pPr>
        <w:pageBreakBefore w:val="0"/>
        <w:widowControl/>
        <w:wordWrap/>
        <w:topLinePunct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7、建设地点：</w:t>
      </w:r>
      <w:r>
        <w:rPr>
          <w:rFonts w:hint="eastAsia" w:ascii="仿宋_GB2312" w:hAnsi="仿宋_GB2312" w:eastAsia="仿宋_GB2312" w:cs="仿宋_GB2312"/>
          <w:sz w:val="32"/>
          <w:szCs w:val="32"/>
        </w:rPr>
        <w:t>郭勒布依乡河东村</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8、项目总投资：</w:t>
      </w:r>
      <w:r>
        <w:rPr>
          <w:rFonts w:hint="eastAsia" w:ascii="仿宋_GB2312" w:hAnsi="仿宋_GB2312" w:eastAsia="仿宋_GB2312" w:cs="仿宋_GB2312"/>
          <w:sz w:val="32"/>
          <w:szCs w:val="32"/>
        </w:rPr>
        <w:t>总投资86.4万元</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9、主要建设内容与规模：</w:t>
      </w:r>
      <w:r>
        <w:rPr>
          <w:rFonts w:hint="eastAsia" w:ascii="仿宋_GB2312" w:hAnsi="仿宋_GB2312" w:eastAsia="仿宋_GB2312" w:cs="仿宋_GB2312"/>
          <w:sz w:val="32"/>
          <w:szCs w:val="32"/>
        </w:rPr>
        <w:t>计划对郭勒布依乡河东村辖区共计324座大棚的配电箱及线缆等设施进行更换，项目建设费用约80万元，其他</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rPr>
        <w:t>约6.4万元，项目总投资约86.4万元。</w:t>
      </w:r>
    </w:p>
    <w:p>
      <w:pPr>
        <w:pageBreakBefore w:val="0"/>
        <w:widowControl/>
        <w:wordWrap/>
        <w:topLinePunct w:val="0"/>
        <w:autoSpaceDE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二、项目基本情况及建设的必要性、可行性</w:t>
      </w:r>
    </w:p>
    <w:p>
      <w:pPr>
        <w:pageBreakBefore w:val="0"/>
        <w:kinsoku w:val="0"/>
        <w:wordWrap/>
        <w:overflowPunct w:val="0"/>
        <w:topLinePunct w:val="0"/>
        <w:autoSpaceDE w:val="0"/>
        <w:autoSpaceDN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1、项目基本情况：</w:t>
      </w:r>
      <w:r>
        <w:rPr>
          <w:rFonts w:hint="eastAsia" w:ascii="仿宋_GB2312" w:hAnsi="仿宋_GB2312" w:eastAsia="仿宋_GB2312" w:cs="仿宋_GB2312"/>
          <w:sz w:val="32"/>
          <w:szCs w:val="32"/>
        </w:rPr>
        <w:t>托克逊县属典型的大陆性暖温带荒漠气候，光热资源丰富，年均气温15.1℃，盛产红枣、哈密瓜、花生、白高粱、孜然等农副产品。为进一步丰富本地农业产业结构，结合现有资源，计划发展设施农业（大棚种植）产业。一是可以进一步丰富农业种植结构，发展蔬菜、瓜果等特色产业，引领郭勒布依乡河东村群众加快产业结构调整步伐。二是可以充分利用现有设施农业资源，通过村委会组织统一流转，增加村集体和群众土地收入。三是增加就业岗位，积极鼓励困难群众参与种植劳动，实现家门口就业，群众可实现土地、工资“双收入”。</w:t>
      </w:r>
    </w:p>
    <w:p>
      <w:pPr>
        <w:pStyle w:val="11"/>
        <w:pageBreakBefore w:val="0"/>
        <w:kinsoku w:val="0"/>
        <w:wordWrap/>
        <w:overflowPunct w:val="0"/>
        <w:topLinePunct w:val="0"/>
        <w:autoSpaceDE w:val="0"/>
        <w:autoSpaceDN w:val="0"/>
        <w:bidi w:val="0"/>
        <w:spacing w:line="560" w:lineRule="exact"/>
        <w:ind w:firstLine="640"/>
        <w:rPr>
          <w:rFonts w:hint="eastAsia" w:ascii="仿宋_GB2312" w:hAnsi="仿宋_GB2312" w:cs="仿宋_GB2312"/>
          <w:sz w:val="32"/>
          <w:szCs w:val="32"/>
        </w:rPr>
      </w:pPr>
      <w:r>
        <w:rPr>
          <w:rFonts w:hint="eastAsia" w:ascii="仿宋_GB2312" w:hAnsi="仿宋_GB2312" w:cs="仿宋_GB2312"/>
          <w:b/>
          <w:bCs/>
          <w:sz w:val="32"/>
          <w:szCs w:val="32"/>
        </w:rPr>
        <w:t>2、建设的必要性：</w:t>
      </w:r>
      <w:r>
        <w:rPr>
          <w:rFonts w:hint="eastAsia" w:ascii="仿宋_GB2312" w:hAnsi="仿宋_GB2312" w:cs="仿宋_GB2312"/>
          <w:sz w:val="32"/>
          <w:szCs w:val="32"/>
        </w:rPr>
        <w:t>郭勒布依乡河东村大棚区原有的电线及设备老化，严重影响农户在大棚中农作，农户进行农作存在安全隐患，为充分利用村闲置大棚，发展设施农业，消除大棚电路老化、短路等安全隐患，对大棚区电路进行升级改造十分重要。</w:t>
      </w:r>
    </w:p>
    <w:p>
      <w:pPr>
        <w:pageBreakBefore w:val="0"/>
        <w:wordWrap/>
        <w:topLinePunct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3、建设的可行性：</w:t>
      </w:r>
      <w:r>
        <w:rPr>
          <w:rFonts w:hint="eastAsia" w:ascii="仿宋_GB2312" w:hAnsi="仿宋_GB2312" w:eastAsia="仿宋_GB2312" w:cs="仿宋_GB2312"/>
          <w:sz w:val="32"/>
          <w:szCs w:val="32"/>
        </w:rPr>
        <w:t>郭勒布依乡河东村是郭勒布依乡重要的交通枢纽。对河东村大棚集中区324座大棚的配电箱及线缆等设施进行更换后。一是消除现存的电力安全隐患；二是吸纳辖区富余劳动力家门口就业，从而拓宽困难群众就业</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增收渠道。</w:t>
      </w:r>
    </w:p>
    <w:p>
      <w:pPr>
        <w:pageBreakBefore w:val="0"/>
        <w:wordWrap/>
        <w:topLinePunct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三、资金筹措及投资概算</w:t>
      </w:r>
    </w:p>
    <w:p>
      <w:pPr>
        <w:pStyle w:val="16"/>
        <w:pageBreakBefore w:val="0"/>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1、资金来源：</w:t>
      </w:r>
      <w:r>
        <w:rPr>
          <w:rFonts w:hint="eastAsia" w:ascii="仿宋_GB2312" w:hAnsi="仿宋_GB2312" w:eastAsia="仿宋_GB2312" w:cs="仿宋_GB2312"/>
          <w:sz w:val="32"/>
          <w:szCs w:val="32"/>
        </w:rPr>
        <w:t>财政衔接推进乡村振兴资金86.4万元，其中中央衔接资金83.8万元、县级资金2.6万元。</w:t>
      </w:r>
    </w:p>
    <w:p>
      <w:pPr>
        <w:pageBreakBefore w:val="0"/>
        <w:wordWrap/>
        <w:topLinePunct w:val="0"/>
        <w:autoSpaceDE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2、投资概算：</w:t>
      </w:r>
      <w:r>
        <w:rPr>
          <w:rFonts w:hint="eastAsia" w:ascii="仿宋_GB2312" w:hAnsi="仿宋_GB2312" w:eastAsia="仿宋_GB2312" w:cs="仿宋_GB2312"/>
          <w:sz w:val="32"/>
          <w:szCs w:val="32"/>
        </w:rPr>
        <w:t>对郭勒布依乡河东村辖区共计324座大棚的配电箱及线缆等设施进行更换，项目建设费用约80万元，其他</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rPr>
        <w:t>约6.4万元，项目总投资约86.4万元。</w:t>
      </w:r>
    </w:p>
    <w:p>
      <w:pPr>
        <w:pageBreakBefore w:val="0"/>
        <w:wordWrap/>
        <w:topLinePunct w:val="0"/>
        <w:bidi w:val="0"/>
        <w:spacing w:line="560" w:lineRule="exact"/>
        <w:ind w:firstLine="640" w:firstLineChars="200"/>
        <w:rPr>
          <w:rFonts w:hint="eastAsia" w:ascii="黑体" w:hAnsi="黑体" w:eastAsia="黑体" w:cs="黑体"/>
          <w:sz w:val="32"/>
        </w:rPr>
      </w:pPr>
      <w:r>
        <w:rPr>
          <w:rFonts w:hint="eastAsia" w:ascii="黑体" w:hAnsi="黑体" w:eastAsia="黑体" w:cs="黑体"/>
          <w:sz w:val="32"/>
        </w:rPr>
        <w:t>四、项目实施进度计划</w:t>
      </w:r>
    </w:p>
    <w:p>
      <w:pPr>
        <w:pStyle w:val="15"/>
        <w:pageBreakBefore w:val="0"/>
        <w:wordWrap/>
        <w:topLinePunct w:val="0"/>
        <w:bidi w:val="0"/>
        <w:spacing w:line="560" w:lineRule="exact"/>
        <w:ind w:firstLine="640"/>
        <w:rPr>
          <w:rFonts w:ascii="仿宋_GB2312" w:eastAsia="仿宋_GB2312"/>
          <w:sz w:val="32"/>
          <w:szCs w:val="32"/>
        </w:rPr>
      </w:pPr>
      <w:r>
        <w:rPr>
          <w:rFonts w:hint="eastAsia" w:ascii="仿宋_GB2312" w:eastAsia="仿宋_GB2312"/>
          <w:sz w:val="32"/>
          <w:szCs w:val="32"/>
        </w:rPr>
        <w:t>2025年2月底，完成项目各项前期准备工作；</w:t>
      </w:r>
    </w:p>
    <w:p>
      <w:pPr>
        <w:pStyle w:val="15"/>
        <w:pageBreakBefore w:val="0"/>
        <w:wordWrap/>
        <w:topLinePunct w:val="0"/>
        <w:bidi w:val="0"/>
        <w:spacing w:line="560" w:lineRule="exact"/>
        <w:ind w:firstLine="640"/>
        <w:rPr>
          <w:rFonts w:ascii="仿宋_GB2312" w:eastAsia="仿宋_GB2312"/>
          <w:sz w:val="32"/>
          <w:szCs w:val="32"/>
        </w:rPr>
      </w:pPr>
      <w:r>
        <w:rPr>
          <w:rFonts w:hint="eastAsia" w:ascii="仿宋_GB2312" w:eastAsia="仿宋_GB2312"/>
          <w:sz w:val="32"/>
          <w:szCs w:val="32"/>
        </w:rPr>
        <w:t>2025年</w:t>
      </w:r>
      <w:r>
        <w:rPr>
          <w:rFonts w:hint="eastAsia" w:ascii="仿宋_GB2312" w:eastAsia="仿宋_GB2312"/>
          <w:sz w:val="32"/>
          <w:szCs w:val="32"/>
          <w:lang w:val="en-US" w:eastAsia="zh-CN"/>
        </w:rPr>
        <w:t>4</w:t>
      </w:r>
      <w:r>
        <w:rPr>
          <w:rFonts w:hint="eastAsia" w:ascii="仿宋_GB2312" w:eastAsia="仿宋_GB2312"/>
          <w:sz w:val="32"/>
          <w:szCs w:val="32"/>
        </w:rPr>
        <w:t>月底，完成招标及开工；</w:t>
      </w:r>
    </w:p>
    <w:p>
      <w:pPr>
        <w:pageBreakBefore w:val="0"/>
        <w:wordWrap/>
        <w:topLinePunct w:val="0"/>
        <w:bidi w:val="0"/>
        <w:spacing w:line="56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2</w:t>
      </w:r>
      <w:r>
        <w:rPr>
          <w:rFonts w:hint="eastAsia" w:ascii="仿宋_GB2312" w:hAnsi="仿宋_GB2312" w:eastAsia="仿宋_GB2312" w:cs="仿宋_GB2312"/>
          <w:sz w:val="32"/>
          <w:szCs w:val="32"/>
        </w:rPr>
        <w:t>025年11月底前，完工并完成验收。</w:t>
      </w:r>
    </w:p>
    <w:p>
      <w:pPr>
        <w:pStyle w:val="11"/>
        <w:pageBreakBefore w:val="0"/>
        <w:widowControl/>
        <w:numPr>
          <w:ilvl w:val="0"/>
          <w:numId w:val="1"/>
        </w:numPr>
        <w:wordWrap/>
        <w:topLinePunct w:val="0"/>
        <w:bidi w:val="0"/>
        <w:spacing w:line="560" w:lineRule="exact"/>
        <w:ind w:firstLine="640"/>
        <w:rPr>
          <w:rFonts w:hint="eastAsia" w:ascii="黑体" w:hAnsi="黑体" w:eastAsia="黑体" w:cs="黑体"/>
          <w:sz w:val="32"/>
          <w:szCs w:val="32"/>
        </w:rPr>
      </w:pPr>
      <w:r>
        <w:rPr>
          <w:rFonts w:hint="eastAsia" w:ascii="黑体" w:hAnsi="黑体" w:eastAsia="黑体" w:cs="黑体"/>
          <w:sz w:val="32"/>
          <w:szCs w:val="32"/>
        </w:rPr>
        <w:t>项目组织实施能力与内控管理措施</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（一）组织领导机构及职责分工</w:t>
      </w:r>
    </w:p>
    <w:p>
      <w:pPr>
        <w:pageBreakBefore w:val="0"/>
        <w:widowControl/>
        <w:wordWrap/>
        <w:topLinePunct w:val="0"/>
        <w:bidi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为加强项目监督和技术指导，按期完成建设任务，根据</w:t>
      </w:r>
      <w:r>
        <w:rPr>
          <w:rFonts w:hint="eastAsia" w:ascii="仿宋_GB2312" w:eastAsia="仿宋_GB2312"/>
          <w:sz w:val="32"/>
          <w:szCs w:val="32"/>
        </w:rPr>
        <w:t>《托克逊县郭勒布依乡财政衔接推进乡村振兴补助金</w:t>
      </w:r>
      <w:r>
        <w:rPr>
          <w:rFonts w:hint="eastAsia" w:ascii="仿宋_GB2312" w:eastAsia="仿宋_GB2312"/>
          <w:sz w:val="32"/>
          <w:szCs w:val="32"/>
          <w:lang w:eastAsia="zh-CN"/>
        </w:rPr>
        <w:t>（</w:t>
      </w:r>
      <w:r>
        <w:rPr>
          <w:rFonts w:hint="eastAsia" w:ascii="仿宋_GB2312" w:eastAsia="仿宋_GB2312"/>
          <w:sz w:val="32"/>
          <w:szCs w:val="32"/>
        </w:rPr>
        <w:t>巩固拓展脱贫攻坚成果和乡村振兴任务</w:t>
      </w:r>
      <w:r>
        <w:rPr>
          <w:rFonts w:hint="eastAsia" w:ascii="仿宋_GB2312" w:eastAsia="仿宋_GB2312"/>
          <w:sz w:val="32"/>
          <w:szCs w:val="32"/>
          <w:lang w:eastAsia="zh-CN"/>
        </w:rPr>
        <w:t>）</w:t>
      </w:r>
      <w:r>
        <w:rPr>
          <w:rFonts w:hint="eastAsia" w:ascii="仿宋_GB2312" w:eastAsia="仿宋_GB2312"/>
          <w:sz w:val="32"/>
          <w:szCs w:val="32"/>
        </w:rPr>
        <w:t>项目管理办法（暂行）》</w:t>
      </w:r>
      <w:r>
        <w:rPr>
          <w:rFonts w:hint="eastAsia" w:ascii="仿宋_GB2312" w:hAnsi="仿宋_GB2312" w:eastAsia="仿宋_GB2312" w:cs="仿宋_GB2312"/>
          <w:bCs/>
          <w:sz w:val="32"/>
          <w:szCs w:val="32"/>
        </w:rPr>
        <w:t>规定成立项目管理组织机构，</w:t>
      </w:r>
      <w:r>
        <w:rPr>
          <w:rFonts w:hint="eastAsia" w:ascii="仿宋_GB2312" w:eastAsia="仿宋_GB2312"/>
          <w:sz w:val="32"/>
          <w:szCs w:val="32"/>
        </w:rPr>
        <w:t>项目管理工作实行分级负责制</w:t>
      </w:r>
      <w:r>
        <w:rPr>
          <w:rFonts w:hint="eastAsia" w:ascii="仿宋_GB2312" w:hAnsi="仿宋_GB2312" w:eastAsia="仿宋_GB2312" w:cs="仿宋_GB2312"/>
          <w:bCs/>
          <w:sz w:val="32"/>
          <w:szCs w:val="32"/>
        </w:rPr>
        <w:t>。项目组相关领导机构</w:t>
      </w:r>
      <w:r>
        <w:rPr>
          <w:rFonts w:ascii="仿宋_GB2312" w:hAnsi="仿宋_GB2312" w:eastAsia="仿宋_GB2312" w:cs="仿宋_GB2312"/>
          <w:bCs/>
          <w:sz w:val="32"/>
          <w:szCs w:val="32"/>
        </w:rPr>
        <w:t>如下：</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哈里瓦尔·阿不拉克   乡党委副书记、乡长 </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苏涛                 乡党委委员、常务副乡长 </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郭理                 乡项目办主任</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阿迪拉古丽·吾曼尔          乡检办干部 </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热孜亚·阿不来提            乡村振兴办主任</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木阿热木·买合木提          乡财政所所长 </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麦尔哈巴·肉孜              乡项目办干部 </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郭勒布依乡13个村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社区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第一书记、党支部书记</w:t>
      </w:r>
    </w:p>
    <w:p>
      <w:pPr>
        <w:pStyle w:val="12"/>
        <w:pageBreakBefore w:val="0"/>
        <w:widowControl/>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（1）成立以村第一书记为组长，村党支部书记为副组长、各职能小组负责人为成员的领导小组，负责项目的领导、协调、实施、督促、指导等工作，为项目建设提供组织保障。</w:t>
      </w:r>
    </w:p>
    <w:p>
      <w:pPr>
        <w:pStyle w:val="11"/>
        <w:pageBreakBefore w:val="0"/>
        <w:widowControl/>
        <w:wordWrap/>
        <w:topLinePunct w:val="0"/>
        <w:bidi w:val="0"/>
        <w:spacing w:line="560" w:lineRule="exact"/>
        <w:ind w:firstLine="640"/>
        <w:rPr>
          <w:rFonts w:hint="eastAsia" w:ascii="仿宋_GB2312" w:hAnsi="仿宋_GB2312" w:cs="仿宋_GB2312"/>
          <w:sz w:val="32"/>
          <w:szCs w:val="32"/>
        </w:rPr>
      </w:pPr>
      <w:r>
        <w:rPr>
          <w:rFonts w:hint="eastAsia" w:ascii="仿宋_GB2312" w:hAnsi="仿宋_GB2312" w:cs="仿宋_GB2312"/>
          <w:sz w:val="32"/>
          <w:szCs w:val="32"/>
        </w:rPr>
        <w:t>（2）乡村振兴、纪检、财政所等部门为项目实施的监督单位。负责项目实施</w:t>
      </w:r>
      <w:r>
        <w:rPr>
          <w:rFonts w:hint="eastAsia" w:ascii="仿宋_GB2312" w:hAnsi="仿宋_GB2312" w:cs="仿宋_GB2312"/>
          <w:sz w:val="32"/>
          <w:szCs w:val="32"/>
          <w:lang w:eastAsia="zh-CN"/>
        </w:rPr>
        <w:t>全过程</w:t>
      </w:r>
      <w:r>
        <w:rPr>
          <w:rFonts w:hint="eastAsia" w:ascii="仿宋_GB2312" w:hAnsi="仿宋_GB2312" w:cs="仿宋_GB2312"/>
          <w:sz w:val="32"/>
          <w:szCs w:val="32"/>
        </w:rPr>
        <w:t>的监督、检查，资金审批及管理。</w:t>
      </w:r>
    </w:p>
    <w:p>
      <w:pPr>
        <w:pStyle w:val="11"/>
        <w:pageBreakBefore w:val="0"/>
        <w:widowControl/>
        <w:wordWrap/>
        <w:topLinePunct w:val="0"/>
        <w:bidi w:val="0"/>
        <w:spacing w:line="560" w:lineRule="exact"/>
        <w:ind w:firstLine="640"/>
        <w:rPr>
          <w:rFonts w:hint="eastAsia" w:ascii="仿宋_GB2312" w:hAnsi="仿宋_GB2312" w:cs="仿宋_GB2312"/>
          <w:sz w:val="32"/>
          <w:szCs w:val="32"/>
        </w:rPr>
      </w:pPr>
      <w:r>
        <w:rPr>
          <w:rFonts w:hint="eastAsia" w:ascii="仿宋_GB2312" w:hAnsi="仿宋_GB2312" w:cs="仿宋_GB2312"/>
          <w:sz w:val="32"/>
          <w:szCs w:val="32"/>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（二）项目招标、采购管理</w:t>
      </w:r>
      <w:r>
        <w:rPr>
          <w:rFonts w:hint="eastAsia" w:ascii="仿宋_GB2312" w:hAnsi="仿宋_GB2312" w:eastAsia="仿宋_GB2312" w:cs="仿宋_GB2312"/>
          <w:sz w:val="32"/>
          <w:szCs w:val="32"/>
        </w:rPr>
        <w:t xml:space="preserve"> </w:t>
      </w:r>
    </w:p>
    <w:p>
      <w:pPr>
        <w:pageBreakBefore w:val="0"/>
        <w:kinsoku w:val="0"/>
        <w:wordWrap/>
        <w:overflowPunct w:val="0"/>
        <w:topLinePunct w:val="0"/>
        <w:autoSpaceDE w:val="0"/>
        <w:autoSpaceDN w:val="0"/>
        <w:bidi w:val="0"/>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1、招投标组织单位</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郭勒布依乡人民政府</w:t>
      </w:r>
    </w:p>
    <w:p>
      <w:pPr>
        <w:pageBreakBefore w:val="0"/>
        <w:wordWrap/>
        <w:topLinePunct w:val="0"/>
        <w:autoSpaceDE w:val="0"/>
        <w:bidi w:val="0"/>
        <w:spacing w:line="560" w:lineRule="exact"/>
        <w:ind w:firstLine="643" w:firstLineChars="200"/>
        <w:textAlignment w:val="baseline"/>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2、招投标流程</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委托招标代理公司开展项目招标工作</w:t>
      </w:r>
    </w:p>
    <w:p>
      <w:pPr>
        <w:pageBreakBefore w:val="0"/>
        <w:wordWrap/>
        <w:topLinePunct w:val="0"/>
        <w:bidi w:val="0"/>
        <w:spacing w:line="560" w:lineRule="exact"/>
        <w:ind w:firstLine="640" w:firstLineChars="200"/>
        <w:rPr>
          <w:rFonts w:eastAsia="仿宋_GB2312"/>
          <w:sz w:val="32"/>
          <w:szCs w:val="32"/>
        </w:rPr>
      </w:pPr>
      <w:r>
        <w:rPr>
          <w:rFonts w:hint="eastAsia" w:ascii="Times New Roman" w:hAnsi="Times New Roman" w:eastAsia="仿宋_GB2312"/>
          <w:sz w:val="32"/>
          <w:szCs w:val="32"/>
        </w:rPr>
        <w:t> 本项目</w:t>
      </w:r>
      <w:r>
        <w:rPr>
          <w:rFonts w:ascii="Times New Roman" w:hAnsi="Times New Roman" w:eastAsia="仿宋_GB2312"/>
          <w:sz w:val="32"/>
          <w:szCs w:val="32"/>
        </w:rPr>
        <w:t>建设采用投标制，由</w:t>
      </w:r>
      <w:r>
        <w:rPr>
          <w:rFonts w:hint="eastAsia" w:ascii="Times New Roman" w:hAnsi="Times New Roman" w:eastAsia="仿宋_GB2312"/>
          <w:sz w:val="32"/>
          <w:szCs w:val="32"/>
        </w:rPr>
        <w:t>郭勒布依乡人民政府</w:t>
      </w:r>
      <w:r>
        <w:rPr>
          <w:rFonts w:ascii="Times New Roman" w:hAnsi="Times New Roman" w:eastAsia="仿宋_GB2312"/>
          <w:sz w:val="32"/>
          <w:szCs w:val="32"/>
        </w:rPr>
        <w:t>选择有资质的招标代理机构进行招标，依据《中华人民共和国招标投标法</w:t>
      </w:r>
      <w:r>
        <w:rPr>
          <w:rFonts w:hint="eastAsia" w:ascii="Times New Roman" w:hAnsi="Times New Roman" w:eastAsia="仿宋_GB2312"/>
          <w:sz w:val="32"/>
          <w:szCs w:val="32"/>
          <w:lang w:eastAsia="zh-CN"/>
        </w:rPr>
        <w:t>》《</w:t>
      </w:r>
      <w:r>
        <w:rPr>
          <w:rFonts w:ascii="Times New Roman" w:hAnsi="Times New Roman" w:eastAsia="仿宋_GB2312"/>
          <w:sz w:val="32"/>
          <w:szCs w:val="32"/>
        </w:rPr>
        <w:t>中华人民共和国政府采购法》</w:t>
      </w:r>
      <w:r>
        <w:rPr>
          <w:rFonts w:hint="eastAsia" w:ascii="Times New Roman" w:hAnsi="Times New Roman" w:eastAsia="仿宋_GB2312"/>
          <w:sz w:val="32"/>
          <w:szCs w:val="32"/>
        </w:rPr>
        <w:t>以及《郭勒布依乡人民政府招投标采购管理办法》</w:t>
      </w:r>
      <w:r>
        <w:rPr>
          <w:rFonts w:ascii="Times New Roman" w:hAnsi="Times New Roman" w:eastAsia="仿宋_GB2312"/>
          <w:sz w:val="32"/>
          <w:szCs w:val="32"/>
        </w:rPr>
        <w:t>，通过公开招标方式，择优选择承包方，承包方通过竞争中标后依法</w:t>
      </w:r>
      <w:r>
        <w:rPr>
          <w:rFonts w:hint="eastAsia" w:ascii="Times New Roman" w:hAnsi="Times New Roman" w:eastAsia="仿宋_GB2312"/>
          <w:sz w:val="32"/>
          <w:szCs w:val="32"/>
          <w:lang w:eastAsia="zh-CN"/>
        </w:rPr>
        <w:t>签订</w:t>
      </w:r>
      <w:r>
        <w:rPr>
          <w:rFonts w:ascii="Times New Roman" w:hAnsi="Times New Roman" w:eastAsia="仿宋_GB2312"/>
          <w:sz w:val="32"/>
          <w:szCs w:val="32"/>
        </w:rPr>
        <w:t>承包合同，合同中明确规定项目的投资额度，工程规模，技术标准，不能搞“半拉子”工程，不能留投资缺口，不能转包，严格履行合同。</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（三）项目实施与监督检查</w:t>
      </w:r>
    </w:p>
    <w:p>
      <w:pPr>
        <w:pageBreakBefore w:val="0"/>
        <w:wordWrap/>
        <w:topLinePunct w:val="0"/>
        <w:autoSpaceDE w:val="0"/>
        <w:bidi w:val="0"/>
        <w:spacing w:line="560" w:lineRule="exact"/>
        <w:ind w:firstLine="640" w:firstLineChars="200"/>
      </w:pPr>
      <w:r>
        <w:rPr>
          <w:rFonts w:hint="eastAsia" w:ascii="仿宋_GB2312" w:hAnsi="仿宋_GB2312" w:eastAsia="仿宋_GB2312" w:cs="仿宋_GB2312"/>
          <w:sz w:val="32"/>
          <w:szCs w:val="32"/>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（四）资金使用管理</w:t>
      </w:r>
    </w:p>
    <w:p>
      <w:pPr>
        <w:pageBreakBefore w:val="0"/>
        <w:wordWrap/>
        <w:topLinePunct w:val="0"/>
        <w:bidi w:val="0"/>
        <w:spacing w:line="560" w:lineRule="exact"/>
        <w:ind w:firstLine="640" w:firstLineChars="200"/>
      </w:pPr>
      <w:r>
        <w:rPr>
          <w:rFonts w:hint="eastAsia" w:ascii="Times New Roman" w:hAnsi="Times New Roman" w:eastAsia="仿宋_GB2312"/>
          <w:sz w:val="32"/>
          <w:szCs w:val="32"/>
        </w:rPr>
        <w:t>根据《关于批复实施2025年中央、自治区财政衔接推进乡村振兴补助资金项目的通知》（托党农领发〔2025〕1号）文件要求，为进一步加强资金管理和使用，依据项目计划和实施进度</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施工方支付资金。</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（五）项目验收管理</w:t>
      </w:r>
    </w:p>
    <w:p>
      <w:pPr>
        <w:pageBreakBefore w:val="0"/>
        <w:wordWrap/>
        <w:topLinePunct w:val="0"/>
        <w:autoSpaceDE w:val="0"/>
        <w:bidi w:val="0"/>
        <w:spacing w:line="560" w:lineRule="exact"/>
        <w:ind w:firstLine="640" w:firstLineChars="200"/>
      </w:pPr>
      <w:r>
        <w:rPr>
          <w:rFonts w:hint="eastAsia" w:ascii="仿宋_GB2312" w:hAnsi="仿宋_GB2312" w:eastAsia="仿宋_GB2312" w:cs="仿宋_GB2312"/>
          <w:sz w:val="32"/>
          <w:szCs w:val="32"/>
        </w:rPr>
        <w:t>根据</w:t>
      </w:r>
      <w:r>
        <w:rPr>
          <w:rFonts w:ascii="仿宋_GB2312" w:hAnsi="仿宋_GB2312" w:eastAsia="仿宋_GB2312" w:cs="仿宋_GB2312"/>
          <w:sz w:val="32"/>
          <w:szCs w:val="32"/>
        </w:rPr>
        <w:t>《新疆维吾尔自治区财政衔接推进乡村振兴补助资金（巩固拓展脱贫攻坚成果和乡村振兴任务）项目管理办法（暂行）》（新乡振﹝2021﹞32号）</w:t>
      </w:r>
      <w:r>
        <w:rPr>
          <w:rFonts w:hint="eastAsia" w:ascii="仿宋_GB2312" w:hAnsi="仿宋_GB2312" w:eastAsia="仿宋_GB2312" w:cs="仿宋_GB2312"/>
          <w:sz w:val="32"/>
          <w:szCs w:val="32"/>
        </w:rPr>
        <w:t>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照属地管理、按照“谁审批、谁验收”的原则，按照村、乡、县三个级别逐级开展验收工作。村级由村第一书记组织村党支部书记、经济发展组成员组织验收。乡级由常务副乡长组织项目办、财政所、安全生产办验收。乡、村两级验收合格后，报县乡村振兴局和行业部门申请县级验收。</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（六）项目公告公示</w:t>
      </w:r>
    </w:p>
    <w:p>
      <w:pPr>
        <w:pStyle w:val="3"/>
        <w:pageBreakBefore w:val="0"/>
        <w:wordWrap/>
        <w:topLinePunct w:val="0"/>
        <w:bidi w:val="0"/>
        <w:spacing w:before="0" w:after="0" w:line="560" w:lineRule="exact"/>
        <w:ind w:firstLine="640" w:firstLineChars="200"/>
      </w:pPr>
      <w:r>
        <w:rPr>
          <w:rFonts w:hint="eastAsia" w:ascii="仿宋_GB2312" w:hAnsi="仿宋_GB2312" w:eastAsia="仿宋_GB2312" w:cs="仿宋_GB2312"/>
          <w:b w:val="0"/>
          <w:bCs w:val="0"/>
        </w:rPr>
        <w:t>项目实施需按《新疆维吾尔自治区衔接推进乡村振兴补助资金管理办法》文件精神，县级通过政府网站对项目建设内容、受益情况等进行公告公示，乡、村两级通过</w:t>
      </w:r>
      <w:r>
        <w:rPr>
          <w:rFonts w:hint="eastAsia" w:ascii="仿宋_GB2312" w:hAnsi="仿宋_GB2312" w:eastAsia="仿宋_GB2312" w:cs="仿宋_GB2312"/>
          <w:b w:val="0"/>
          <w:bCs w:val="0"/>
          <w:lang w:eastAsia="zh-CN"/>
        </w:rPr>
        <w:t>公示栏</w:t>
      </w:r>
      <w:r>
        <w:rPr>
          <w:rFonts w:hint="eastAsia" w:ascii="仿宋_GB2312" w:hAnsi="仿宋_GB2312" w:eastAsia="仿宋_GB2312" w:cs="仿宋_GB2312"/>
          <w:b w:val="0"/>
          <w:bCs w:val="0"/>
        </w:rPr>
        <w:t>、入户宣讲等形式对项目事前、事中、事后全过程进行公告公示。</w:t>
      </w:r>
    </w:p>
    <w:p>
      <w:pPr>
        <w:pageBreakBefore w:val="0"/>
        <w:widowControl/>
        <w:wordWrap/>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（七）项目后期管护及运营管理</w:t>
      </w:r>
    </w:p>
    <w:p>
      <w:pPr>
        <w:pStyle w:val="3"/>
        <w:pageBreakBefore w:val="0"/>
        <w:wordWrap/>
        <w:topLinePunct w:val="0"/>
        <w:bidi w:val="0"/>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按照“谁使用、谁管理、谁负责”的原则，做好产权移交工作。县级有关部门要牵头制定项目后期管护制度，明确项目后期管护主体和工作责任。需根据相关政策文件明确政府在项目经营过程中的责任等内容。</w:t>
      </w:r>
    </w:p>
    <w:p>
      <w:pPr>
        <w:pStyle w:val="8"/>
        <w:pageBreakBefore w:val="0"/>
        <w:numPr>
          <w:ilvl w:val="0"/>
          <w:numId w:val="1"/>
        </w:numPr>
        <w:wordWrap/>
        <w:topLinePunct w:val="0"/>
        <w:bidi w:val="0"/>
        <w:spacing w:after="0" w:line="560" w:lineRule="exact"/>
        <w:ind w:left="0" w:leftChars="0" w:firstLine="640"/>
        <w:rPr>
          <w:rFonts w:hint="eastAsia" w:ascii="黑体" w:hAnsi="黑体" w:eastAsia="黑体" w:cs="黑体"/>
          <w:sz w:val="32"/>
          <w:szCs w:val="32"/>
        </w:rPr>
      </w:pPr>
      <w:r>
        <w:rPr>
          <w:rFonts w:hint="eastAsia" w:ascii="黑体" w:hAnsi="黑体" w:eastAsia="黑体" w:cs="黑体"/>
          <w:sz w:val="32"/>
          <w:szCs w:val="32"/>
        </w:rPr>
        <w:t>利益联结机制</w:t>
      </w:r>
    </w:p>
    <w:p>
      <w:pPr>
        <w:pageBreakBefore w:val="0"/>
        <w:wordWrap/>
        <w:topLinePunct w:val="0"/>
        <w:bidi w:val="0"/>
        <w:spacing w:line="560" w:lineRule="exact"/>
        <w:ind w:firstLine="640" w:firstLineChars="200"/>
      </w:pPr>
      <w:r>
        <w:rPr>
          <w:rFonts w:hint="eastAsia" w:ascii="仿宋_GB2312" w:hAnsi="仿宋_GB2312" w:eastAsia="仿宋_GB2312" w:cs="仿宋_GB2312"/>
          <w:sz w:val="32"/>
          <w:szCs w:val="32"/>
        </w:rPr>
        <w:t>该项目覆盖群众645户2222人，其中脱贫户16户35人。项目建成后，一是进一步完善河东村大棚电路设施，提高大棚种植条件，有效提高大棚种植户农产品增长。二是可以消除大棚区因线路老化带来的火灾隐患，保障群众生命财产安全，进一步提升群众满意</w:t>
      </w:r>
      <w:r>
        <w:rPr>
          <w:rFonts w:hint="eastAsia" w:ascii="仿宋_GB2312" w:hAnsi="仿宋_GB2312" w:eastAsia="仿宋_GB2312" w:cs="仿宋_GB2312"/>
          <w:sz w:val="32"/>
          <w:szCs w:val="32"/>
          <w:lang w:eastAsia="zh-CN"/>
        </w:rPr>
        <w:t>度和</w:t>
      </w:r>
      <w:r>
        <w:rPr>
          <w:rFonts w:hint="eastAsia" w:ascii="仿宋_GB2312" w:hAnsi="仿宋_GB2312" w:eastAsia="仿宋_GB2312" w:cs="仿宋_GB2312"/>
          <w:sz w:val="32"/>
          <w:szCs w:val="32"/>
        </w:rPr>
        <w:t>幸福感。三是项目实施过程中，可吸纳当地脱贫户、监测对象参与劳动，增加其收入。</w:t>
      </w:r>
    </w:p>
    <w:p>
      <w:pPr>
        <w:pageBreakBefore w:val="0"/>
        <w:wordWrap/>
        <w:topLinePunct w:val="0"/>
        <w:bidi w:val="0"/>
        <w:spacing w:line="560" w:lineRule="exact"/>
        <w:ind w:firstLine="640" w:firstLineChars="200"/>
        <w:rPr>
          <w:rFonts w:hint="eastAsia" w:ascii="黑体" w:hAnsi="黑体" w:eastAsia="黑体" w:cs="黑体"/>
          <w:sz w:val="32"/>
        </w:rPr>
      </w:pPr>
      <w:r>
        <w:rPr>
          <w:rFonts w:hint="eastAsia" w:ascii="黑体" w:hAnsi="黑体" w:eastAsia="黑体" w:cs="黑体"/>
          <w:sz w:val="32"/>
        </w:rPr>
        <w:t>七、项目绩效目标及效益分析</w:t>
      </w:r>
    </w:p>
    <w:p>
      <w:pPr>
        <w:pStyle w:val="11"/>
        <w:pageBreakBefore w:val="0"/>
        <w:wordWrap/>
        <w:topLinePunct w:val="0"/>
        <w:bidi w:val="0"/>
        <w:spacing w:line="560" w:lineRule="exact"/>
        <w:ind w:firstLine="640"/>
        <w:rPr>
          <w:rFonts w:hint="eastAsia" w:ascii="仿宋_GB2312" w:hAnsi="仿宋_GB2312" w:cs="仿宋_GB2312"/>
          <w:sz w:val="32"/>
          <w:szCs w:val="32"/>
        </w:rPr>
      </w:pPr>
      <w:r>
        <w:rPr>
          <w:rFonts w:hint="eastAsia" w:ascii="楷体_GB2312" w:hAnsi="楷体_GB2312" w:eastAsia="楷体_GB2312" w:cs="楷体_GB2312"/>
          <w:b/>
          <w:bCs/>
          <w:sz w:val="32"/>
          <w:szCs w:val="32"/>
        </w:rPr>
        <w:t>1、年度目标：</w:t>
      </w:r>
      <w:r>
        <w:rPr>
          <w:rFonts w:hint="eastAsia" w:ascii="仿宋_GB2312" w:hAnsi="仿宋_GB2312" w:cs="仿宋_GB2312"/>
          <w:bCs/>
          <w:sz w:val="32"/>
          <w:szCs w:val="32"/>
        </w:rPr>
        <w:t>通过更换郭勒布依乡河东村辖区共计324座大棚的配电箱及线缆等设施，实现消除大棚区因线路老化带来的火灾隐患，保障群众生命财产安全，该项目直接惠及35名脱贫人口及检测对象，提升645户种植户抗风险能力，有效提高大棚种植户农产品增产，降低因灾减产返贫概率。</w:t>
      </w:r>
    </w:p>
    <w:p>
      <w:pPr>
        <w:pStyle w:val="11"/>
        <w:pageBreakBefore w:val="0"/>
        <w:wordWrap/>
        <w:topLinePunct w:val="0"/>
        <w:bidi w:val="0"/>
        <w:spacing w:line="560" w:lineRule="exact"/>
        <w:ind w:firstLine="640"/>
        <w:rPr>
          <w:rFonts w:hint="eastAsia" w:ascii="仿宋_GB2312" w:hAnsi="仿宋_GB2312" w:cs="仿宋_GB2312"/>
          <w:bCs/>
          <w:sz w:val="32"/>
          <w:szCs w:val="32"/>
        </w:rPr>
      </w:pPr>
      <w:r>
        <w:rPr>
          <w:rFonts w:hint="eastAsia" w:ascii="楷体_GB2312" w:hAnsi="楷体_GB2312" w:eastAsia="楷体_GB2312" w:cs="楷体_GB2312"/>
          <w:b/>
          <w:bCs/>
          <w:sz w:val="32"/>
          <w:szCs w:val="32"/>
        </w:rPr>
        <w:t>2、项目覆盖情况：</w:t>
      </w:r>
      <w:r>
        <w:rPr>
          <w:rFonts w:hint="eastAsia" w:ascii="仿宋_GB2312" w:hAnsi="仿宋_GB2312" w:cs="仿宋_GB2312"/>
          <w:sz w:val="32"/>
          <w:szCs w:val="32"/>
        </w:rPr>
        <w:t>项目覆盖645户2222人，其中脱贫户及</w:t>
      </w:r>
      <w:r>
        <w:rPr>
          <w:rFonts w:hint="eastAsia" w:ascii="仿宋_GB2312" w:hAnsi="仿宋_GB2312" w:cs="仿宋_GB2312"/>
          <w:sz w:val="32"/>
          <w:szCs w:val="32"/>
          <w:lang w:eastAsia="zh-CN"/>
        </w:rPr>
        <w:t>监测</w:t>
      </w:r>
      <w:r>
        <w:rPr>
          <w:rFonts w:hint="eastAsia" w:ascii="仿宋_GB2312" w:hAnsi="仿宋_GB2312" w:cs="仿宋_GB2312"/>
          <w:sz w:val="32"/>
          <w:szCs w:val="32"/>
        </w:rPr>
        <w:t>对象16户35人。</w:t>
      </w:r>
    </w:p>
    <w:p>
      <w:pPr>
        <w:pStyle w:val="11"/>
        <w:pageBreakBefore w:val="0"/>
        <w:wordWrap/>
        <w:topLinePunct w:val="0"/>
        <w:bidi w:val="0"/>
        <w:spacing w:line="560" w:lineRule="exact"/>
        <w:ind w:firstLine="640"/>
        <w:rPr>
          <w:rFonts w:hint="eastAsia" w:ascii="仿宋_GB2312" w:hAnsi="仿宋_GB2312" w:cs="仿宋_GB2312"/>
          <w:sz w:val="32"/>
          <w:szCs w:val="32"/>
        </w:rPr>
      </w:pPr>
      <w:r>
        <w:rPr>
          <w:rFonts w:hint="eastAsia" w:ascii="楷体_GB2312" w:hAnsi="楷体_GB2312" w:eastAsia="楷体_GB2312" w:cs="楷体_GB2312"/>
          <w:b/>
          <w:bCs/>
          <w:sz w:val="32"/>
          <w:szCs w:val="32"/>
        </w:rPr>
        <w:t>3、社会效益：</w:t>
      </w:r>
      <w:r>
        <w:rPr>
          <w:rFonts w:hint="eastAsia" w:ascii="仿宋_GB2312" w:hAnsi="仿宋_GB2312" w:cs="仿宋_GB2312"/>
          <w:sz w:val="32"/>
          <w:szCs w:val="32"/>
        </w:rPr>
        <w:t>通过该项目的实施，不仅对发展河东村农业种植多样化，壮大集体经济具有积极作用，而且从根本上解</w:t>
      </w:r>
      <w:r>
        <w:rPr>
          <w:rFonts w:hint="eastAsia" w:ascii="仿宋_GB2312" w:hAnsi="仿宋_GB2312" w:cs="仿宋_GB2312"/>
          <w:sz w:val="32"/>
          <w:szCs w:val="32"/>
          <w:lang w:val="en-US" w:eastAsia="zh-CN"/>
        </w:rPr>
        <w:t>决</w:t>
      </w:r>
      <w:r>
        <w:rPr>
          <w:rFonts w:hint="eastAsia" w:ascii="仿宋_GB2312" w:hAnsi="仿宋_GB2312" w:cs="仿宋_GB2312"/>
          <w:sz w:val="32"/>
          <w:szCs w:val="32"/>
        </w:rPr>
        <w:t>部分脱贫户生活现状，增加就业岗位，切实</w:t>
      </w:r>
      <w:r>
        <w:rPr>
          <w:rFonts w:hint="eastAsia" w:ascii="仿宋_GB2312" w:hAnsi="仿宋_GB2312" w:cs="仿宋_GB2312"/>
          <w:sz w:val="32"/>
          <w:szCs w:val="32"/>
          <w:lang w:val="en-US" w:eastAsia="zh-CN"/>
        </w:rPr>
        <w:t>提高</w:t>
      </w:r>
      <w:r>
        <w:rPr>
          <w:rFonts w:hint="eastAsia" w:ascii="仿宋_GB2312" w:hAnsi="仿宋_GB2312" w:cs="仿宋_GB2312"/>
          <w:sz w:val="32"/>
          <w:szCs w:val="32"/>
        </w:rPr>
        <w:t>脱贫户的收入。通过大棚承租，进一步壮大村集体经济收入</w:t>
      </w:r>
      <w:r>
        <w:rPr>
          <w:rFonts w:hint="eastAsia" w:ascii="仿宋_GB2312" w:hAnsi="仿宋_GB2312" w:cs="仿宋_GB2312"/>
          <w:sz w:val="32"/>
          <w:szCs w:val="32"/>
          <w:lang w:val="en-US" w:eastAsia="zh-CN"/>
        </w:rPr>
        <w:t>后，</w:t>
      </w:r>
      <w:r>
        <w:rPr>
          <w:rFonts w:hint="eastAsia" w:ascii="仿宋_GB2312" w:hAnsi="仿宋_GB2312" w:cs="仿宋_GB2312"/>
          <w:sz w:val="32"/>
          <w:szCs w:val="32"/>
        </w:rPr>
        <w:t>雇佣村内脱贫户从事公益性岗位。</w:t>
      </w:r>
    </w:p>
    <w:p>
      <w:pPr>
        <w:keepNext/>
        <w:pageBreakBefore w:val="0"/>
        <w:wordWrap/>
        <w:topLinePunct w:val="0"/>
        <w:bidi w:val="0"/>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4、可持续性影响</w:t>
      </w:r>
      <w:r>
        <w:rPr>
          <w:rFonts w:hint="eastAsia" w:ascii="方正楷体_GBK" w:hAnsi="方正楷体_GBK" w:eastAsia="方正楷体_GBK" w:cs="方正楷体_GBK"/>
          <w:b/>
          <w:sz w:val="32"/>
          <w:szCs w:val="32"/>
        </w:rPr>
        <w:t>：</w:t>
      </w:r>
      <w:r>
        <w:rPr>
          <w:rFonts w:hint="eastAsia" w:ascii="仿宋_GB2312" w:hAnsi="仿宋_GB2312" w:eastAsia="仿宋_GB2312" w:cs="仿宋_GB2312"/>
          <w:sz w:val="32"/>
          <w:szCs w:val="32"/>
        </w:rPr>
        <w:t>项目实施可以大大提升农业，项目</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val="en-US" w:eastAsia="zh-CN"/>
        </w:rPr>
        <w:t>使用</w:t>
      </w:r>
      <w:r>
        <w:rPr>
          <w:rFonts w:hint="eastAsia" w:ascii="仿宋_GB2312" w:hAnsi="仿宋_GB2312" w:eastAsia="仿宋_GB2312" w:cs="仿宋_GB2312"/>
          <w:sz w:val="32"/>
          <w:szCs w:val="32"/>
        </w:rPr>
        <w:t>5年以上。</w:t>
      </w:r>
    </w:p>
    <w:p>
      <w:pPr>
        <w:keepNext/>
        <w:pageBreakBefore w:val="0"/>
        <w:wordWrap/>
        <w:topLinePunct w:val="0"/>
        <w:bidi w:val="0"/>
        <w:adjustRightInd w:val="0"/>
        <w:snapToGrid w:val="0"/>
        <w:spacing w:line="560" w:lineRule="exact"/>
        <w:ind w:firstLine="643" w:firstLineChars="200"/>
        <w:rPr>
          <w:rFonts w:hint="eastAsia" w:ascii="仿宋_GB2312" w:hAnsi="仿宋_GB2312" w:eastAsia="仿宋_GB2312" w:cs="仿宋_GB2312"/>
          <w:b/>
          <w:bCs/>
          <w:sz w:val="32"/>
          <w:szCs w:val="32"/>
        </w:rPr>
      </w:pPr>
      <w:bookmarkStart w:id="0" w:name="_Hlk194402717"/>
      <w:r>
        <w:rPr>
          <w:rFonts w:hint="eastAsia" w:ascii="仿宋_GB2312" w:hAnsi="仿宋_GB2312" w:eastAsia="仿宋_GB2312" w:cs="仿宋_GB2312"/>
          <w:b/>
          <w:bCs/>
          <w:sz w:val="32"/>
          <w:szCs w:val="32"/>
        </w:rPr>
        <w:t>5、服务群众满意度</w:t>
      </w:r>
      <w:bookmarkEnd w:id="0"/>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通过项目的有效实施，提高农民对政策和服务的满意度，增强他们的获得感和幸福感。该项目建成后预计受益群众满意度达到90%以上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受益脱贫户及监测对象人口满意度达到95%以上</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 xml:space="preserve">   </w:t>
      </w:r>
    </w:p>
    <w:p>
      <w:pPr>
        <w:pStyle w:val="12"/>
        <w:pageBreakBefore w:val="0"/>
        <w:wordWrap/>
        <w:topLinePunct w:val="0"/>
        <w:bidi w:val="0"/>
        <w:spacing w:line="560" w:lineRule="exact"/>
        <w:ind w:firstLine="640"/>
        <w:rPr>
          <w:rFonts w:hint="eastAsia" w:ascii="黑体" w:hAnsi="黑体" w:eastAsia="黑体" w:cs="黑体"/>
          <w:sz w:val="32"/>
        </w:rPr>
      </w:pPr>
      <w:r>
        <w:rPr>
          <w:rFonts w:hint="eastAsia" w:ascii="黑体" w:hAnsi="黑体" w:eastAsia="黑体" w:cs="黑体"/>
          <w:sz w:val="32"/>
        </w:rPr>
        <w:t>八、风险防范机制</w:t>
      </w:r>
    </w:p>
    <w:p>
      <w:pPr>
        <w:pStyle w:val="12"/>
        <w:pageBreakBefore w:val="0"/>
        <w:wordWrap/>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（一）主要风险因素。</w:t>
      </w:r>
      <w:r>
        <w:rPr>
          <w:rFonts w:hint="eastAsia" w:ascii="仿宋_GB2312" w:hAnsi="仿宋_GB2312" w:eastAsia="仿宋_GB2312" w:cs="仿宋_GB2312"/>
          <w:sz w:val="32"/>
          <w:szCs w:val="32"/>
        </w:rPr>
        <w:t>在项目实施过程中，沿线交通影响，</w:t>
      </w:r>
      <w:r>
        <w:rPr>
          <w:rFonts w:hint="eastAsia" w:ascii="仿宋_GB2312" w:eastAsia="仿宋_GB2312"/>
          <w:sz w:val="32"/>
          <w:szCs w:val="32"/>
        </w:rPr>
        <w:t>施工人员安全意识不高风险</w:t>
      </w:r>
      <w:r>
        <w:rPr>
          <w:rFonts w:hint="eastAsia" w:ascii="仿宋_GB2312" w:hAnsi="仿宋_GB2312" w:eastAsia="仿宋_GB2312" w:cs="仿宋_GB2312"/>
          <w:sz w:val="32"/>
          <w:szCs w:val="32"/>
        </w:rPr>
        <w:t>、</w:t>
      </w:r>
      <w:r>
        <w:rPr>
          <w:rFonts w:hint="eastAsia" w:ascii="仿宋_GB2312" w:eastAsia="仿宋_GB2312"/>
          <w:sz w:val="32"/>
          <w:szCs w:val="32"/>
        </w:rPr>
        <w:t>施工设备风险</w:t>
      </w:r>
      <w:r>
        <w:rPr>
          <w:rFonts w:hint="eastAsia" w:ascii="仿宋_GB2312" w:hAnsi="仿宋_GB2312" w:eastAsia="仿宋_GB2312" w:cs="仿宋_GB2312"/>
          <w:sz w:val="32"/>
          <w:szCs w:val="32"/>
        </w:rPr>
        <w:t>及施工单位内部管理不善等问题方面会对当地村庄和农牧民造成一些影响。</w:t>
      </w:r>
    </w:p>
    <w:p>
      <w:pPr>
        <w:pStyle w:val="11"/>
        <w:pageBreakBefore w:val="0"/>
        <w:wordWrap/>
        <w:topLinePunct w:val="0"/>
        <w:bidi w:val="0"/>
        <w:spacing w:line="560" w:lineRule="exact"/>
        <w:ind w:firstLine="640"/>
        <w:rPr>
          <w:rFonts w:ascii="仿宋_GB2312"/>
          <w:sz w:val="32"/>
          <w:szCs w:val="32"/>
        </w:rPr>
      </w:pPr>
      <w:r>
        <w:rPr>
          <w:rFonts w:hint="eastAsia" w:ascii="仿宋_GB2312" w:hAnsi="仿宋_GB2312" w:cs="仿宋_GB2312"/>
          <w:b/>
          <w:bCs/>
          <w:sz w:val="32"/>
          <w:szCs w:val="32"/>
        </w:rPr>
        <w:t>（二）防范化解措施。</w:t>
      </w:r>
      <w:r>
        <w:rPr>
          <w:rFonts w:hint="eastAsia" w:ascii="仿宋_GB2312"/>
          <w:b/>
          <w:bCs/>
          <w:sz w:val="32"/>
          <w:szCs w:val="32"/>
        </w:rPr>
        <w:t>一是</w:t>
      </w:r>
      <w:r>
        <w:rPr>
          <w:rFonts w:hint="eastAsia" w:ascii="仿宋_GB2312"/>
          <w:sz w:val="32"/>
          <w:szCs w:val="32"/>
        </w:rPr>
        <w:t>施工单位加强工程车辆驾驶人员交通安全教育，施工车辆按指定线路行驶，在穿越村庄、人口密集区域要减速慢行；</w:t>
      </w:r>
      <w:r>
        <w:rPr>
          <w:rFonts w:hint="eastAsia" w:ascii="仿宋_GB2312"/>
          <w:b/>
          <w:bCs/>
          <w:sz w:val="32"/>
          <w:szCs w:val="32"/>
        </w:rPr>
        <w:t>二是</w:t>
      </w:r>
      <w:r>
        <w:rPr>
          <w:rFonts w:hint="eastAsia" w:ascii="仿宋_GB2312"/>
          <w:sz w:val="32"/>
          <w:szCs w:val="32"/>
        </w:rPr>
        <w:t>对施工人员开展对安全意识的培训和宣讲；</w:t>
      </w:r>
      <w:r>
        <w:rPr>
          <w:rFonts w:hint="eastAsia" w:ascii="仿宋_GB2312"/>
          <w:b/>
          <w:bCs/>
          <w:sz w:val="32"/>
          <w:szCs w:val="32"/>
        </w:rPr>
        <w:t>三是</w:t>
      </w:r>
      <w:r>
        <w:rPr>
          <w:rFonts w:hint="eastAsia" w:ascii="仿宋_GB2312"/>
          <w:sz w:val="32"/>
          <w:szCs w:val="32"/>
        </w:rPr>
        <w:t>检查施工设备使用许可证等材料，确保施工设备无隐患。</w:t>
      </w:r>
    </w:p>
    <w:p>
      <w:pPr>
        <w:pStyle w:val="11"/>
        <w:spacing w:line="560" w:lineRule="exact"/>
        <w:ind w:firstLine="0" w:firstLineChars="0"/>
        <w:rPr>
          <w:rFonts w:ascii="仿宋_GB2312"/>
          <w:sz w:val="32"/>
          <w:szCs w:val="32"/>
        </w:rPr>
      </w:pP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783639-260A-4FB8-81D1-83F6829BF1A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CCF662D8-8B8A-4289-853D-4E6BDA5C8772}"/>
  </w:font>
  <w:font w:name="方正小标宋简体">
    <w:panose1 w:val="02010600010101010101"/>
    <w:charset w:val="86"/>
    <w:family w:val="script"/>
    <w:pitch w:val="default"/>
    <w:sig w:usb0="00000000" w:usb1="00000000" w:usb2="00000000" w:usb3="00000000" w:csb0="00000000" w:csb1="00000000"/>
    <w:embedRegular r:id="rId3" w:fontKey="{143C49F0-FD5A-4E6A-8D5C-8FF73DEEB405}"/>
  </w:font>
  <w:font w:name="楷体_GB2312">
    <w:altName w:val="楷体"/>
    <w:panose1 w:val="00000000000000000000"/>
    <w:charset w:val="86"/>
    <w:family w:val="auto"/>
    <w:pitch w:val="default"/>
    <w:sig w:usb0="00000000" w:usb1="00000000" w:usb2="00000000" w:usb3="00000000" w:csb0="00040000" w:csb1="00000000"/>
    <w:embedRegular r:id="rId4" w:fontKey="{7735E0DC-6BC0-4DE8-BF55-4AF81FC1BA89}"/>
  </w:font>
  <w:font w:name="方正楷体_GBK">
    <w:altName w:val="微软雅黑"/>
    <w:panose1 w:val="00000000000000000000"/>
    <w:charset w:val="86"/>
    <w:family w:val="auto"/>
    <w:pitch w:val="default"/>
    <w:sig w:usb0="00000000" w:usb1="00000000" w:usb2="00082016" w:usb3="00000000" w:csb0="00040001" w:csb1="00000000"/>
    <w:embedRegular r:id="rId5" w:fontKey="{0E176670-CE86-4FDB-B0D0-6623CDE3681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cs="宋体"/>
                              <w:sz w:val="22"/>
                            </w:rPr>
                          </w:pPr>
                          <w:r>
                            <w:rPr>
                              <w:rFonts w:hint="eastAsia" w:ascii="宋体" w:hAnsi="宋体" w:cs="宋体"/>
                              <w:sz w:val="22"/>
                            </w:rPr>
                            <w:fldChar w:fldCharType="begin"/>
                          </w:r>
                          <w:r>
                            <w:rPr>
                              <w:rFonts w:hint="eastAsia" w:ascii="宋体" w:hAnsi="宋体" w:cs="宋体"/>
                              <w:sz w:val="22"/>
                            </w:rPr>
                            <w:instrText xml:space="preserve"> PAGE  \* MERGEFORMAT </w:instrText>
                          </w:r>
                          <w:r>
                            <w:rPr>
                              <w:rFonts w:hint="eastAsia" w:ascii="宋体" w:hAnsi="宋体" w:cs="宋体"/>
                              <w:sz w:val="22"/>
                            </w:rPr>
                            <w:fldChar w:fldCharType="separate"/>
                          </w:r>
                          <w:r>
                            <w:rPr>
                              <w:rFonts w:hint="eastAsia" w:ascii="宋体" w:hAnsi="宋体" w:cs="宋体"/>
                              <w:sz w:val="22"/>
                            </w:rPr>
                            <w:t>1</w:t>
                          </w:r>
                          <w:r>
                            <w:rPr>
                              <w:rFonts w:hint="eastAsia" w:ascii="宋体" w:hAnsi="宋体" w:cs="宋体"/>
                              <w:sz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Fonts w:hint="eastAsia" w:ascii="宋体" w:hAnsi="宋体" w:cs="宋体"/>
                        <w:sz w:val="22"/>
                      </w:rPr>
                    </w:pPr>
                    <w:r>
                      <w:rPr>
                        <w:rFonts w:hint="eastAsia" w:ascii="宋体" w:hAnsi="宋体" w:cs="宋体"/>
                        <w:sz w:val="22"/>
                      </w:rPr>
                      <w:fldChar w:fldCharType="begin"/>
                    </w:r>
                    <w:r>
                      <w:rPr>
                        <w:rFonts w:hint="eastAsia" w:ascii="宋体" w:hAnsi="宋体" w:cs="宋体"/>
                        <w:sz w:val="22"/>
                      </w:rPr>
                      <w:instrText xml:space="preserve"> PAGE  \* MERGEFORMAT </w:instrText>
                    </w:r>
                    <w:r>
                      <w:rPr>
                        <w:rFonts w:hint="eastAsia" w:ascii="宋体" w:hAnsi="宋体" w:cs="宋体"/>
                        <w:sz w:val="22"/>
                      </w:rPr>
                      <w:fldChar w:fldCharType="separate"/>
                    </w:r>
                    <w:r>
                      <w:rPr>
                        <w:rFonts w:hint="eastAsia" w:ascii="宋体" w:hAnsi="宋体" w:cs="宋体"/>
                        <w:sz w:val="22"/>
                      </w:rPr>
                      <w:t>1</w:t>
                    </w:r>
                    <w:r>
                      <w:rPr>
                        <w:rFonts w:hint="eastAsia" w:ascii="宋体" w:hAnsi="宋体" w:cs="宋体"/>
                        <w:sz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7F876"/>
    <w:multiLevelType w:val="singleLevel"/>
    <w:tmpl w:val="6447F87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Y2FmYjQyOWZhZmQ2YjRkNjk5MzJhZGViOTNmZjcifQ=="/>
    <w:docVar w:name="KSO_WPS_MARK_KEY" w:val="8fab64b6-ac4c-40e8-ae1d-e6b0c7ad38ef"/>
  </w:docVars>
  <w:rsids>
    <w:rsidRoot w:val="00584597"/>
    <w:rsid w:val="000367DE"/>
    <w:rsid w:val="00051637"/>
    <w:rsid w:val="0005734C"/>
    <w:rsid w:val="0009067B"/>
    <w:rsid w:val="001E2F46"/>
    <w:rsid w:val="002A134F"/>
    <w:rsid w:val="0046550B"/>
    <w:rsid w:val="00542459"/>
    <w:rsid w:val="00584597"/>
    <w:rsid w:val="005C088A"/>
    <w:rsid w:val="00601A15"/>
    <w:rsid w:val="007F27CB"/>
    <w:rsid w:val="00853E1A"/>
    <w:rsid w:val="008F6EB2"/>
    <w:rsid w:val="0093604D"/>
    <w:rsid w:val="00A30067"/>
    <w:rsid w:val="00B97C3A"/>
    <w:rsid w:val="00BF206A"/>
    <w:rsid w:val="00CB0CE8"/>
    <w:rsid w:val="00D14CDC"/>
    <w:rsid w:val="00DA3361"/>
    <w:rsid w:val="00DB5716"/>
    <w:rsid w:val="00E56A67"/>
    <w:rsid w:val="01462060"/>
    <w:rsid w:val="01635C49"/>
    <w:rsid w:val="0174232F"/>
    <w:rsid w:val="018207C5"/>
    <w:rsid w:val="01890ABE"/>
    <w:rsid w:val="01E30F47"/>
    <w:rsid w:val="01E70E23"/>
    <w:rsid w:val="028916DF"/>
    <w:rsid w:val="030627EF"/>
    <w:rsid w:val="032F2286"/>
    <w:rsid w:val="03660631"/>
    <w:rsid w:val="03667C72"/>
    <w:rsid w:val="04342AA0"/>
    <w:rsid w:val="04372EC7"/>
    <w:rsid w:val="04A70542"/>
    <w:rsid w:val="04D74983"/>
    <w:rsid w:val="052102F4"/>
    <w:rsid w:val="05281683"/>
    <w:rsid w:val="056C4BCF"/>
    <w:rsid w:val="057B5469"/>
    <w:rsid w:val="06A46DCE"/>
    <w:rsid w:val="06A50AB1"/>
    <w:rsid w:val="06B331CE"/>
    <w:rsid w:val="06C47DA6"/>
    <w:rsid w:val="06DC2725"/>
    <w:rsid w:val="06EE6695"/>
    <w:rsid w:val="07220877"/>
    <w:rsid w:val="07375BAD"/>
    <w:rsid w:val="07481B68"/>
    <w:rsid w:val="075C73C2"/>
    <w:rsid w:val="07ED0962"/>
    <w:rsid w:val="0855400B"/>
    <w:rsid w:val="08EE40ED"/>
    <w:rsid w:val="08F03E56"/>
    <w:rsid w:val="09750C0F"/>
    <w:rsid w:val="09CD27F9"/>
    <w:rsid w:val="0A0D4D83"/>
    <w:rsid w:val="0A5E44E5"/>
    <w:rsid w:val="0A9F7F87"/>
    <w:rsid w:val="0AC12341"/>
    <w:rsid w:val="0AC459AA"/>
    <w:rsid w:val="0AF10769"/>
    <w:rsid w:val="0B0852EB"/>
    <w:rsid w:val="0B2818D2"/>
    <w:rsid w:val="0B704808"/>
    <w:rsid w:val="0B8213C1"/>
    <w:rsid w:val="0B8A0664"/>
    <w:rsid w:val="0BA7263C"/>
    <w:rsid w:val="0BAD1BD9"/>
    <w:rsid w:val="0BD9237C"/>
    <w:rsid w:val="0CA02447"/>
    <w:rsid w:val="0CDE6ACB"/>
    <w:rsid w:val="0CF626F0"/>
    <w:rsid w:val="0D230E8C"/>
    <w:rsid w:val="0D2501EA"/>
    <w:rsid w:val="0D496C9C"/>
    <w:rsid w:val="0D4B0AF2"/>
    <w:rsid w:val="0D4E3C51"/>
    <w:rsid w:val="0D67155B"/>
    <w:rsid w:val="0D892EDB"/>
    <w:rsid w:val="0E2B5C82"/>
    <w:rsid w:val="0E331B25"/>
    <w:rsid w:val="0E815FF4"/>
    <w:rsid w:val="0EAC608D"/>
    <w:rsid w:val="0EB77F25"/>
    <w:rsid w:val="0ED62150"/>
    <w:rsid w:val="0EEA79A9"/>
    <w:rsid w:val="0F0C791F"/>
    <w:rsid w:val="0F156DAA"/>
    <w:rsid w:val="0F2366B0"/>
    <w:rsid w:val="0FAD1102"/>
    <w:rsid w:val="0FFA3A49"/>
    <w:rsid w:val="104A4BA3"/>
    <w:rsid w:val="10514F3B"/>
    <w:rsid w:val="10A261D2"/>
    <w:rsid w:val="10F845FF"/>
    <w:rsid w:val="10FB7C4C"/>
    <w:rsid w:val="10FC7F60"/>
    <w:rsid w:val="110F5F3C"/>
    <w:rsid w:val="1116794B"/>
    <w:rsid w:val="114D152F"/>
    <w:rsid w:val="11F96B22"/>
    <w:rsid w:val="126D4B79"/>
    <w:rsid w:val="12794394"/>
    <w:rsid w:val="12993BC0"/>
    <w:rsid w:val="12AB428D"/>
    <w:rsid w:val="12C10A90"/>
    <w:rsid w:val="131E6233"/>
    <w:rsid w:val="13710699"/>
    <w:rsid w:val="13B9499F"/>
    <w:rsid w:val="14383B1F"/>
    <w:rsid w:val="145A2EDB"/>
    <w:rsid w:val="14A2638D"/>
    <w:rsid w:val="14DA401C"/>
    <w:rsid w:val="14E21B85"/>
    <w:rsid w:val="14F07E92"/>
    <w:rsid w:val="156E30E2"/>
    <w:rsid w:val="15721BDA"/>
    <w:rsid w:val="157F1E7B"/>
    <w:rsid w:val="15806971"/>
    <w:rsid w:val="15D34E8C"/>
    <w:rsid w:val="15EA609A"/>
    <w:rsid w:val="15F856F6"/>
    <w:rsid w:val="16021A7C"/>
    <w:rsid w:val="16427B55"/>
    <w:rsid w:val="16473933"/>
    <w:rsid w:val="165D4F05"/>
    <w:rsid w:val="16BE3BF5"/>
    <w:rsid w:val="16C3120C"/>
    <w:rsid w:val="16DD77C7"/>
    <w:rsid w:val="16FB0393"/>
    <w:rsid w:val="16FB6BF7"/>
    <w:rsid w:val="1715602C"/>
    <w:rsid w:val="17487963"/>
    <w:rsid w:val="17895171"/>
    <w:rsid w:val="17DA4A5F"/>
    <w:rsid w:val="17F76B77"/>
    <w:rsid w:val="183028D1"/>
    <w:rsid w:val="18770500"/>
    <w:rsid w:val="1903775E"/>
    <w:rsid w:val="191D5A38"/>
    <w:rsid w:val="19263CD4"/>
    <w:rsid w:val="1958411B"/>
    <w:rsid w:val="19AE4CC9"/>
    <w:rsid w:val="1A7D3DC7"/>
    <w:rsid w:val="1A8545AF"/>
    <w:rsid w:val="1AFE05D6"/>
    <w:rsid w:val="1B7C407F"/>
    <w:rsid w:val="1BB47375"/>
    <w:rsid w:val="1BC41B87"/>
    <w:rsid w:val="1C403AF3"/>
    <w:rsid w:val="1C5B5A42"/>
    <w:rsid w:val="1C694603"/>
    <w:rsid w:val="1C706AAC"/>
    <w:rsid w:val="1C984EE8"/>
    <w:rsid w:val="1CB872C1"/>
    <w:rsid w:val="1CCF7ADB"/>
    <w:rsid w:val="1D102CD1"/>
    <w:rsid w:val="1D3949FB"/>
    <w:rsid w:val="1D6E24A9"/>
    <w:rsid w:val="1D743260"/>
    <w:rsid w:val="1E0C7689"/>
    <w:rsid w:val="1E107430"/>
    <w:rsid w:val="1E214A6A"/>
    <w:rsid w:val="1E244167"/>
    <w:rsid w:val="1E622180"/>
    <w:rsid w:val="1E7F5DC2"/>
    <w:rsid w:val="1E9A6CF6"/>
    <w:rsid w:val="1EB61656"/>
    <w:rsid w:val="1EB678A8"/>
    <w:rsid w:val="1EFD718C"/>
    <w:rsid w:val="1F115EE7"/>
    <w:rsid w:val="1F2B2ACC"/>
    <w:rsid w:val="1F33463C"/>
    <w:rsid w:val="1F3F61AC"/>
    <w:rsid w:val="1FAB28E0"/>
    <w:rsid w:val="20222173"/>
    <w:rsid w:val="203B0065"/>
    <w:rsid w:val="20601879"/>
    <w:rsid w:val="209B0B03"/>
    <w:rsid w:val="20A420AE"/>
    <w:rsid w:val="20AA240E"/>
    <w:rsid w:val="20FC63AD"/>
    <w:rsid w:val="2110382E"/>
    <w:rsid w:val="212E5E1B"/>
    <w:rsid w:val="216128ED"/>
    <w:rsid w:val="217A6A7B"/>
    <w:rsid w:val="2187565E"/>
    <w:rsid w:val="218E76F7"/>
    <w:rsid w:val="219771C8"/>
    <w:rsid w:val="21A659B2"/>
    <w:rsid w:val="21B57143"/>
    <w:rsid w:val="21BF4CC5"/>
    <w:rsid w:val="223378A5"/>
    <w:rsid w:val="223B07F0"/>
    <w:rsid w:val="225C42C2"/>
    <w:rsid w:val="22C12E9B"/>
    <w:rsid w:val="22CC31F6"/>
    <w:rsid w:val="22FD5AA5"/>
    <w:rsid w:val="23A221A9"/>
    <w:rsid w:val="24107C52"/>
    <w:rsid w:val="24264B63"/>
    <w:rsid w:val="24585E2B"/>
    <w:rsid w:val="24E82E11"/>
    <w:rsid w:val="25500ECC"/>
    <w:rsid w:val="25C4433F"/>
    <w:rsid w:val="25DA5A28"/>
    <w:rsid w:val="25E60A73"/>
    <w:rsid w:val="25ED0053"/>
    <w:rsid w:val="26165408"/>
    <w:rsid w:val="267A740D"/>
    <w:rsid w:val="267E6EFD"/>
    <w:rsid w:val="26A80C9E"/>
    <w:rsid w:val="26A9465B"/>
    <w:rsid w:val="26B612F4"/>
    <w:rsid w:val="26E8081A"/>
    <w:rsid w:val="270D5C4A"/>
    <w:rsid w:val="272E26D1"/>
    <w:rsid w:val="280E605F"/>
    <w:rsid w:val="2818773B"/>
    <w:rsid w:val="28537F15"/>
    <w:rsid w:val="289355EF"/>
    <w:rsid w:val="28A47FE6"/>
    <w:rsid w:val="28B255B3"/>
    <w:rsid w:val="28BE7E3F"/>
    <w:rsid w:val="28EC4B1F"/>
    <w:rsid w:val="2904069D"/>
    <w:rsid w:val="29387837"/>
    <w:rsid w:val="295E4DC4"/>
    <w:rsid w:val="296323DA"/>
    <w:rsid w:val="29664B7B"/>
    <w:rsid w:val="29762A3E"/>
    <w:rsid w:val="2A2D130C"/>
    <w:rsid w:val="2A832D34"/>
    <w:rsid w:val="2AC94F40"/>
    <w:rsid w:val="2AD6555A"/>
    <w:rsid w:val="2ADD6C6A"/>
    <w:rsid w:val="2AEC6B2B"/>
    <w:rsid w:val="2AF61758"/>
    <w:rsid w:val="2B226752"/>
    <w:rsid w:val="2B2F07C6"/>
    <w:rsid w:val="2B772D87"/>
    <w:rsid w:val="2B82752D"/>
    <w:rsid w:val="2BB804EE"/>
    <w:rsid w:val="2BC95258"/>
    <w:rsid w:val="2BF13CCD"/>
    <w:rsid w:val="2C583423"/>
    <w:rsid w:val="2CA86E5A"/>
    <w:rsid w:val="2CDA7DE9"/>
    <w:rsid w:val="2D263E4A"/>
    <w:rsid w:val="2D3C7BF5"/>
    <w:rsid w:val="2D752B05"/>
    <w:rsid w:val="2D773D38"/>
    <w:rsid w:val="2DF06932"/>
    <w:rsid w:val="2E33681F"/>
    <w:rsid w:val="2E611F67"/>
    <w:rsid w:val="2E8E1CA7"/>
    <w:rsid w:val="2EF266DA"/>
    <w:rsid w:val="2EFA558F"/>
    <w:rsid w:val="2F4F0681"/>
    <w:rsid w:val="2F566C69"/>
    <w:rsid w:val="30751371"/>
    <w:rsid w:val="308C6234"/>
    <w:rsid w:val="30CB701E"/>
    <w:rsid w:val="31097D0B"/>
    <w:rsid w:val="3121578D"/>
    <w:rsid w:val="31833619"/>
    <w:rsid w:val="318450A2"/>
    <w:rsid w:val="3239017C"/>
    <w:rsid w:val="32840F7B"/>
    <w:rsid w:val="32C363F2"/>
    <w:rsid w:val="32D3237F"/>
    <w:rsid w:val="32E9083F"/>
    <w:rsid w:val="32ED1692"/>
    <w:rsid w:val="32F6606D"/>
    <w:rsid w:val="3307262F"/>
    <w:rsid w:val="33727609"/>
    <w:rsid w:val="338806E6"/>
    <w:rsid w:val="33892417"/>
    <w:rsid w:val="339604B0"/>
    <w:rsid w:val="339935C8"/>
    <w:rsid w:val="33C93C57"/>
    <w:rsid w:val="33D44600"/>
    <w:rsid w:val="33F10EAA"/>
    <w:rsid w:val="34057765"/>
    <w:rsid w:val="34207846"/>
    <w:rsid w:val="34256C0A"/>
    <w:rsid w:val="343C4012"/>
    <w:rsid w:val="34F62B5B"/>
    <w:rsid w:val="35131158"/>
    <w:rsid w:val="353763F3"/>
    <w:rsid w:val="353F332F"/>
    <w:rsid w:val="357C6CFE"/>
    <w:rsid w:val="358513AA"/>
    <w:rsid w:val="359A3C5D"/>
    <w:rsid w:val="35AE2C2F"/>
    <w:rsid w:val="35B53FBD"/>
    <w:rsid w:val="35CF2380"/>
    <w:rsid w:val="35F70028"/>
    <w:rsid w:val="361B73C0"/>
    <w:rsid w:val="362366DD"/>
    <w:rsid w:val="365359CB"/>
    <w:rsid w:val="365D6B2F"/>
    <w:rsid w:val="3670428D"/>
    <w:rsid w:val="36AA5455"/>
    <w:rsid w:val="36D32098"/>
    <w:rsid w:val="36EC1C61"/>
    <w:rsid w:val="374643BF"/>
    <w:rsid w:val="37FA215C"/>
    <w:rsid w:val="381F1BC2"/>
    <w:rsid w:val="3847575F"/>
    <w:rsid w:val="38521F98"/>
    <w:rsid w:val="38871C41"/>
    <w:rsid w:val="388E20A9"/>
    <w:rsid w:val="389836C4"/>
    <w:rsid w:val="38CA4224"/>
    <w:rsid w:val="38E86458"/>
    <w:rsid w:val="390F1F9A"/>
    <w:rsid w:val="394D47D0"/>
    <w:rsid w:val="39914BB0"/>
    <w:rsid w:val="39A131D7"/>
    <w:rsid w:val="39B568AA"/>
    <w:rsid w:val="39C173D5"/>
    <w:rsid w:val="39E82BB3"/>
    <w:rsid w:val="39F01A68"/>
    <w:rsid w:val="39FE425B"/>
    <w:rsid w:val="3ACB5EF4"/>
    <w:rsid w:val="3AFE4893"/>
    <w:rsid w:val="3B620DBB"/>
    <w:rsid w:val="3C17582D"/>
    <w:rsid w:val="3C74072E"/>
    <w:rsid w:val="3CBC3644"/>
    <w:rsid w:val="3CE16829"/>
    <w:rsid w:val="3CE84173"/>
    <w:rsid w:val="3D033860"/>
    <w:rsid w:val="3D6E2DF6"/>
    <w:rsid w:val="3DC21F90"/>
    <w:rsid w:val="3DDB1C1B"/>
    <w:rsid w:val="3DF02037"/>
    <w:rsid w:val="3DFE363F"/>
    <w:rsid w:val="3E18216E"/>
    <w:rsid w:val="3E421FC8"/>
    <w:rsid w:val="3EA55BD9"/>
    <w:rsid w:val="3EDE2E31"/>
    <w:rsid w:val="3F9FE6C3"/>
    <w:rsid w:val="3FA23805"/>
    <w:rsid w:val="3FE239E8"/>
    <w:rsid w:val="3FFFB6D9"/>
    <w:rsid w:val="400718BA"/>
    <w:rsid w:val="400727F1"/>
    <w:rsid w:val="403A6D63"/>
    <w:rsid w:val="40A53342"/>
    <w:rsid w:val="40DA6FCE"/>
    <w:rsid w:val="41157011"/>
    <w:rsid w:val="413816AE"/>
    <w:rsid w:val="415154E1"/>
    <w:rsid w:val="41AC7E24"/>
    <w:rsid w:val="41D5429B"/>
    <w:rsid w:val="42667C51"/>
    <w:rsid w:val="43181B29"/>
    <w:rsid w:val="43390F13"/>
    <w:rsid w:val="436510B2"/>
    <w:rsid w:val="436D237B"/>
    <w:rsid w:val="43815163"/>
    <w:rsid w:val="43BB619D"/>
    <w:rsid w:val="442E01CC"/>
    <w:rsid w:val="44560717"/>
    <w:rsid w:val="447A1F8B"/>
    <w:rsid w:val="44A8366B"/>
    <w:rsid w:val="44E977E0"/>
    <w:rsid w:val="44EB7C2A"/>
    <w:rsid w:val="45321187"/>
    <w:rsid w:val="4537679D"/>
    <w:rsid w:val="461D3BE5"/>
    <w:rsid w:val="463F0831"/>
    <w:rsid w:val="464A2500"/>
    <w:rsid w:val="464F7393"/>
    <w:rsid w:val="46823835"/>
    <w:rsid w:val="46AB512B"/>
    <w:rsid w:val="472135DE"/>
    <w:rsid w:val="474F7076"/>
    <w:rsid w:val="475950F1"/>
    <w:rsid w:val="477A5376"/>
    <w:rsid w:val="487D6D91"/>
    <w:rsid w:val="48CE4CD3"/>
    <w:rsid w:val="48E5096A"/>
    <w:rsid w:val="48FD5F50"/>
    <w:rsid w:val="491834FB"/>
    <w:rsid w:val="497C2316"/>
    <w:rsid w:val="497C6E74"/>
    <w:rsid w:val="49EA2030"/>
    <w:rsid w:val="49FE3267"/>
    <w:rsid w:val="4A2C1684"/>
    <w:rsid w:val="4B241572"/>
    <w:rsid w:val="4B2C0426"/>
    <w:rsid w:val="4B6978CC"/>
    <w:rsid w:val="4BD411EA"/>
    <w:rsid w:val="4BFB4426"/>
    <w:rsid w:val="4C512529"/>
    <w:rsid w:val="4C7E73A7"/>
    <w:rsid w:val="4C9323E3"/>
    <w:rsid w:val="4C963480"/>
    <w:rsid w:val="4C9A35C3"/>
    <w:rsid w:val="4C9D4F08"/>
    <w:rsid w:val="4CB65E11"/>
    <w:rsid w:val="4CC24F84"/>
    <w:rsid w:val="4D1671A9"/>
    <w:rsid w:val="4D2F56DD"/>
    <w:rsid w:val="4D762B73"/>
    <w:rsid w:val="4DC63A67"/>
    <w:rsid w:val="4E6B0B25"/>
    <w:rsid w:val="4F523586"/>
    <w:rsid w:val="50082A59"/>
    <w:rsid w:val="503A0BDB"/>
    <w:rsid w:val="50E861E0"/>
    <w:rsid w:val="5121659A"/>
    <w:rsid w:val="51894824"/>
    <w:rsid w:val="5193365B"/>
    <w:rsid w:val="51B51175"/>
    <w:rsid w:val="51DA5080"/>
    <w:rsid w:val="52120B91"/>
    <w:rsid w:val="522105B9"/>
    <w:rsid w:val="5398567F"/>
    <w:rsid w:val="53CD5AD1"/>
    <w:rsid w:val="53D5522E"/>
    <w:rsid w:val="54070A08"/>
    <w:rsid w:val="541C4A45"/>
    <w:rsid w:val="541C54DC"/>
    <w:rsid w:val="541C564C"/>
    <w:rsid w:val="54232D0E"/>
    <w:rsid w:val="54936A7E"/>
    <w:rsid w:val="54976AF9"/>
    <w:rsid w:val="549C486F"/>
    <w:rsid w:val="54F24C6E"/>
    <w:rsid w:val="5531145B"/>
    <w:rsid w:val="553373D2"/>
    <w:rsid w:val="55480552"/>
    <w:rsid w:val="55745E6F"/>
    <w:rsid w:val="558C5323"/>
    <w:rsid w:val="564776E0"/>
    <w:rsid w:val="565203AE"/>
    <w:rsid w:val="5705494D"/>
    <w:rsid w:val="571F2965"/>
    <w:rsid w:val="574A6117"/>
    <w:rsid w:val="576A2A02"/>
    <w:rsid w:val="57720D87"/>
    <w:rsid w:val="5778511F"/>
    <w:rsid w:val="57D75D0A"/>
    <w:rsid w:val="57FA3D86"/>
    <w:rsid w:val="58632671"/>
    <w:rsid w:val="586B6A32"/>
    <w:rsid w:val="58711B6E"/>
    <w:rsid w:val="587237DB"/>
    <w:rsid w:val="58F22CAF"/>
    <w:rsid w:val="593E58F0"/>
    <w:rsid w:val="5994017A"/>
    <w:rsid w:val="5A767910"/>
    <w:rsid w:val="5AC661A1"/>
    <w:rsid w:val="5AE8436A"/>
    <w:rsid w:val="5B6D486F"/>
    <w:rsid w:val="5B920CB2"/>
    <w:rsid w:val="5B942D41"/>
    <w:rsid w:val="5C6043D4"/>
    <w:rsid w:val="5C8775E4"/>
    <w:rsid w:val="5C8A1252"/>
    <w:rsid w:val="5EBF3F02"/>
    <w:rsid w:val="5EF37781"/>
    <w:rsid w:val="5F3C1128"/>
    <w:rsid w:val="5F8737D0"/>
    <w:rsid w:val="605424A1"/>
    <w:rsid w:val="60F63ECD"/>
    <w:rsid w:val="614C18AC"/>
    <w:rsid w:val="61A82AC8"/>
    <w:rsid w:val="61B2122D"/>
    <w:rsid w:val="62185033"/>
    <w:rsid w:val="6237721C"/>
    <w:rsid w:val="628768D7"/>
    <w:rsid w:val="6292076C"/>
    <w:rsid w:val="62FA40E4"/>
    <w:rsid w:val="63823B72"/>
    <w:rsid w:val="63936E3D"/>
    <w:rsid w:val="63A50BC6"/>
    <w:rsid w:val="641F3432"/>
    <w:rsid w:val="64AC28AC"/>
    <w:rsid w:val="64FB4AE1"/>
    <w:rsid w:val="653838DC"/>
    <w:rsid w:val="65724118"/>
    <w:rsid w:val="65935AD0"/>
    <w:rsid w:val="663560F3"/>
    <w:rsid w:val="66B01E39"/>
    <w:rsid w:val="66DC6D4D"/>
    <w:rsid w:val="66DF7006"/>
    <w:rsid w:val="66E83943"/>
    <w:rsid w:val="66EA2BF4"/>
    <w:rsid w:val="67964967"/>
    <w:rsid w:val="679F8DA4"/>
    <w:rsid w:val="67D457BC"/>
    <w:rsid w:val="67E525E5"/>
    <w:rsid w:val="686F7E78"/>
    <w:rsid w:val="68797C45"/>
    <w:rsid w:val="68CE4573"/>
    <w:rsid w:val="694F5D35"/>
    <w:rsid w:val="6973229C"/>
    <w:rsid w:val="69DA40C7"/>
    <w:rsid w:val="69F0323B"/>
    <w:rsid w:val="6A126C4B"/>
    <w:rsid w:val="6A5A6906"/>
    <w:rsid w:val="6ADA374E"/>
    <w:rsid w:val="6B0A3E88"/>
    <w:rsid w:val="6B196B94"/>
    <w:rsid w:val="6B301415"/>
    <w:rsid w:val="6B633598"/>
    <w:rsid w:val="6B856DA3"/>
    <w:rsid w:val="6BD3331E"/>
    <w:rsid w:val="6BD60993"/>
    <w:rsid w:val="6C120DE2"/>
    <w:rsid w:val="6C240F7A"/>
    <w:rsid w:val="6C2E7428"/>
    <w:rsid w:val="6D125276"/>
    <w:rsid w:val="6D34343E"/>
    <w:rsid w:val="6DA87988"/>
    <w:rsid w:val="6DBB72D5"/>
    <w:rsid w:val="6E3A2AAE"/>
    <w:rsid w:val="6EA01E1E"/>
    <w:rsid w:val="6EC151A6"/>
    <w:rsid w:val="6EEB7101"/>
    <w:rsid w:val="6F5E47A3"/>
    <w:rsid w:val="6FB22D40"/>
    <w:rsid w:val="6FBC5660"/>
    <w:rsid w:val="6FC33D53"/>
    <w:rsid w:val="6FFEEE74"/>
    <w:rsid w:val="702F4391"/>
    <w:rsid w:val="706109B8"/>
    <w:rsid w:val="706A7177"/>
    <w:rsid w:val="70ACA51A"/>
    <w:rsid w:val="70BA21C9"/>
    <w:rsid w:val="70D54F38"/>
    <w:rsid w:val="70F137CE"/>
    <w:rsid w:val="7129294F"/>
    <w:rsid w:val="7148395C"/>
    <w:rsid w:val="715C11B6"/>
    <w:rsid w:val="718801FD"/>
    <w:rsid w:val="71ED0359"/>
    <w:rsid w:val="72133F6A"/>
    <w:rsid w:val="728260A0"/>
    <w:rsid w:val="730D09BA"/>
    <w:rsid w:val="734D40B3"/>
    <w:rsid w:val="73746C86"/>
    <w:rsid w:val="738C508F"/>
    <w:rsid w:val="73A3131E"/>
    <w:rsid w:val="7416564C"/>
    <w:rsid w:val="74624D35"/>
    <w:rsid w:val="74C12B7C"/>
    <w:rsid w:val="74CD2F7B"/>
    <w:rsid w:val="74E8503D"/>
    <w:rsid w:val="75011B38"/>
    <w:rsid w:val="7519750B"/>
    <w:rsid w:val="753D440A"/>
    <w:rsid w:val="75616D9B"/>
    <w:rsid w:val="75FA61C3"/>
    <w:rsid w:val="7610431D"/>
    <w:rsid w:val="76300364"/>
    <w:rsid w:val="76465F91"/>
    <w:rsid w:val="766A6619"/>
    <w:rsid w:val="76F66C6C"/>
    <w:rsid w:val="772938E8"/>
    <w:rsid w:val="776E1C43"/>
    <w:rsid w:val="778E7BEF"/>
    <w:rsid w:val="77D55A20"/>
    <w:rsid w:val="77D55E83"/>
    <w:rsid w:val="77D777E8"/>
    <w:rsid w:val="77D78531"/>
    <w:rsid w:val="77D870BC"/>
    <w:rsid w:val="77DB110C"/>
    <w:rsid w:val="77EB0DEF"/>
    <w:rsid w:val="788336B9"/>
    <w:rsid w:val="788C75D7"/>
    <w:rsid w:val="789739B0"/>
    <w:rsid w:val="78B11DE7"/>
    <w:rsid w:val="78EB179C"/>
    <w:rsid w:val="78EE4DE9"/>
    <w:rsid w:val="798412AA"/>
    <w:rsid w:val="798A39D6"/>
    <w:rsid w:val="79D6633B"/>
    <w:rsid w:val="7ADB6CCE"/>
    <w:rsid w:val="7B024B7C"/>
    <w:rsid w:val="7B0D52CF"/>
    <w:rsid w:val="7B5C6FF3"/>
    <w:rsid w:val="7BA63759"/>
    <w:rsid w:val="7BFF977B"/>
    <w:rsid w:val="7C352D2F"/>
    <w:rsid w:val="7C4048C8"/>
    <w:rsid w:val="7C676926"/>
    <w:rsid w:val="7C9B7036"/>
    <w:rsid w:val="7CA659DB"/>
    <w:rsid w:val="7D8A2C07"/>
    <w:rsid w:val="7DEE6983"/>
    <w:rsid w:val="7DF61FCF"/>
    <w:rsid w:val="7DFF1475"/>
    <w:rsid w:val="7E8F2BCB"/>
    <w:rsid w:val="7EA5419C"/>
    <w:rsid w:val="7ED54355"/>
    <w:rsid w:val="7EEDC592"/>
    <w:rsid w:val="7F0709B3"/>
    <w:rsid w:val="7F1B403E"/>
    <w:rsid w:val="7F6851CA"/>
    <w:rsid w:val="7F8B7248"/>
    <w:rsid w:val="7F9411C7"/>
    <w:rsid w:val="7FB02EC1"/>
    <w:rsid w:val="7FBA12A0"/>
    <w:rsid w:val="7FE200A1"/>
    <w:rsid w:val="96C720EC"/>
    <w:rsid w:val="B8F75C24"/>
    <w:rsid w:val="DAFF5B59"/>
    <w:rsid w:val="DBA73F84"/>
    <w:rsid w:val="EF6D56D2"/>
    <w:rsid w:val="EFE7B9CE"/>
    <w:rsid w:val="FA799952"/>
    <w:rsid w:val="FFBB6A3A"/>
    <w:rsid w:val="FFEE69FC"/>
    <w:rsid w:val="FFFED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Body Text"/>
    <w:basedOn w:val="1"/>
    <w:next w:val="5"/>
    <w:qFormat/>
    <w:uiPriority w:val="0"/>
    <w:pPr>
      <w:spacing w:after="12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Body Text Indent"/>
    <w:basedOn w:val="1"/>
    <w:qFormat/>
    <w:uiPriority w:val="99"/>
    <w:pPr>
      <w:spacing w:after="120"/>
      <w:ind w:left="420" w:leftChars="2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6"/>
    <w:qFormat/>
    <w:uiPriority w:val="99"/>
    <w:pPr>
      <w:ind w:firstLine="420" w:firstLineChars="200"/>
    </w:pPr>
  </w:style>
  <w:style w:type="paragraph" w:customStyle="1" w:styleId="11">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2">
    <w:name w:val="列表段落1"/>
    <w:basedOn w:val="1"/>
    <w:qFormat/>
    <w:uiPriority w:val="34"/>
    <w:pPr>
      <w:ind w:firstLine="420" w:firstLineChars="200"/>
    </w:pPr>
  </w:style>
  <w:style w:type="character" w:customStyle="1" w:styleId="13">
    <w:name w:val="font21"/>
    <w:basedOn w:val="10"/>
    <w:qFormat/>
    <w:uiPriority w:val="0"/>
    <w:rPr>
      <w:rFonts w:ascii="Courier New" w:hAnsi="Courier New" w:cs="Courier New"/>
      <w:color w:val="FF0000"/>
      <w:sz w:val="20"/>
      <w:szCs w:val="20"/>
      <w:u w:val="none"/>
    </w:rPr>
  </w:style>
  <w:style w:type="character" w:customStyle="1" w:styleId="14">
    <w:name w:val="font11"/>
    <w:basedOn w:val="10"/>
    <w:qFormat/>
    <w:uiPriority w:val="0"/>
    <w:rPr>
      <w:rFonts w:hint="eastAsia" w:ascii="宋体" w:hAnsi="宋体" w:eastAsia="宋体" w:cs="宋体"/>
      <w:color w:val="000000"/>
      <w:sz w:val="22"/>
      <w:szCs w:val="22"/>
      <w:u w:val="none"/>
    </w:rPr>
  </w:style>
  <w:style w:type="paragraph" w:styleId="15">
    <w:name w:val="List Paragraph"/>
    <w:basedOn w:val="1"/>
    <w:qFormat/>
    <w:uiPriority w:val="34"/>
    <w:pPr>
      <w:ind w:firstLine="420" w:firstLineChars="200"/>
    </w:pPr>
  </w:style>
  <w:style w:type="paragraph" w:customStyle="1" w:styleId="16">
    <w:name w:val="Body Text First Indent1"/>
    <w:basedOn w:val="4"/>
    <w:next w:val="1"/>
    <w:qFormat/>
    <w:uiPriority w:val="0"/>
    <w:pPr>
      <w:spacing w:after="0"/>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2766</Words>
  <Characters>2840</Characters>
  <Lines>27</Lines>
  <Paragraphs>7</Paragraphs>
  <TotalTime>194</TotalTime>
  <ScaleCrop>false</ScaleCrop>
  <LinksUpToDate>false</LinksUpToDate>
  <CharactersWithSpaces>2943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dc:creator>
  <cp:lastModifiedBy>Administrator</cp:lastModifiedBy>
  <cp:lastPrinted>2024-01-17T03:09:00Z</cp:lastPrinted>
  <dcterms:modified xsi:type="dcterms:W3CDTF">2025-07-01T11:14:57Z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5FAE6F29D02745E6A03B44143E25AF04</vt:lpwstr>
  </property>
  <property fmtid="{D5CDD505-2E9C-101B-9397-08002B2CF9AE}" pid="4" name="KSOTemplateDocerSaveRecord">
    <vt:lpwstr>eyJoZGlkIjoiMGViYjFjMmIwMDJjMWYwZTEyYTM2YTY5OTY1ZThiNWIiLCJ1c2VySWQiOiI0MDgzNTQxMjQifQ==</vt:lpwstr>
  </property>
</Properties>
</file>