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26"/>
        <w:ind w:right="393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附件一：                    </w:t>
      </w:r>
    </w:p>
    <w:p>
      <w:pPr>
        <w:pStyle w:val="5"/>
        <w:spacing w:before="26"/>
        <w:ind w:right="393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           托克逊县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物业服务公司自查自纠表</w:t>
      </w:r>
    </w:p>
    <w:tbl>
      <w:tblPr>
        <w:tblStyle w:val="9"/>
        <w:tblpPr w:leftFromText="180" w:rightFromText="180" w:vertAnchor="text" w:horzAnchor="page" w:tblpX="1523" w:tblpY="176"/>
        <w:tblOverlap w:val="never"/>
        <w:tblW w:w="1434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635"/>
        <w:gridCol w:w="9600"/>
        <w:gridCol w:w="1620"/>
        <w:gridCol w:w="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280" w:hRule="atLeast"/>
        </w:trPr>
        <w:tc>
          <w:tcPr>
            <w:tcW w:w="650" w:type="dxa"/>
            <w:vAlign w:val="center"/>
          </w:tcPr>
          <w:p>
            <w:pPr>
              <w:pStyle w:val="10"/>
              <w:spacing w:before="8" w:line="252" w:lineRule="exact"/>
              <w:ind w:left="246" w:right="238"/>
              <w:jc w:val="both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序号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spacing w:before="8" w:line="252" w:lineRule="exact"/>
              <w:ind w:left="799" w:right="792"/>
              <w:jc w:val="both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项目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spacing w:before="8" w:line="252" w:lineRule="exact"/>
              <w:ind w:left="3295" w:right="3287"/>
              <w:jc w:val="both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自查自纠内容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spacing w:before="8" w:line="252" w:lineRule="exact"/>
              <w:jc w:val="center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自查情况</w:t>
            </w:r>
          </w:p>
        </w:tc>
        <w:tc>
          <w:tcPr>
            <w:tcW w:w="840" w:type="dxa"/>
            <w:vAlign w:val="center"/>
          </w:tcPr>
          <w:p>
            <w:pPr>
              <w:pStyle w:val="10"/>
              <w:spacing w:before="13" w:line="247" w:lineRule="exact"/>
              <w:ind w:left="271"/>
              <w:jc w:val="both"/>
              <w:rPr>
                <w:rFonts w:hint="eastAsia" w:ascii="黑体" w:eastAsia="黑体"/>
                <w:sz w:val="21"/>
              </w:rPr>
            </w:pPr>
            <w:r>
              <w:rPr>
                <w:rFonts w:hint="eastAsia" w:ascii="黑体" w:eastAsia="黑体"/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0" w:hRule="atLeast"/>
        </w:trPr>
        <w:tc>
          <w:tcPr>
            <w:tcW w:w="650" w:type="dxa"/>
            <w:vAlign w:val="center"/>
          </w:tcPr>
          <w:p>
            <w:pPr>
              <w:pStyle w:val="10"/>
              <w:ind w:left="0" w:leftChars="-295" w:hanging="619" w:hangingChars="29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10"/>
              <w:spacing w:before="185"/>
              <w:ind w:left="7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1"/>
                <w:szCs w:val="21"/>
              </w:rPr>
              <w:t>1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spacing w:before="4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服务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业服务企业（物业管理人）不严格执行《新疆维吾尔自治区住宅物业服务标准》（XJJ056-2019），配备的人员低于物业服务标准配置要求的问题；提供的物业服务达不到合同约定的服务标准，不能提供质价相符的服务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物业服务企业（物业管理人）、业主委员会或业主不依法签订《物业服务合同》，或者签订的《物业服务合同》违反自治区住房和城乡建设厅、自治区市场监督管理局监制的合同示范文本问题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3.物业服务企业（物业管理人）未在服务区域内公示物业服务企业备案信息，项目负责人和物业服务人员姓名、岗位和照片，物业服务收费标准和服务标准，以及受理报修和投诉服务电话问题。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4.物业服务企业（物业管理人）未建立健全物业服务工作制度和考核标准，未制定各岗位人员操作规程，或者相关制度、标准和操作规程未在服务区域内公开、公示问题。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.物业服务企业（物业管理人）的物业服务质量未依法接受业主、业主大会、业主委员会、县（市、区）住房城乡建设（房地产）管理部门以及街道办事处（乡镇人民政府）、社区的监督，对业主提出的投诉及意见，未予以解释或答复问题。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650" w:type="dxa"/>
            <w:vAlign w:val="center"/>
          </w:tcPr>
          <w:p>
            <w:pPr>
              <w:pStyle w:val="10"/>
              <w:spacing w:before="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10"/>
              <w:spacing w:before="1"/>
              <w:ind w:left="7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1"/>
                <w:szCs w:val="21"/>
              </w:rPr>
              <w:t>2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物业收费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24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1.物业服务企业（物业管理人）违反价格管理规定或者物业服务合同约定，擅自扩大收费范围、重复收费、强制服务或者变相强制服务并收费问题。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24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2.物业服务企业（物业管理人）不按规定实行明码标价问题。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24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3.物业服务企业（物业管理人）所承接的前期物业或者保障性住宅小区，物业服务收费、住宅小区停车收费未执行政府指导价问题。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24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4.物业服务企业（物业管理人）收取的物业服务费用、住宅小区停车收费及支出未依法予以公示问题。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650" w:type="dxa"/>
            <w:vAlign w:val="center"/>
          </w:tcPr>
          <w:p>
            <w:pPr>
              <w:pStyle w:val="10"/>
              <w:spacing w:before="164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spacing w:before="176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服务态度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72" w:after="0" w:line="255" w:lineRule="exact"/>
              <w:ind w:right="-15" w:right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w w:val="95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pacing w:val="-6"/>
                <w:w w:val="95"/>
                <w:sz w:val="21"/>
                <w:szCs w:val="21"/>
              </w:rPr>
              <w:t>物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6"/>
                <w:w w:val="95"/>
                <w:sz w:val="21"/>
                <w:szCs w:val="21"/>
              </w:rPr>
              <w:t>业管理的项目存在公共部位、公共设施设备维护不力，配套设施功能运转不畅；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40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绿化、亮化不到位；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40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环境卫生脏乱差；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55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管理秩序混乱，车辆乱停乱放、交通不畅等。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65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公共设施管理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100" w:after="0" w:line="213" w:lineRule="auto"/>
              <w:ind w:right="-15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w w:val="95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pacing w:val="-5"/>
                <w:w w:val="95"/>
                <w:sz w:val="21"/>
                <w:szCs w:val="21"/>
              </w:rPr>
              <w:t xml:space="preserve">擅自改变物业管理用房、公共建筑及公共设施用途的行为，擅自占用、挖掘道路、  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场地，损害业主利益的行为；</w:t>
            </w:r>
          </w:p>
          <w:p>
            <w:pPr>
              <w:pStyle w:val="10"/>
              <w:numPr>
                <w:ilvl w:val="0"/>
                <w:numId w:val="0"/>
              </w:numPr>
              <w:tabs>
                <w:tab w:val="left" w:pos="422"/>
              </w:tabs>
              <w:spacing w:before="0" w:after="0" w:line="247" w:lineRule="exact"/>
              <w:ind w:right="0" w:rightChars="0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擅自利用公共部位、公共设施设备经营，损害业主利益的行为。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650" w:type="dxa"/>
            <w:vAlign w:val="center"/>
          </w:tcPr>
          <w:p>
            <w:pPr>
              <w:pStyle w:val="10"/>
              <w:spacing w:before="184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635" w:type="dxa"/>
            <w:vAlign w:val="center"/>
          </w:tcPr>
          <w:p>
            <w:pPr>
              <w:pStyle w:val="10"/>
              <w:spacing w:line="213" w:lineRule="auto"/>
              <w:ind w:right="182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物业管理区域内违规行为</w:t>
            </w:r>
          </w:p>
        </w:tc>
        <w:tc>
          <w:tcPr>
            <w:tcW w:w="9600" w:type="dxa"/>
            <w:vAlign w:val="center"/>
          </w:tcPr>
          <w:p>
            <w:pPr>
              <w:pStyle w:val="10"/>
              <w:spacing w:before="115" w:line="213" w:lineRule="auto"/>
              <w:ind w:right="-15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物业管理区域内私搭乱建、私开门窗、饲养家禽、家犬，违反安装空调外机、太</w:t>
            </w:r>
            <w:r>
              <w:rPr>
                <w:rFonts w:hint="eastAsia" w:ascii="仿宋_GB2312" w:hAnsi="仿宋_GB2312" w:eastAsia="仿宋_GB2312" w:cs="仿宋_GB2312"/>
                <w:spacing w:val="-9"/>
                <w:sz w:val="21"/>
                <w:szCs w:val="21"/>
              </w:rPr>
              <w:t>阳能热水器、防盗网、遮阳罩、户外广告牌、乱贴乱画、毁坏绿地和市政设施、乱倒</w:t>
            </w:r>
            <w:r>
              <w:rPr>
                <w:rFonts w:hint="eastAsia" w:ascii="仿宋_GB2312" w:hAnsi="仿宋_GB2312" w:eastAsia="仿宋_GB2312" w:cs="仿宋_GB2312"/>
                <w:spacing w:val="-16"/>
                <w:w w:val="95"/>
                <w:sz w:val="21"/>
                <w:szCs w:val="21"/>
              </w:rPr>
              <w:t xml:space="preserve">垃圾、违法经营、开办托管、噪声、油烟扰民、打架斗殴、恶意堵门、占用消防通道、  </w:t>
            </w:r>
            <w:r>
              <w:rPr>
                <w:rFonts w:hint="eastAsia" w:ascii="仿宋_GB2312" w:hAnsi="仿宋_GB2312" w:eastAsia="仿宋_GB2312" w:cs="仿宋_GB2312"/>
                <w:spacing w:val="-16"/>
                <w:sz w:val="21"/>
                <w:szCs w:val="21"/>
              </w:rPr>
              <w:t>防火救灾、电梯存在安全隐患、储存易燃易爆危险品等相关问题。</w:t>
            </w:r>
          </w:p>
        </w:tc>
        <w:tc>
          <w:tcPr>
            <w:tcW w:w="162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pStyle w:val="1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>
      <w:pPr>
        <w:pStyle w:val="5"/>
        <w:spacing w:before="26"/>
        <w:ind w:right="3930"/>
        <w:jc w:val="both"/>
        <w:rPr>
          <w:rFonts w:hint="eastAsia"/>
          <w:lang w:val="en-US" w:eastAsia="zh-CN"/>
        </w:rPr>
      </w:pPr>
    </w:p>
    <w:p>
      <w:pPr>
        <w:pStyle w:val="5"/>
        <w:spacing w:before="26"/>
        <w:ind w:right="3930"/>
        <w:jc w:val="both"/>
        <w:rPr>
          <w:rFonts w:hint="eastAsia"/>
          <w:lang w:val="en-US" w:eastAsia="zh-CN"/>
        </w:rPr>
      </w:pPr>
    </w:p>
    <w:p>
      <w:bookmarkStart w:id="0" w:name="_GoBack"/>
      <w:bookmarkEnd w:id="0"/>
    </w:p>
    <w:sectPr>
      <w:pgSz w:w="16838" w:h="11906" w:orient="landscape"/>
      <w:pgMar w:top="491" w:right="2097" w:bottom="428" w:left="1984" w:header="851" w:footer="992" w:gutter="0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Courier New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C08EF"/>
    <w:rsid w:val="7A6D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iPriority w:val="0"/>
    <w:pPr>
      <w:ind w:firstLine="420" w:firstLineChars="200"/>
    </w:pPr>
    <w:rPr>
      <w:rFonts w:ascii="Calibri" w:hAnsi="Calibri"/>
    </w:rPr>
  </w:style>
  <w:style w:type="paragraph" w:styleId="3">
    <w:name w:val="Body Text Indent"/>
    <w:basedOn w:val="1"/>
    <w:uiPriority w:val="0"/>
    <w:pPr>
      <w:spacing w:after="120"/>
      <w:ind w:left="420" w:leftChars="200"/>
    </w:pPr>
  </w:style>
  <w:style w:type="paragraph" w:styleId="4">
    <w:name w:val="Normal (Web)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5">
    <w:name w:val="Body Text"/>
    <w:basedOn w:val="1"/>
    <w:qFormat/>
    <w:uiPriority w:val="0"/>
    <w:rPr>
      <w:rFonts w:ascii="Calibri" w:hAnsi="Calibri" w:eastAsia="宋体" w:cs="Times New Roman"/>
      <w:szCs w:val="24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character" w:customStyle="1" w:styleId="11">
    <w:name w:val="font2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01"/>
    <w:basedOn w:val="8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2020-07-04T05:52:42Z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